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432934" w:rsidRDefault="00E07E97">
          <w:pPr>
            <w:pStyle w:val="SemEspaamento"/>
            <w:rPr>
              <w:rFonts w:ascii="Arial" w:hAnsi="Arial" w:cs="Arial"/>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619F579"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23057"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5A5DEAAA" w:rsidR="00734925" w:rsidRDefault="002C5ECB">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type w14:anchorId="737C79E0" id="_x0000_t202" coordsize="21600,21600" o:spt="202" path="m,l,21600r21600,l21600,xe">
                    <v:stroke joinstyle="miter"/>
                    <v:path gradientshapeok="t" o:connecttype="rect"/>
                  </v:shapetype>
                  <v:shape id="Caixa de Texto 20" o:spid="_x0000_s1026"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" fillcolor="#002d4b" stroked="f">
                    <v:textbox style="mso-fit-shape-to-text:t">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w:pict>
                  <v:group w14:anchorId="468FEAED"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7"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10D1FF20"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w:pict>
                  <v:group w14:anchorId="540F0ABD"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D48243E"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w:pict>
                  <v:group w14:anchorId="1B36704A"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8413AC6"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w:pict>
                  <v:group w14:anchorId="43B41815"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1ECE0E4D"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E60C6F4"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60004FAD">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81023E3"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1D0DCF92">
                    <wp:simplePos x="0" y="0"/>
                    <wp:positionH relativeFrom="column">
                      <wp:posOffset>-255270</wp:posOffset>
                    </wp:positionH>
                    <wp:positionV relativeFrom="paragraph">
                      <wp:posOffset>5232400</wp:posOffset>
                    </wp:positionV>
                    <wp:extent cx="3756660" cy="930910"/>
                    <wp:effectExtent l="0" t="0" r="0" b="9525"/>
                    <wp:wrapNone/>
                    <wp:docPr id="1931845927" name="Caixa de Texto 1931845927"/>
                    <wp:cNvGraphicFramePr/>
                    <a:graphic xmlns:a="http://schemas.openxmlformats.org/drawingml/2006/main">
                      <a:graphicData uri="http://schemas.microsoft.com/office/word/2010/wordprocessingShape">
                        <wps:wsp>
                          <wps:cNvSpPr txBox="1"/>
                          <wps:spPr>
                            <a:xfrm>
                              <a:off x="0" y="0"/>
                              <a:ext cx="3756660" cy="93091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21FC272A" w14:textId="1E49AD69" w:rsidR="00E07E97" w:rsidRDefault="00E07E97" w:rsidP="00E07E97">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202</w:t>
                                </w:r>
                                <w:r w:rsidR="00F753D2">
                                  <w:rPr>
                                    <w:rFonts w:ascii="BancoDoBrasil Textos" w:hAnsi="BancoDoBrasil Textos" w:cs="Arial Black"/>
                                    <w:color w:val="FFFFFF" w:themeColor="background1"/>
                                    <w:kern w:val="24"/>
                                    <w:sz w:val="36"/>
                                    <w:szCs w:val="36"/>
                                    <w:lang w:val="en-US"/>
                                  </w:rPr>
                                  <w:t>4</w:t>
                                </w:r>
                              </w:p>
                            </w:txbxContent>
                          </wps:txbx>
                          <wps:bodyPr wrap="square" rtlCol="0">
                            <a:spAutoFit/>
                          </wps:bodyPr>
                        </wps:wsp>
                      </a:graphicData>
                    </a:graphic>
                  </wp:anchor>
                </w:drawing>
              </mc:Choice>
              <mc:Fallback>
                <w:pict>
                  <v:shape w14:anchorId="4503E9BB" id="Caixa de Texto 1931845927" o:spid="_x0000_s1027" type="#_x0000_t202" style="position:absolute;margin-left:-20.1pt;margin-top:412pt;width:295.8pt;height:73.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" fillcolor="#002d4b" stroked="f">
                    <v:textbox style="mso-fit-shape-to-text:t">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21FC272A" w14:textId="1E49AD69" w:rsidR="00E07E97" w:rsidRDefault="00E07E97" w:rsidP="00E07E97">
                          <w:pPr>
                            <w:jc w:val="right"/>
                            <w:rPr>
                              <w:rFonts w:ascii="BancoDoBrasil Textos" w:hAnsi="BancoDoBrasil Textos" w:cs="Arial Black"/>
                              <w:color w:val="FFFFFF" w:themeColor="background1"/>
                              <w:kern w:val="24"/>
                              <w:sz w:val="36"/>
                              <w:szCs w:val="36"/>
                              <w:lang w:val="en-US"/>
                            </w:rPr>
                          </w:pPr>
                          <w:r>
                            <w:rPr>
                              <w:rFonts w:ascii="BancoDoBrasil Textos" w:hAnsi="BancoDoBrasil Textos" w:cs="Arial Black"/>
                              <w:color w:val="FFFFFF" w:themeColor="background1"/>
                              <w:kern w:val="24"/>
                              <w:sz w:val="36"/>
                              <w:szCs w:val="36"/>
                              <w:lang w:val="en-US"/>
                            </w:rPr>
                            <w:t>202</w:t>
                          </w:r>
                          <w:r w:rsidR="00F753D2">
                            <w:rPr>
                              <w:rFonts w:ascii="BancoDoBrasil Textos" w:hAnsi="BancoDoBrasil Textos" w:cs="Arial Black"/>
                              <w:color w:val="FFFFFF" w:themeColor="background1"/>
                              <w:kern w:val="24"/>
                              <w:sz w:val="36"/>
                              <w:szCs w:val="36"/>
                              <w:lang w:val="en-US"/>
                            </w:rPr>
                            <w:t>4</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58436E7"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E67CDEF"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w:pict>
                  <v:shape w14:anchorId="5323D7A6"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rPr>
        <w:id w:val="-805697182"/>
        <w:docPartObj>
          <w:docPartGallery w:val="Table of Contents"/>
          <w:docPartUnique/>
        </w:docPartObj>
      </w:sdtPr>
      <w:sdtEndPr>
        <w:rPr>
          <w:rFonts w:eastAsiaTheme="minorEastAsia"/>
          <w:sz w:val="17"/>
          <w:szCs w:val="17"/>
          <w:lang w:val="en-US"/>
        </w:rPr>
      </w:sdtEndPr>
      <w:sdtContent>
        <w:p w14:paraId="246F856D" w14:textId="4E8B758D" w:rsidR="008353DA" w:rsidRPr="001A1B8C" w:rsidRDefault="002C5ECB" w:rsidP="00734925">
          <w:pPr>
            <w:pStyle w:val="CabealhodoSumrio"/>
            <w:jc w:val="center"/>
            <w:rPr>
              <w:rFonts w:ascii="Arial" w:hAnsi="Arial" w:cs="Arial"/>
              <w:b/>
              <w:color w:val="1F3864" w:themeColor="accent1" w:themeShade="80"/>
              <w:sz w:val="17"/>
              <w:szCs w:val="17"/>
            </w:rPr>
          </w:pPr>
          <w:r w:rsidRPr="001A1B8C">
            <w:rPr>
              <w:rFonts w:ascii="Arial" w:hAnsi="Arial" w:cs="Arial"/>
              <w:b/>
              <w:color w:val="1F3864" w:themeColor="accent1" w:themeShade="80"/>
              <w:sz w:val="17"/>
              <w:szCs w:val="17"/>
            </w:rPr>
            <w:t>INDEX</w:t>
          </w:r>
        </w:p>
        <w:p w14:paraId="09CA6EC0" w14:textId="2891380B" w:rsidR="001A1B8C" w:rsidRPr="001A1B8C" w:rsidRDefault="008353DA"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r w:rsidRPr="001A1B8C">
            <w:rPr>
              <w:color w:val="1F3864" w:themeColor="accent1" w:themeShade="80"/>
            </w:rPr>
            <w:fldChar w:fldCharType="begin"/>
          </w:r>
          <w:r w:rsidRPr="001A1B8C">
            <w:rPr>
              <w:color w:val="1F3864" w:themeColor="accent1" w:themeShade="80"/>
            </w:rPr>
            <w:instrText xml:space="preserve"> TOC \o "1-1" \h \z \u </w:instrText>
          </w:r>
          <w:r w:rsidRPr="001A1B8C">
            <w:rPr>
              <w:color w:val="1F3864" w:themeColor="accent1" w:themeShade="80"/>
            </w:rPr>
            <w:fldChar w:fldCharType="separate"/>
          </w:r>
          <w:hyperlink w:anchor="_Toc190680614" w:history="1">
            <w:r w:rsidR="001A1B8C" w:rsidRPr="001A1B8C">
              <w:rPr>
                <w:rStyle w:val="Hyperlink"/>
                <w:color w:val="023160" w:themeColor="hyperlink" w:themeShade="80"/>
              </w:rPr>
              <w:t>MANAGEMENT COMMENTS ON PERFORMACE</w:t>
            </w:r>
            <w:r w:rsidR="001A1B8C" w:rsidRPr="001A1B8C">
              <w:rPr>
                <w:webHidden/>
                <w:color w:val="1F3864" w:themeColor="accent1" w:themeShade="80"/>
              </w:rPr>
              <w:tab/>
            </w:r>
            <w:r w:rsidR="001A1B8C" w:rsidRPr="001A1B8C">
              <w:rPr>
                <w:webHidden/>
                <w:color w:val="1F3864" w:themeColor="accent1" w:themeShade="80"/>
              </w:rPr>
              <w:fldChar w:fldCharType="begin"/>
            </w:r>
            <w:r w:rsidR="001A1B8C" w:rsidRPr="001A1B8C">
              <w:rPr>
                <w:webHidden/>
                <w:color w:val="1F3864" w:themeColor="accent1" w:themeShade="80"/>
              </w:rPr>
              <w:instrText xml:space="preserve"> PAGEREF _Toc190680614 \h </w:instrText>
            </w:r>
            <w:r w:rsidR="001A1B8C" w:rsidRPr="001A1B8C">
              <w:rPr>
                <w:webHidden/>
                <w:color w:val="1F3864" w:themeColor="accent1" w:themeShade="80"/>
              </w:rPr>
            </w:r>
            <w:r w:rsidR="001A1B8C" w:rsidRPr="001A1B8C">
              <w:rPr>
                <w:webHidden/>
                <w:color w:val="1F3864" w:themeColor="accent1" w:themeShade="80"/>
              </w:rPr>
              <w:fldChar w:fldCharType="separate"/>
            </w:r>
            <w:r w:rsidR="00D05F8E">
              <w:rPr>
                <w:webHidden/>
                <w:color w:val="1F3864" w:themeColor="accent1" w:themeShade="80"/>
              </w:rPr>
              <w:t>1</w:t>
            </w:r>
            <w:r w:rsidR="001A1B8C" w:rsidRPr="001A1B8C">
              <w:rPr>
                <w:webHidden/>
                <w:color w:val="1F3864" w:themeColor="accent1" w:themeShade="80"/>
              </w:rPr>
              <w:fldChar w:fldCharType="end"/>
            </w:r>
          </w:hyperlink>
        </w:p>
        <w:p w14:paraId="36077346" w14:textId="6FBFAE9C"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15" w:history="1">
            <w:r w:rsidRPr="001A1B8C">
              <w:rPr>
                <w:rStyle w:val="Hyperlink"/>
                <w:color w:val="023160" w:themeColor="hyperlink" w:themeShade="80"/>
              </w:rPr>
              <w:t>STATEMENT OF INCOME</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_Toc190680615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6</w:t>
            </w:r>
            <w:r w:rsidRPr="001A1B8C">
              <w:rPr>
                <w:webHidden/>
                <w:color w:val="1F3864" w:themeColor="accent1" w:themeShade="80"/>
              </w:rPr>
              <w:fldChar w:fldCharType="end"/>
            </w:r>
          </w:hyperlink>
        </w:p>
        <w:p w14:paraId="56DE0EC2" w14:textId="6E72F9F3"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16" w:history="1">
            <w:r w:rsidRPr="001A1B8C">
              <w:rPr>
                <w:rStyle w:val="Hyperlink"/>
                <w:color w:val="023160" w:themeColor="hyperlink" w:themeShade="80"/>
              </w:rPr>
              <w:t>STATEMENT OF COMPREHENSIVE INCOME</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_Toc190680616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6</w:t>
            </w:r>
            <w:r w:rsidRPr="001A1B8C">
              <w:rPr>
                <w:webHidden/>
                <w:color w:val="1F3864" w:themeColor="accent1" w:themeShade="80"/>
              </w:rPr>
              <w:fldChar w:fldCharType="end"/>
            </w:r>
          </w:hyperlink>
        </w:p>
        <w:p w14:paraId="1FE90983" w14:textId="31BB7116"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17" w:history="1">
            <w:r w:rsidRPr="001A1B8C">
              <w:rPr>
                <w:rStyle w:val="Hyperlink"/>
                <w:color w:val="023160" w:themeColor="hyperlink" w:themeShade="80"/>
              </w:rPr>
              <w:t>BALANCE SHEET</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_Toc190680617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7</w:t>
            </w:r>
            <w:r w:rsidRPr="001A1B8C">
              <w:rPr>
                <w:webHidden/>
                <w:color w:val="1F3864" w:themeColor="accent1" w:themeShade="80"/>
              </w:rPr>
              <w:fldChar w:fldCharType="end"/>
            </w:r>
          </w:hyperlink>
        </w:p>
        <w:p w14:paraId="4A1EA2AF" w14:textId="11019F7F"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18" w:history="1">
            <w:r w:rsidRPr="001A1B8C">
              <w:rPr>
                <w:rStyle w:val="Hyperlink"/>
                <w:color w:val="023160" w:themeColor="hyperlink" w:themeShade="80"/>
              </w:rPr>
              <w:t>STATEMENT OF CASH FLOWS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_Toc190680618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8</w:t>
            </w:r>
            <w:r w:rsidRPr="001A1B8C">
              <w:rPr>
                <w:webHidden/>
                <w:color w:val="1F3864" w:themeColor="accent1" w:themeShade="80"/>
              </w:rPr>
              <w:fldChar w:fldCharType="end"/>
            </w:r>
          </w:hyperlink>
        </w:p>
        <w:p w14:paraId="1453E0FA" w14:textId="5AC54B4F"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19" w:history="1">
            <w:r w:rsidRPr="001A1B8C">
              <w:rPr>
                <w:rStyle w:val="Hyperlink"/>
                <w:color w:val="023160" w:themeColor="hyperlink" w:themeShade="80"/>
              </w:rPr>
              <w:t>STATEMENT OF CHANGES IN EQUITY</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_Toc190680619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9</w:t>
            </w:r>
            <w:r w:rsidRPr="001A1B8C">
              <w:rPr>
                <w:webHidden/>
                <w:color w:val="1F3864" w:themeColor="accent1" w:themeShade="80"/>
              </w:rPr>
              <w:fldChar w:fldCharType="end"/>
            </w:r>
          </w:hyperlink>
        </w:p>
        <w:p w14:paraId="70EAA2A5" w14:textId="7EC85B14"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0" w:history="1">
            <w:r w:rsidRPr="001A1B8C">
              <w:rPr>
                <w:rStyle w:val="Hyperlink"/>
                <w:color w:val="023160" w:themeColor="hyperlink" w:themeShade="80"/>
              </w:rPr>
              <w:t>STATEMENT OF VALUE ADDED</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_Toc190680620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10</w:t>
            </w:r>
            <w:r w:rsidRPr="001A1B8C">
              <w:rPr>
                <w:webHidden/>
                <w:color w:val="1F3864" w:themeColor="accent1" w:themeShade="80"/>
              </w:rPr>
              <w:fldChar w:fldCharType="end"/>
            </w:r>
          </w:hyperlink>
        </w:p>
        <w:p w14:paraId="746E8D3F" w14:textId="2A7DAC65"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1" w:history="1">
            <w:r w:rsidRPr="001A1B8C">
              <w:rPr>
                <w:rStyle w:val="Hyperlink"/>
                <w:color w:val="023160" w:themeColor="hyperlink" w:themeShade="80"/>
              </w:rPr>
              <w:t>EXPLANATORY NOTES TO THE FINANCIAL STATEMENTS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_Toc190680621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11</w:t>
            </w:r>
            <w:r w:rsidRPr="001A1B8C">
              <w:rPr>
                <w:webHidden/>
                <w:color w:val="1F3864" w:themeColor="accent1" w:themeShade="80"/>
              </w:rPr>
              <w:fldChar w:fldCharType="end"/>
            </w:r>
          </w:hyperlink>
        </w:p>
        <w:p w14:paraId="502DAD16" w14:textId="1292BFA5"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2" w:history="1">
            <w:r w:rsidRPr="001A1B8C">
              <w:rPr>
                <w:rStyle w:val="Hyperlink"/>
                <w:color w:val="023160" w:themeColor="hyperlink" w:themeShade="80"/>
              </w:rPr>
              <w:t>1 - OPERATIONAL CONTEXT</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_Toc190680622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11</w:t>
            </w:r>
            <w:r w:rsidRPr="001A1B8C">
              <w:rPr>
                <w:webHidden/>
                <w:color w:val="1F3864" w:themeColor="accent1" w:themeShade="80"/>
              </w:rPr>
              <w:fldChar w:fldCharType="end"/>
            </w:r>
          </w:hyperlink>
        </w:p>
        <w:p w14:paraId="035600EF" w14:textId="73830604"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3" w:history="1">
            <w:r w:rsidRPr="001A1B8C">
              <w:rPr>
                <w:rStyle w:val="Hyperlink"/>
                <w:color w:val="023160" w:themeColor="hyperlink" w:themeShade="80"/>
              </w:rPr>
              <w:t>2 – PRESENTATION OF FINANCIAL STATEMENTS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_Toc190680623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12</w:t>
            </w:r>
            <w:r w:rsidRPr="001A1B8C">
              <w:rPr>
                <w:webHidden/>
                <w:color w:val="1F3864" w:themeColor="accent1" w:themeShade="80"/>
              </w:rPr>
              <w:fldChar w:fldCharType="end"/>
            </w:r>
          </w:hyperlink>
        </w:p>
        <w:p w14:paraId="156E7F6F" w14:textId="56AADCC9"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4" w:history="1">
            <w:r w:rsidRPr="001A1B8C">
              <w:rPr>
                <w:rStyle w:val="Hyperlink"/>
                <w:color w:val="023160" w:themeColor="hyperlink" w:themeShade="80"/>
              </w:rPr>
              <w:t>3 – DESCRIPTION OF KEY ACCOUNTING POLICIES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_Toc190680624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13</w:t>
            </w:r>
            <w:r w:rsidRPr="001A1B8C">
              <w:rPr>
                <w:webHidden/>
                <w:color w:val="1F3864" w:themeColor="accent1" w:themeShade="80"/>
              </w:rPr>
              <w:fldChar w:fldCharType="end"/>
            </w:r>
          </w:hyperlink>
        </w:p>
        <w:p w14:paraId="4B1B780D" w14:textId="3196A1CA"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5" w:history="1">
            <w:r w:rsidRPr="001A1B8C">
              <w:rPr>
                <w:rStyle w:val="Hyperlink"/>
                <w:color w:val="023160" w:themeColor="hyperlink" w:themeShade="80"/>
              </w:rPr>
              <w:t>4 – ACQUISITIONS, DISPOSALS AND CORPORATE RESTRUCTURINGS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_Toc190680625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19</w:t>
            </w:r>
            <w:r w:rsidRPr="001A1B8C">
              <w:rPr>
                <w:webHidden/>
                <w:color w:val="1F3864" w:themeColor="accent1" w:themeShade="80"/>
              </w:rPr>
              <w:fldChar w:fldCharType="end"/>
            </w:r>
          </w:hyperlink>
        </w:p>
        <w:p w14:paraId="77D9636F" w14:textId="22DFCF5D"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6" w:history="1">
            <w:r w:rsidRPr="001A1B8C">
              <w:rPr>
                <w:rStyle w:val="Hyperlink"/>
                <w:color w:val="023160" w:themeColor="hyperlink" w:themeShade="80"/>
              </w:rPr>
              <w:t>5 – RISK MANAGEMENT</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_Toc190680626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20</w:t>
            </w:r>
            <w:r w:rsidRPr="001A1B8C">
              <w:rPr>
                <w:webHidden/>
                <w:color w:val="1F3864" w:themeColor="accent1" w:themeShade="80"/>
              </w:rPr>
              <w:fldChar w:fldCharType="end"/>
            </w:r>
          </w:hyperlink>
        </w:p>
        <w:p w14:paraId="69C89BEC" w14:textId="7B0BE5C3"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7" w:history="1">
            <w:r w:rsidRPr="001A1B8C">
              <w:rPr>
                <w:rStyle w:val="Hyperlink"/>
                <w:color w:val="023160" w:themeColor="hyperlink" w:themeShade="80"/>
              </w:rPr>
              <w:t>6 – SEGMENT INFORMATION</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_Toc190680627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24</w:t>
            </w:r>
            <w:r w:rsidRPr="001A1B8C">
              <w:rPr>
                <w:webHidden/>
                <w:color w:val="1F3864" w:themeColor="accent1" w:themeShade="80"/>
              </w:rPr>
              <w:fldChar w:fldCharType="end"/>
            </w:r>
          </w:hyperlink>
        </w:p>
        <w:p w14:paraId="50129DA7" w14:textId="7AED14A4"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8" w:history="1">
            <w:r w:rsidRPr="001A1B8C">
              <w:rPr>
                <w:rStyle w:val="Hyperlink"/>
                <w:color w:val="023160" w:themeColor="hyperlink" w:themeShade="80"/>
              </w:rPr>
              <w:t>7 - INVESTMENTS IN ASSOCIATES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_Toc190680628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26</w:t>
            </w:r>
            <w:r w:rsidRPr="001A1B8C">
              <w:rPr>
                <w:webHidden/>
                <w:color w:val="1F3864" w:themeColor="accent1" w:themeShade="80"/>
              </w:rPr>
              <w:fldChar w:fldCharType="end"/>
            </w:r>
          </w:hyperlink>
        </w:p>
        <w:p w14:paraId="7536DF3D" w14:textId="00C025AF"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29" w:history="1">
            <w:r w:rsidRPr="001A1B8C">
              <w:rPr>
                <w:rStyle w:val="Hyperlink"/>
                <w:color w:val="023160" w:themeColor="hyperlink" w:themeShade="80"/>
              </w:rPr>
              <w:t>8 – COMMISSIONS INCOME</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_Toc190680629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43</w:t>
            </w:r>
            <w:r w:rsidRPr="001A1B8C">
              <w:rPr>
                <w:webHidden/>
                <w:color w:val="1F3864" w:themeColor="accent1" w:themeShade="80"/>
              </w:rPr>
              <w:fldChar w:fldCharType="end"/>
            </w:r>
          </w:hyperlink>
        </w:p>
        <w:p w14:paraId="551F239D" w14:textId="4D2463AC"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0" w:history="1">
            <w:r w:rsidRPr="001A1B8C">
              <w:rPr>
                <w:rStyle w:val="Hyperlink"/>
                <w:color w:val="023160" w:themeColor="hyperlink" w:themeShade="80"/>
              </w:rPr>
              <w:t>9 – COSTS OF SERVICES PROVIDED</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_Toc190680630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43</w:t>
            </w:r>
            <w:r w:rsidRPr="001A1B8C">
              <w:rPr>
                <w:webHidden/>
                <w:color w:val="1F3864" w:themeColor="accent1" w:themeShade="80"/>
              </w:rPr>
              <w:fldChar w:fldCharType="end"/>
            </w:r>
          </w:hyperlink>
        </w:p>
        <w:p w14:paraId="26A63300" w14:textId="7DD2509C"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1" w:history="1">
            <w:r w:rsidRPr="001A1B8C">
              <w:rPr>
                <w:rStyle w:val="Hyperlink"/>
                <w:color w:val="023160" w:themeColor="hyperlink" w:themeShade="80"/>
              </w:rPr>
              <w:t>10 – PERSONNEL EXPENSES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_Toc190680631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43</w:t>
            </w:r>
            <w:r w:rsidRPr="001A1B8C">
              <w:rPr>
                <w:webHidden/>
                <w:color w:val="1F3864" w:themeColor="accent1" w:themeShade="80"/>
              </w:rPr>
              <w:fldChar w:fldCharType="end"/>
            </w:r>
          </w:hyperlink>
        </w:p>
        <w:p w14:paraId="50FF4F3B" w14:textId="19861933"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2" w:history="1">
            <w:r w:rsidRPr="001A1B8C">
              <w:rPr>
                <w:rStyle w:val="Hyperlink"/>
                <w:color w:val="023160" w:themeColor="hyperlink" w:themeShade="80"/>
              </w:rPr>
              <w:t>11 – ADMINISTRATIVE EXPENSES AND SALES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_Toc190680632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44</w:t>
            </w:r>
            <w:r w:rsidRPr="001A1B8C">
              <w:rPr>
                <w:webHidden/>
                <w:color w:val="1F3864" w:themeColor="accent1" w:themeShade="80"/>
              </w:rPr>
              <w:fldChar w:fldCharType="end"/>
            </w:r>
          </w:hyperlink>
        </w:p>
        <w:p w14:paraId="6D8F682B" w14:textId="2C250429"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3" w:history="1">
            <w:r w:rsidRPr="001A1B8C">
              <w:rPr>
                <w:rStyle w:val="Hyperlink"/>
                <w:color w:val="023160" w:themeColor="hyperlink" w:themeShade="80"/>
              </w:rPr>
              <w:t>12 – TAXES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_Toc190680633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44</w:t>
            </w:r>
            <w:r w:rsidRPr="001A1B8C">
              <w:rPr>
                <w:webHidden/>
                <w:color w:val="1F3864" w:themeColor="accent1" w:themeShade="80"/>
              </w:rPr>
              <w:fldChar w:fldCharType="end"/>
            </w:r>
          </w:hyperlink>
        </w:p>
        <w:p w14:paraId="319C1C61" w14:textId="3A20DAFB"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4" w:history="1">
            <w:r w:rsidRPr="001A1B8C">
              <w:rPr>
                <w:rStyle w:val="Hyperlink"/>
                <w:color w:val="023160" w:themeColor="hyperlink" w:themeShade="80"/>
              </w:rPr>
              <w:t>13 – OTHER INCOME AND EXPENSE</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_Toc190680634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46</w:t>
            </w:r>
            <w:r w:rsidRPr="001A1B8C">
              <w:rPr>
                <w:webHidden/>
                <w:color w:val="1F3864" w:themeColor="accent1" w:themeShade="80"/>
              </w:rPr>
              <w:fldChar w:fldCharType="end"/>
            </w:r>
          </w:hyperlink>
        </w:p>
        <w:p w14:paraId="4CF9784C" w14:textId="03854B78"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5" w:history="1">
            <w:r w:rsidRPr="001A1B8C">
              <w:rPr>
                <w:rStyle w:val="Hyperlink"/>
                <w:color w:val="023160" w:themeColor="hyperlink" w:themeShade="80"/>
              </w:rPr>
              <w:t>14 – FINANCIAL RESULT</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_Toc190680635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47</w:t>
            </w:r>
            <w:r w:rsidRPr="001A1B8C">
              <w:rPr>
                <w:webHidden/>
                <w:color w:val="1F3864" w:themeColor="accent1" w:themeShade="80"/>
              </w:rPr>
              <w:fldChar w:fldCharType="end"/>
            </w:r>
          </w:hyperlink>
        </w:p>
        <w:p w14:paraId="1988EB41" w14:textId="24F0D1CF"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6" w:history="1">
            <w:r w:rsidRPr="001A1B8C">
              <w:rPr>
                <w:rStyle w:val="Hyperlink"/>
                <w:color w:val="023160" w:themeColor="hyperlink" w:themeShade="80"/>
              </w:rPr>
              <w:t>15 – CASH AND CASH EQUIVALENTS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_Toc190680636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47</w:t>
            </w:r>
            <w:r w:rsidRPr="001A1B8C">
              <w:rPr>
                <w:webHidden/>
                <w:color w:val="1F3864" w:themeColor="accent1" w:themeShade="80"/>
              </w:rPr>
              <w:fldChar w:fldCharType="end"/>
            </w:r>
          </w:hyperlink>
        </w:p>
        <w:p w14:paraId="34B5E8D1" w14:textId="31C24F22"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7" w:history="1">
            <w:r w:rsidRPr="001A1B8C">
              <w:rPr>
                <w:rStyle w:val="Hyperlink"/>
                <w:color w:val="023160" w:themeColor="hyperlink" w:themeShade="80"/>
              </w:rPr>
              <w:t>16 – FINANCIAL INSTRUMENTS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_Toc190680637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47</w:t>
            </w:r>
            <w:r w:rsidRPr="001A1B8C">
              <w:rPr>
                <w:webHidden/>
                <w:color w:val="1F3864" w:themeColor="accent1" w:themeShade="80"/>
              </w:rPr>
              <w:fldChar w:fldCharType="end"/>
            </w:r>
          </w:hyperlink>
        </w:p>
        <w:p w14:paraId="41B1695A" w14:textId="0F7C9097"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8" w:history="1">
            <w:r w:rsidRPr="001A1B8C">
              <w:rPr>
                <w:rStyle w:val="Hyperlink"/>
                <w:color w:val="023160" w:themeColor="hyperlink" w:themeShade="80"/>
              </w:rPr>
              <w:t>17 – DIVIDENDS RECEIVABLE</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_Toc190680638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48</w:t>
            </w:r>
            <w:r w:rsidRPr="001A1B8C">
              <w:rPr>
                <w:webHidden/>
                <w:color w:val="1F3864" w:themeColor="accent1" w:themeShade="80"/>
              </w:rPr>
              <w:fldChar w:fldCharType="end"/>
            </w:r>
          </w:hyperlink>
        </w:p>
        <w:p w14:paraId="4E2369DA" w14:textId="46922AE2"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39" w:history="1">
            <w:r w:rsidRPr="001A1B8C">
              <w:rPr>
                <w:rStyle w:val="Hyperlink"/>
                <w:color w:val="023160" w:themeColor="hyperlink" w:themeShade="80"/>
              </w:rPr>
              <w:t>18 – COMMISSIONS RECEIVABLE</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_Toc190680639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49</w:t>
            </w:r>
            <w:r w:rsidRPr="001A1B8C">
              <w:rPr>
                <w:webHidden/>
                <w:color w:val="1F3864" w:themeColor="accent1" w:themeShade="80"/>
              </w:rPr>
              <w:fldChar w:fldCharType="end"/>
            </w:r>
          </w:hyperlink>
        </w:p>
        <w:p w14:paraId="3FA0A6F6" w14:textId="13FE2E5F"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0" w:history="1">
            <w:r w:rsidRPr="001A1B8C">
              <w:rPr>
                <w:rStyle w:val="Hyperlink"/>
                <w:color w:val="023160" w:themeColor="hyperlink" w:themeShade="80"/>
              </w:rPr>
              <w:t>19 – INTANGIBLE ASSET</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_Toc190680640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49</w:t>
            </w:r>
            <w:r w:rsidRPr="001A1B8C">
              <w:rPr>
                <w:webHidden/>
                <w:color w:val="1F3864" w:themeColor="accent1" w:themeShade="80"/>
              </w:rPr>
              <w:fldChar w:fldCharType="end"/>
            </w:r>
          </w:hyperlink>
        </w:p>
        <w:p w14:paraId="1132123F" w14:textId="1F0C3773"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1" w:history="1">
            <w:r w:rsidRPr="001A1B8C">
              <w:rPr>
                <w:rStyle w:val="Hyperlink"/>
                <w:color w:val="023160" w:themeColor="hyperlink" w:themeShade="80"/>
              </w:rPr>
              <w:t>20 – OTHER ASSETS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_Toc190680641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49</w:t>
            </w:r>
            <w:r w:rsidRPr="001A1B8C">
              <w:rPr>
                <w:webHidden/>
                <w:color w:val="1F3864" w:themeColor="accent1" w:themeShade="80"/>
              </w:rPr>
              <w:fldChar w:fldCharType="end"/>
            </w:r>
          </w:hyperlink>
        </w:p>
        <w:p w14:paraId="48F2BD6C" w14:textId="54B3D082"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2" w:history="1">
            <w:r w:rsidRPr="001A1B8C">
              <w:rPr>
                <w:rStyle w:val="Hyperlink"/>
                <w:color w:val="023160" w:themeColor="hyperlink" w:themeShade="80"/>
              </w:rPr>
              <w:t>21 – CORPORATE AND STATUTORY OBLIGATIONS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_Toc190680642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50</w:t>
            </w:r>
            <w:r w:rsidRPr="001A1B8C">
              <w:rPr>
                <w:webHidden/>
                <w:color w:val="1F3864" w:themeColor="accent1" w:themeShade="80"/>
              </w:rPr>
              <w:fldChar w:fldCharType="end"/>
            </w:r>
          </w:hyperlink>
        </w:p>
        <w:p w14:paraId="2359BD77" w14:textId="36247816"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3" w:history="1">
            <w:r w:rsidRPr="001A1B8C">
              <w:rPr>
                <w:rStyle w:val="Hyperlink"/>
                <w:color w:val="023160" w:themeColor="hyperlink" w:themeShade="80"/>
              </w:rPr>
              <w:t>22 – PROVISIONS AND CONTINGENT LIABILITIES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_Toc190680643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50</w:t>
            </w:r>
            <w:r w:rsidRPr="001A1B8C">
              <w:rPr>
                <w:webHidden/>
                <w:color w:val="1F3864" w:themeColor="accent1" w:themeShade="80"/>
              </w:rPr>
              <w:fldChar w:fldCharType="end"/>
            </w:r>
          </w:hyperlink>
        </w:p>
        <w:p w14:paraId="44C640EB" w14:textId="4D3B209E"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4" w:history="1">
            <w:r w:rsidRPr="001A1B8C">
              <w:rPr>
                <w:rStyle w:val="Hyperlink"/>
                <w:color w:val="023160" w:themeColor="hyperlink" w:themeShade="80"/>
              </w:rPr>
              <w:t>23 – UNEARDED COMMISSIONS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_Toc190680644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52</w:t>
            </w:r>
            <w:r w:rsidRPr="001A1B8C">
              <w:rPr>
                <w:webHidden/>
                <w:color w:val="1F3864" w:themeColor="accent1" w:themeShade="80"/>
              </w:rPr>
              <w:fldChar w:fldCharType="end"/>
            </w:r>
          </w:hyperlink>
        </w:p>
        <w:p w14:paraId="04B5442D" w14:textId="102E8148"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5" w:history="1">
            <w:r w:rsidRPr="001A1B8C">
              <w:rPr>
                <w:rStyle w:val="Hyperlink"/>
                <w:color w:val="023160" w:themeColor="hyperlink" w:themeShade="80"/>
              </w:rPr>
              <w:t>24 – OTHER LIABILITIES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_Toc190680645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52</w:t>
            </w:r>
            <w:r w:rsidRPr="001A1B8C">
              <w:rPr>
                <w:webHidden/>
                <w:color w:val="1F3864" w:themeColor="accent1" w:themeShade="80"/>
              </w:rPr>
              <w:fldChar w:fldCharType="end"/>
            </w:r>
          </w:hyperlink>
        </w:p>
        <w:p w14:paraId="39052CCB" w14:textId="36B9D902"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6" w:history="1">
            <w:r w:rsidRPr="001A1B8C">
              <w:rPr>
                <w:rStyle w:val="Hyperlink"/>
                <w:color w:val="023160" w:themeColor="hyperlink" w:themeShade="80"/>
              </w:rPr>
              <w:t>25 – EQUITY</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_Toc190680646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53</w:t>
            </w:r>
            <w:r w:rsidRPr="001A1B8C">
              <w:rPr>
                <w:webHidden/>
                <w:color w:val="1F3864" w:themeColor="accent1" w:themeShade="80"/>
              </w:rPr>
              <w:fldChar w:fldCharType="end"/>
            </w:r>
          </w:hyperlink>
        </w:p>
        <w:p w14:paraId="1694354D" w14:textId="76CA7A0D"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7" w:history="1">
            <w:r w:rsidRPr="001A1B8C">
              <w:rPr>
                <w:rStyle w:val="Hyperlink"/>
                <w:color w:val="023160" w:themeColor="hyperlink" w:themeShade="80"/>
              </w:rPr>
              <w:t>26 – RELATED PARTY TRANSACTIONS</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_Toc190680647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56</w:t>
            </w:r>
            <w:r w:rsidRPr="001A1B8C">
              <w:rPr>
                <w:webHidden/>
                <w:color w:val="1F3864" w:themeColor="accent1" w:themeShade="80"/>
              </w:rPr>
              <w:fldChar w:fldCharType="end"/>
            </w:r>
          </w:hyperlink>
        </w:p>
        <w:p w14:paraId="4ECD7E5F" w14:textId="6E178F88" w:rsidR="001A1B8C" w:rsidRPr="001A1B8C" w:rsidRDefault="001A1B8C" w:rsidP="00E25ACB">
          <w:pPr>
            <w:pStyle w:val="Sumrio1"/>
            <w:rPr>
              <w:rFonts w:asciiTheme="minorHAnsi" w:hAnsiTheme="minorHAnsi" w:cstheme="minorBidi"/>
              <w:color w:val="auto"/>
              <w:kern w:val="2"/>
              <w:lang w:eastAsia="pt-BR"/>
              <w14:textFill>
                <w14:solidFill>
                  <w14:srgbClr w14:val="000000">
                    <w14:lumMod w14:val="50000"/>
                  </w14:srgbClr>
                </w14:solidFill>
              </w14:textFill>
              <w14:ligatures w14:val="standardContextual"/>
            </w:rPr>
          </w:pPr>
          <w:hyperlink w:anchor="_Toc190680648" w:history="1">
            <w:r w:rsidRPr="001A1B8C">
              <w:rPr>
                <w:rStyle w:val="Hyperlink"/>
                <w:color w:val="023160" w:themeColor="hyperlink" w:themeShade="80"/>
              </w:rPr>
              <w:t>27 – OTHER INFORMATION</w:t>
            </w:r>
            <w:r w:rsidRPr="001A1B8C">
              <w:rPr>
                <w:webHidden/>
                <w:color w:val="1F3864" w:themeColor="accent1" w:themeShade="80"/>
              </w:rPr>
              <w:tab/>
            </w:r>
            <w:r w:rsidRPr="001A1B8C">
              <w:rPr>
                <w:webHidden/>
                <w:color w:val="1F3864" w:themeColor="accent1" w:themeShade="80"/>
              </w:rPr>
              <w:fldChar w:fldCharType="begin"/>
            </w:r>
            <w:r w:rsidRPr="001A1B8C">
              <w:rPr>
                <w:webHidden/>
                <w:color w:val="1F3864" w:themeColor="accent1" w:themeShade="80"/>
              </w:rPr>
              <w:instrText xml:space="preserve"> PAGEREF _Toc190680648 \h </w:instrText>
            </w:r>
            <w:r w:rsidRPr="001A1B8C">
              <w:rPr>
                <w:webHidden/>
                <w:color w:val="1F3864" w:themeColor="accent1" w:themeShade="80"/>
              </w:rPr>
            </w:r>
            <w:r w:rsidRPr="001A1B8C">
              <w:rPr>
                <w:webHidden/>
                <w:color w:val="1F3864" w:themeColor="accent1" w:themeShade="80"/>
              </w:rPr>
              <w:fldChar w:fldCharType="separate"/>
            </w:r>
            <w:r w:rsidR="00D05F8E">
              <w:rPr>
                <w:webHidden/>
                <w:color w:val="1F3864" w:themeColor="accent1" w:themeShade="80"/>
              </w:rPr>
              <w:t>59</w:t>
            </w:r>
            <w:r w:rsidRPr="001A1B8C">
              <w:rPr>
                <w:webHidden/>
                <w:color w:val="1F3864" w:themeColor="accent1" w:themeShade="80"/>
              </w:rPr>
              <w:fldChar w:fldCharType="end"/>
            </w:r>
          </w:hyperlink>
        </w:p>
        <w:p w14:paraId="5C2ECDF7" w14:textId="44006D19" w:rsidR="008353DA" w:rsidRPr="00F75A7D" w:rsidRDefault="008353DA" w:rsidP="00E25ACB">
          <w:pPr>
            <w:pStyle w:val="Sumrio1"/>
            <w:rPr>
              <w:color w:val="1F3864" w:themeColor="accent1" w:themeShade="80"/>
            </w:rPr>
          </w:pPr>
          <w:r w:rsidRPr="001A1B8C">
            <w:rPr>
              <w:color w:val="1F3864" w:themeColor="accent1" w:themeShade="80"/>
            </w:rPr>
            <w:fldChar w:fldCharType="end"/>
          </w:r>
        </w:p>
      </w:sdtContent>
    </w:sdt>
    <w:p w14:paraId="07566AA3" w14:textId="32802F2C" w:rsidR="000F3145" w:rsidRPr="00E25ACB" w:rsidRDefault="00E25ACB" w:rsidP="00E25ACB">
      <w:pPr>
        <w:pStyle w:val="Sumrio1"/>
        <w:rPr>
          <w:color w:val="1F3864" w:themeColor="accent1" w:themeShade="80"/>
        </w:rPr>
      </w:pPr>
      <w:hyperlink w:anchor="KPMG" w:history="1">
        <w:r w:rsidR="000F3145" w:rsidRPr="00E25ACB">
          <w:rPr>
            <w:color w:val="1F3864" w:themeColor="accent1" w:themeShade="80"/>
          </w:rPr>
          <w:t>REPORT OF INDEPENDENT AUDITORS FOR FINANCIAL STATEMENTS</w:t>
        </w:r>
      </w:hyperlink>
    </w:p>
    <w:p w14:paraId="1945A192" w14:textId="5E859713" w:rsidR="000F3145" w:rsidRPr="00E25ACB" w:rsidRDefault="00E25ACB" w:rsidP="00E25ACB">
      <w:pPr>
        <w:pStyle w:val="Sumrio1"/>
        <w:rPr>
          <w:color w:val="1F3864" w:themeColor="accent1" w:themeShade="80"/>
        </w:rPr>
      </w:pPr>
      <w:hyperlink w:anchor="AUDIT" w:history="1">
        <w:r w:rsidR="000F3145" w:rsidRPr="00E25ACB">
          <w:rPr>
            <w:color w:val="1F3864" w:themeColor="accent1" w:themeShade="80"/>
          </w:rPr>
          <w:t>AUDIT COMMITTEE REPORT SUMMARY - FISCAL YEAR 2024</w:t>
        </w:r>
      </w:hyperlink>
    </w:p>
    <w:p w14:paraId="1F5413EA" w14:textId="6CAB7C77" w:rsidR="000F3145" w:rsidRPr="00E25ACB" w:rsidRDefault="00E25ACB" w:rsidP="00E25ACB">
      <w:pPr>
        <w:pStyle w:val="Sumrio1"/>
        <w:rPr>
          <w:color w:val="1F3864" w:themeColor="accent1" w:themeShade="80"/>
        </w:rPr>
      </w:pPr>
      <w:hyperlink w:anchor="FISCAL" w:history="1">
        <w:r w:rsidR="000F3145" w:rsidRPr="00E25ACB">
          <w:rPr>
            <w:color w:val="1F3864" w:themeColor="accent1" w:themeShade="80"/>
          </w:rPr>
          <w:t>FISCAL COUNCIL REPORT</w:t>
        </w:r>
      </w:hyperlink>
    </w:p>
    <w:p w14:paraId="778CC27C" w14:textId="17673D9D" w:rsidR="000F3145" w:rsidRPr="00E25ACB" w:rsidRDefault="00E25ACB" w:rsidP="00E25ACB">
      <w:pPr>
        <w:pStyle w:val="Sumrio1"/>
        <w:rPr>
          <w:color w:val="1F3864" w:themeColor="accent1" w:themeShade="80"/>
        </w:rPr>
      </w:pPr>
      <w:hyperlink w:anchor="DECLARATIONOF" w:history="1">
        <w:r w:rsidR="000F3145" w:rsidRPr="00E25ACB">
          <w:rPr>
            <w:color w:val="1F3864" w:themeColor="accent1" w:themeShade="80"/>
          </w:rPr>
          <w:t>DECLARATION OF THE MEMBERS OF THE EXECUTIVE BOARD ABOUT THE FINANCIAL STATEMENTS</w:t>
        </w:r>
      </w:hyperlink>
    </w:p>
    <w:p w14:paraId="6E0DFE03" w14:textId="6C0DA445" w:rsidR="000F3145" w:rsidRPr="00E25ACB" w:rsidRDefault="00E25ACB" w:rsidP="00E25ACB">
      <w:pPr>
        <w:pStyle w:val="Sumrio1"/>
        <w:rPr>
          <w:color w:val="1F3864" w:themeColor="accent1" w:themeShade="80"/>
        </w:rPr>
      </w:pPr>
      <w:hyperlink w:anchor="DECLARATION" w:history="1">
        <w:r w:rsidR="00F672DB">
          <w:rPr>
            <w:color w:val="1F3864" w:themeColor="accent1" w:themeShade="80"/>
          </w:rPr>
          <w:t>DECLARATION</w:t>
        </w:r>
        <w:r w:rsidR="000F3145" w:rsidRPr="00E25ACB">
          <w:rPr>
            <w:color w:val="1F3864" w:themeColor="accent1" w:themeShade="80"/>
          </w:rPr>
          <w:t xml:space="preserve"> OF THE MEMBERS OF THE EXECUTIVE BOARD ON THE REPORT OF THE INDEPENDENT AUDITORS</w:t>
        </w:r>
      </w:hyperlink>
    </w:p>
    <w:p w14:paraId="3010375E" w14:textId="6EB36AA0" w:rsidR="00042818" w:rsidRPr="00E25ACB" w:rsidRDefault="00E25ACB" w:rsidP="00E25ACB">
      <w:pPr>
        <w:pStyle w:val="Sumrio1"/>
        <w:rPr>
          <w:color w:val="1F3864" w:themeColor="accent1" w:themeShade="80"/>
        </w:rPr>
      </w:pPr>
      <w:r>
        <w:rPr>
          <w:color w:val="1F3864" w:themeColor="accent1" w:themeShade="80"/>
          <w:sz w:val="20"/>
        </w:rPr>
        <mc:AlternateContent>
          <mc:Choice Requires="wps">
            <w:drawing>
              <wp:anchor distT="0" distB="0" distL="114300" distR="114300" simplePos="0" relativeHeight="251659281" behindDoc="0" locked="0" layoutInCell="1" allowOverlap="1" wp14:anchorId="2C99740B" wp14:editId="11829CBA">
                <wp:simplePos x="0" y="0"/>
                <wp:positionH relativeFrom="page">
                  <wp:posOffset>6451600</wp:posOffset>
                </wp:positionH>
                <wp:positionV relativeFrom="paragraph">
                  <wp:posOffset>5715</wp:posOffset>
                </wp:positionV>
                <wp:extent cx="876935" cy="1106805"/>
                <wp:effectExtent l="0" t="0" r="18415" b="17145"/>
                <wp:wrapNone/>
                <wp:docPr id="1023735818" name="Retângulo 2"/>
                <wp:cNvGraphicFramePr/>
                <a:graphic xmlns:a="http://schemas.openxmlformats.org/drawingml/2006/main">
                  <a:graphicData uri="http://schemas.microsoft.com/office/word/2010/wordprocessingShape">
                    <wps:wsp>
                      <wps:cNvSpPr/>
                      <wps:spPr>
                        <a:xfrm>
                          <a:off x="0" y="0"/>
                          <a:ext cx="876935" cy="11068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0E78E" id="Retângulo 2" o:spid="_x0000_s1026" style="position:absolute;margin-left:508pt;margin-top:.45pt;width:69.05pt;height:87.15pt;z-index:251659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" fillcolor="white [3201]" strokecolor="white [3212]" strokeweight="1pt">
                <w10:wrap anchorx="page"/>
              </v:rect>
            </w:pict>
          </mc:Fallback>
        </mc:AlternateContent>
      </w:r>
      <w:hyperlink w:anchor="MEMBERS" w:history="1">
        <w:r w:rsidR="000F3145" w:rsidRPr="00E25ACB">
          <w:rPr>
            <w:color w:val="1F3864" w:themeColor="accent1" w:themeShade="80"/>
          </w:rPr>
          <w:t>MEMBERS OF THE MANAGEMENT BODIES</w:t>
        </w:r>
        <w:bookmarkStart w:id="1" w:name="_Toc149573377"/>
        <w:bookmarkStart w:id="2" w:name="_Toc157446705"/>
      </w:hyperlink>
    </w:p>
    <w:p w14:paraId="1AFDD28E" w14:textId="404C8169" w:rsidR="00E25ACB" w:rsidRDefault="00E25ACB" w:rsidP="00A27E15">
      <w:pPr>
        <w:rPr>
          <w:rFonts w:ascii="Arial" w:hAnsi="Arial" w:cs="Arial"/>
          <w:b/>
          <w:color w:val="1F3864" w:themeColor="accent1" w:themeShade="80"/>
          <w:sz w:val="17"/>
          <w:szCs w:val="17"/>
          <w:lang w:val="en-US"/>
        </w:rPr>
      </w:pPr>
    </w:p>
    <w:p w14:paraId="5970FAAC" w14:textId="7A9E6DBE" w:rsidR="00E25ACB" w:rsidRDefault="00E25ACB" w:rsidP="00A27E15">
      <w:pPr>
        <w:rPr>
          <w:rFonts w:ascii="Arial" w:hAnsi="Arial" w:cs="Arial"/>
          <w:b/>
          <w:color w:val="1F3864" w:themeColor="accent1" w:themeShade="80"/>
          <w:sz w:val="20"/>
          <w:lang w:val="en-US"/>
        </w:rPr>
        <w:sectPr w:rsidR="00E25ACB" w:rsidSect="001A7DD8">
          <w:headerReference w:type="even" r:id="rId10"/>
          <w:headerReference w:type="default" r:id="rId11"/>
          <w:footerReference w:type="even" r:id="rId12"/>
          <w:footerReference w:type="default" r:id="rId13"/>
          <w:headerReference w:type="first" r:id="rId14"/>
          <w:footerReference w:type="first" r:id="rId15"/>
          <w:type w:val="evenPage"/>
          <w:pgSz w:w="11907" w:h="16840" w:code="9"/>
          <w:pgMar w:top="993" w:right="1134" w:bottom="567" w:left="1134" w:header="851" w:footer="567" w:gutter="0"/>
          <w:cols w:space="720"/>
          <w:titlePg/>
          <w:docGrid w:linePitch="299"/>
        </w:sectPr>
      </w:pPr>
    </w:p>
    <w:p w14:paraId="575928D8" w14:textId="1113990A" w:rsidR="00871A7A" w:rsidRDefault="008E65B8" w:rsidP="00F562D6">
      <w:pPr>
        <w:pStyle w:val="Ttulo1"/>
        <w:spacing w:line="259" w:lineRule="auto"/>
        <w:jc w:val="both"/>
        <w:rPr>
          <w:rFonts w:ascii="Arial" w:hAnsi="Arial" w:cs="Arial"/>
          <w:b/>
          <w:color w:val="1F3864" w:themeColor="accent1" w:themeShade="80"/>
          <w:sz w:val="20"/>
          <w:lang w:val="en-US"/>
        </w:rPr>
      </w:pPr>
      <w:bookmarkStart w:id="3" w:name="_Toc190680614"/>
      <w:r w:rsidRPr="00432934">
        <w:rPr>
          <w:rFonts w:ascii="Arial" w:hAnsi="Arial" w:cs="Arial"/>
          <w:b/>
          <w:color w:val="1F3864" w:themeColor="accent1" w:themeShade="80"/>
          <w:sz w:val="20"/>
          <w:lang w:val="en-US"/>
        </w:rPr>
        <w:lastRenderedPageBreak/>
        <w:t>MANAGEMENT COMMENTS ON PERFORMACE</w:t>
      </w:r>
      <w:bookmarkEnd w:id="1"/>
      <w:bookmarkEnd w:id="2"/>
      <w:bookmarkEnd w:id="3"/>
    </w:p>
    <w:p w14:paraId="6C46D0F4" w14:textId="1E0F0868" w:rsidR="00527E46" w:rsidRPr="00527E46" w:rsidRDefault="00527E46" w:rsidP="00527E46">
      <w:pPr>
        <w:rPr>
          <w:lang w:val="en-US"/>
        </w:rPr>
      </w:pPr>
    </w:p>
    <w:p w14:paraId="26D8416C" w14:textId="703288E3" w:rsidR="00527E46" w:rsidRPr="00BC754A" w:rsidRDefault="00527E46" w:rsidP="00527E46">
      <w:pPr>
        <w:pStyle w:val="03-SubttulodeNota"/>
        <w:spacing w:line="276" w:lineRule="auto"/>
        <w:rPr>
          <w:color w:val="1F3864" w:themeColor="accent1" w:themeShade="80"/>
          <w:lang w:val="en-US"/>
        </w:rPr>
      </w:pPr>
      <w:r>
        <w:rPr>
          <w:color w:val="1F3864" w:themeColor="accent1" w:themeShade="80"/>
          <w:lang w:val="en-US"/>
        </w:rPr>
        <w:t>Dear Shareholders, Employees and Business Partners.</w:t>
      </w:r>
    </w:p>
    <w:p w14:paraId="51528CF9" w14:textId="4C399AB6" w:rsidR="00527E46" w:rsidRPr="00B52486" w:rsidRDefault="00527E46" w:rsidP="00527E46">
      <w:pPr>
        <w:pStyle w:val="05-Textonormal"/>
        <w:rPr>
          <w:rFonts w:cs="Arial"/>
          <w:lang w:val="en-US"/>
        </w:rPr>
      </w:pPr>
      <w:r w:rsidRPr="00B52486">
        <w:rPr>
          <w:rFonts w:cs="Arial"/>
          <w:lang w:val="en-US"/>
        </w:rPr>
        <w:t xml:space="preserve">In 2024, BB </w:t>
      </w:r>
      <w:proofErr w:type="spellStart"/>
      <w:r w:rsidRPr="00B52486">
        <w:rPr>
          <w:rFonts w:cs="Arial"/>
          <w:lang w:val="en-US"/>
        </w:rPr>
        <w:t>Seguridade's</w:t>
      </w:r>
      <w:proofErr w:type="spellEnd"/>
      <w:r w:rsidRPr="00B52486">
        <w:rPr>
          <w:rFonts w:cs="Arial"/>
          <w:lang w:val="en-US"/>
        </w:rPr>
        <w:t xml:space="preserve"> net </w:t>
      </w:r>
      <w:r>
        <w:rPr>
          <w:rFonts w:cs="Arial"/>
          <w:lang w:val="en-US"/>
        </w:rPr>
        <w:t>income</w:t>
      </w:r>
      <w:r w:rsidRPr="00B52486">
        <w:rPr>
          <w:rFonts w:cs="Arial"/>
          <w:lang w:val="en-US"/>
        </w:rPr>
        <w:t xml:space="preserve"> totaled R$8.7 billion, 9.5% </w:t>
      </w:r>
      <w:r>
        <w:rPr>
          <w:rFonts w:cs="Arial"/>
          <w:lang w:val="en-US"/>
        </w:rPr>
        <w:t xml:space="preserve">higher </w:t>
      </w:r>
      <w:r w:rsidRPr="00B52486">
        <w:rPr>
          <w:rFonts w:cs="Arial"/>
          <w:lang w:val="en-US"/>
        </w:rPr>
        <w:t xml:space="preserve">compared to 2023. The company's adjusted managerial </w:t>
      </w:r>
      <w:r>
        <w:rPr>
          <w:rFonts w:cs="Arial"/>
          <w:lang w:val="en-US"/>
        </w:rPr>
        <w:t>net income</w:t>
      </w:r>
      <w:r w:rsidRPr="00B52486">
        <w:rPr>
          <w:rFonts w:cs="Arial"/>
          <w:lang w:val="en-US"/>
        </w:rPr>
        <w:t xml:space="preserve">, calculated according to the accounting standard adopted by </w:t>
      </w:r>
      <w:proofErr w:type="spellStart"/>
      <w:r w:rsidRPr="00B52486">
        <w:rPr>
          <w:rFonts w:cs="Arial"/>
          <w:lang w:val="en-US"/>
        </w:rPr>
        <w:t>Susep</w:t>
      </w:r>
      <w:proofErr w:type="spellEnd"/>
      <w:r w:rsidRPr="00B52486">
        <w:rPr>
          <w:rFonts w:cs="Arial"/>
          <w:lang w:val="en-US"/>
        </w:rPr>
        <w:t>, which does not consider the IFRS 17</w:t>
      </w:r>
      <w:r>
        <w:rPr>
          <w:rFonts w:cs="Arial"/>
          <w:lang w:val="en-US"/>
        </w:rPr>
        <w:t xml:space="preserve"> </w:t>
      </w:r>
      <w:r w:rsidRPr="00B52486">
        <w:rPr>
          <w:rFonts w:cs="Arial"/>
          <w:lang w:val="en-US"/>
        </w:rPr>
        <w:t>standards, reached R$8.2 billion, an increase of 5.7%.</w:t>
      </w:r>
    </w:p>
    <w:p w14:paraId="66F703E5" w14:textId="6AA7D4EA" w:rsidR="00527E46" w:rsidRPr="00B52486" w:rsidRDefault="00527E46" w:rsidP="00527E46">
      <w:pPr>
        <w:pStyle w:val="05-Textonormal"/>
        <w:rPr>
          <w:rFonts w:cs="Arial"/>
          <w:lang w:val="en-US"/>
        </w:rPr>
      </w:pPr>
      <w:r w:rsidRPr="00B52486">
        <w:rPr>
          <w:rFonts w:cs="Arial"/>
          <w:lang w:val="en-US"/>
        </w:rPr>
        <w:t xml:space="preserve">Despite a challenging year, marked by large-scale climatic events that pressured agribusiness and high market volatility due to changes in monetary policy direction stemming from the unanchored inflation expectations evaluated by the Monetary Policy Committee (COPOM), </w:t>
      </w:r>
      <w:r>
        <w:rPr>
          <w:rFonts w:cs="Arial"/>
          <w:lang w:val="en-US"/>
        </w:rPr>
        <w:t>earnings</w:t>
      </w:r>
      <w:r w:rsidRPr="00B52486">
        <w:rPr>
          <w:rFonts w:cs="Arial"/>
          <w:lang w:val="en-US"/>
        </w:rPr>
        <w:t xml:space="preserve"> maintained its upward trajectory due to the good performance </w:t>
      </w:r>
      <w:r>
        <w:rPr>
          <w:rFonts w:cs="Arial"/>
          <w:lang w:val="en-US"/>
        </w:rPr>
        <w:t xml:space="preserve">of </w:t>
      </w:r>
      <w:r w:rsidRPr="00B52486">
        <w:rPr>
          <w:rFonts w:cs="Arial"/>
          <w:lang w:val="en-US"/>
        </w:rPr>
        <w:t>combined operati</w:t>
      </w:r>
      <w:r>
        <w:rPr>
          <w:rFonts w:cs="Arial"/>
          <w:lang w:val="en-US"/>
        </w:rPr>
        <w:t xml:space="preserve">ng </w:t>
      </w:r>
      <w:r w:rsidRPr="00B52486">
        <w:rPr>
          <w:rFonts w:cs="Arial"/>
          <w:lang w:val="en-US"/>
        </w:rPr>
        <w:t>result of all companies</w:t>
      </w:r>
      <w:r>
        <w:rPr>
          <w:rFonts w:cs="Arial"/>
          <w:lang w:val="en-US"/>
        </w:rPr>
        <w:t xml:space="preserve"> in the conglomerate</w:t>
      </w:r>
      <w:r w:rsidRPr="00B52486">
        <w:rPr>
          <w:rFonts w:cs="Arial"/>
          <w:lang w:val="en-US"/>
        </w:rPr>
        <w:t>, which grew by 11.9% in the year, net of taxes, in the managerial view.</w:t>
      </w:r>
    </w:p>
    <w:p w14:paraId="2D5D676C" w14:textId="41021881" w:rsidR="00527E46" w:rsidRPr="00B52486" w:rsidRDefault="00527E46" w:rsidP="00527E46">
      <w:pPr>
        <w:pStyle w:val="05-Textonormal"/>
        <w:rPr>
          <w:rFonts w:cs="Arial"/>
          <w:lang w:val="en-US"/>
        </w:rPr>
      </w:pPr>
      <w:r w:rsidRPr="00B52486">
        <w:rPr>
          <w:rFonts w:cs="Arial"/>
          <w:lang w:val="en-US"/>
        </w:rPr>
        <w:t>A highlight was the loss ratio, which reached the lowest level in the historical series (23.7%), reflecting both the quality of underwriting and risk mitigation mechanisms in rural insurance, as well as the geographical and crop diversification intrinsic to the insurer's national operations and the reinsurance protections acquired for the portfolio. The nominal growth in revenue across all business lines and the recognition of deferred revenues from insurance premiums and brokerage related to sales made in past periods were also levers for the expansion of the</w:t>
      </w:r>
      <w:r>
        <w:rPr>
          <w:rFonts w:cs="Arial"/>
          <w:lang w:val="en-US"/>
        </w:rPr>
        <w:t xml:space="preserve"> operating results in the</w:t>
      </w:r>
      <w:r w:rsidRPr="00B52486">
        <w:rPr>
          <w:rFonts w:cs="Arial"/>
          <w:lang w:val="en-US"/>
        </w:rPr>
        <w:t xml:space="preserve"> companie</w:t>
      </w:r>
      <w:r>
        <w:rPr>
          <w:rFonts w:cs="Arial"/>
          <w:lang w:val="en-US"/>
        </w:rPr>
        <w:t>s of the group.</w:t>
      </w:r>
    </w:p>
    <w:p w14:paraId="73555E0B" w14:textId="3BA747DC" w:rsidR="00527E46" w:rsidRPr="00B52486" w:rsidRDefault="00527E46" w:rsidP="00527E46">
      <w:pPr>
        <w:pStyle w:val="05-Textonormal"/>
        <w:rPr>
          <w:rFonts w:cs="Arial"/>
          <w:lang w:val="en-US"/>
        </w:rPr>
      </w:pPr>
      <w:r w:rsidRPr="00B52486">
        <w:rPr>
          <w:rFonts w:cs="Arial"/>
          <w:lang w:val="en-US"/>
        </w:rPr>
        <w:t xml:space="preserve">In addition to the </w:t>
      </w:r>
      <w:r>
        <w:rPr>
          <w:rFonts w:cs="Arial"/>
          <w:lang w:val="en-US"/>
        </w:rPr>
        <w:t>good</w:t>
      </w:r>
      <w:r w:rsidRPr="00B52486">
        <w:rPr>
          <w:rFonts w:cs="Arial"/>
          <w:lang w:val="en-US"/>
        </w:rPr>
        <w:t xml:space="preserve"> </w:t>
      </w:r>
      <w:r>
        <w:rPr>
          <w:rFonts w:cs="Arial"/>
          <w:lang w:val="en-US"/>
        </w:rPr>
        <w:t>performance</w:t>
      </w:r>
      <w:r w:rsidRPr="00B52486">
        <w:rPr>
          <w:rFonts w:cs="Arial"/>
          <w:lang w:val="en-US"/>
        </w:rPr>
        <w:t xml:space="preserve"> of the year, the Company remained faithful to the execution of its strategy, based on the pillars of customer experience, technological transformation and the pursuit of new business opportunities.</w:t>
      </w:r>
    </w:p>
    <w:p w14:paraId="2D05B499" w14:textId="77777777" w:rsidR="00527E46" w:rsidRPr="00B52486" w:rsidRDefault="00527E46" w:rsidP="00527E46">
      <w:pPr>
        <w:pStyle w:val="05-Textonormal"/>
        <w:rPr>
          <w:rFonts w:cs="Arial"/>
          <w:lang w:val="en-US"/>
        </w:rPr>
      </w:pPr>
      <w:r w:rsidRPr="00B52486">
        <w:rPr>
          <w:rFonts w:cs="Arial"/>
          <w:lang w:val="en-US"/>
        </w:rPr>
        <w:t>Throughout the year, more than R$538 million were invested in IT infrastructure, cybersecurity, and the development of digital journeys and solutions. In the development of the company's digital maturity, 74.9% of customers actively used the available channels (mobile, internet bankin</w:t>
      </w:r>
      <w:r>
        <w:rPr>
          <w:rFonts w:cs="Arial"/>
          <w:lang w:val="en-US"/>
        </w:rPr>
        <w:t>g</w:t>
      </w:r>
      <w:r w:rsidRPr="00B52486">
        <w:rPr>
          <w:rFonts w:cs="Arial"/>
          <w:lang w:val="en-US"/>
        </w:rPr>
        <w:t xml:space="preserve"> and WhatsApp), representing an evolution of 2.9 </w:t>
      </w:r>
      <w:r>
        <w:rPr>
          <w:rFonts w:cs="Arial"/>
          <w:lang w:val="en-US"/>
        </w:rPr>
        <w:t>p.p.</w:t>
      </w:r>
      <w:r w:rsidRPr="00B52486">
        <w:rPr>
          <w:rFonts w:cs="Arial"/>
          <w:lang w:val="en-US"/>
        </w:rPr>
        <w:t xml:space="preserve"> compared to 2023. In 2024, there was progress in improving the customer experience with the use of artificial intelligence. In this regard, 12 predictive models were registered in production and use throughout the year, with highlights for the price comparison models integrated into the auto insurance sales journey and the best debit day model, which indicates and suggests the best debit date for installment payments, helping to reduce cancellations due to delinquency. In digital channels, highlights include the expansion of products and functionalities integrated into WhatsApp, such as the recovery of installments via Pix, avoiding cancellations.</w:t>
      </w:r>
    </w:p>
    <w:p w14:paraId="4EEE1AF0" w14:textId="77777777" w:rsidR="00527E46" w:rsidRPr="00B52486" w:rsidRDefault="00527E46" w:rsidP="00527E46">
      <w:pPr>
        <w:pStyle w:val="05-Textonormal"/>
        <w:rPr>
          <w:rFonts w:cs="Arial"/>
          <w:lang w:val="en-US"/>
        </w:rPr>
      </w:pPr>
      <w:r>
        <w:rPr>
          <w:rFonts w:cs="Arial"/>
          <w:lang w:val="en-US"/>
        </w:rPr>
        <w:t>The initiatives related to</w:t>
      </w:r>
      <w:r w:rsidRPr="00B52486">
        <w:rPr>
          <w:rFonts w:cs="Arial"/>
          <w:lang w:val="en-US"/>
        </w:rPr>
        <w:t xml:space="preserve"> the portfolio</w:t>
      </w:r>
      <w:r>
        <w:rPr>
          <w:rFonts w:cs="Arial"/>
          <w:lang w:val="en-US"/>
        </w:rPr>
        <w:t xml:space="preserve"> of </w:t>
      </w:r>
      <w:r w:rsidRPr="00B52486">
        <w:rPr>
          <w:rFonts w:cs="Arial"/>
          <w:lang w:val="en-US"/>
        </w:rPr>
        <w:t>product</w:t>
      </w:r>
      <w:r>
        <w:rPr>
          <w:rFonts w:cs="Arial"/>
          <w:lang w:val="en-US"/>
        </w:rPr>
        <w:t>s</w:t>
      </w:r>
      <w:r w:rsidRPr="00B52486">
        <w:rPr>
          <w:rFonts w:cs="Arial"/>
          <w:lang w:val="en-US"/>
        </w:rPr>
        <w:t xml:space="preserve"> were directed towards increasing value proposition, with new journeys and expansion of the target audience. In the rural segment, animal pledge insurance was launched, with an active journey for contracting at the credit origination, which reached R$511 million in premiums </w:t>
      </w:r>
      <w:r>
        <w:rPr>
          <w:rFonts w:cs="Arial"/>
          <w:lang w:val="en-US"/>
        </w:rPr>
        <w:t>written</w:t>
      </w:r>
      <w:r w:rsidRPr="00B52486">
        <w:rPr>
          <w:rFonts w:cs="Arial"/>
          <w:lang w:val="en-US"/>
        </w:rPr>
        <w:t xml:space="preserve"> in 2024. Also launched during the </w:t>
      </w:r>
      <w:r>
        <w:rPr>
          <w:rFonts w:cs="Arial"/>
          <w:lang w:val="en-US"/>
        </w:rPr>
        <w:t xml:space="preserve">year </w:t>
      </w:r>
      <w:r w:rsidRPr="00B52486">
        <w:rPr>
          <w:rFonts w:cs="Arial"/>
          <w:lang w:val="en-US"/>
        </w:rPr>
        <w:t>were preserv</w:t>
      </w:r>
      <w:r>
        <w:rPr>
          <w:rFonts w:cs="Arial"/>
          <w:lang w:val="en-US"/>
        </w:rPr>
        <w:t>e</w:t>
      </w:r>
      <w:r w:rsidRPr="00B52486">
        <w:rPr>
          <w:rFonts w:cs="Arial"/>
          <w:lang w:val="en-US"/>
        </w:rPr>
        <w:t xml:space="preserve"> forest and flexible agricultural fruit insurance</w:t>
      </w:r>
      <w:r>
        <w:rPr>
          <w:rFonts w:cs="Arial"/>
          <w:lang w:val="en-US"/>
        </w:rPr>
        <w:t>s</w:t>
      </w:r>
      <w:r w:rsidRPr="00B52486">
        <w:rPr>
          <w:rFonts w:cs="Arial"/>
          <w:lang w:val="en-US"/>
        </w:rPr>
        <w:t>. Additionally, improvements were implemented to enhance the offer of existing products, such as adjustments in insured amount limits, expansion of the target audience and readjustment of the age range for contracting.</w:t>
      </w:r>
    </w:p>
    <w:p w14:paraId="1F8C3C5C" w14:textId="77777777" w:rsidR="00527E46" w:rsidRPr="00B52486" w:rsidRDefault="00527E46" w:rsidP="00527E46">
      <w:pPr>
        <w:pStyle w:val="05-Textonormal"/>
        <w:rPr>
          <w:rFonts w:cs="Arial"/>
          <w:lang w:val="en-US"/>
        </w:rPr>
      </w:pPr>
      <w:r>
        <w:rPr>
          <w:rFonts w:cs="Arial"/>
          <w:lang w:val="en-US"/>
        </w:rPr>
        <w:t>I</w:t>
      </w:r>
      <w:r w:rsidRPr="00B52486">
        <w:rPr>
          <w:rFonts w:cs="Arial"/>
          <w:lang w:val="en-US"/>
        </w:rPr>
        <w:t>n the pension</w:t>
      </w:r>
      <w:r>
        <w:rPr>
          <w:rFonts w:cs="Arial"/>
          <w:lang w:val="en-US"/>
        </w:rPr>
        <w:t xml:space="preserve"> plans</w:t>
      </w:r>
      <w:r w:rsidRPr="00B52486">
        <w:rPr>
          <w:rFonts w:cs="Arial"/>
          <w:lang w:val="en-US"/>
        </w:rPr>
        <w:t xml:space="preserve"> segment, the use of pension </w:t>
      </w:r>
      <w:r>
        <w:rPr>
          <w:rFonts w:cs="Arial"/>
          <w:lang w:val="en-US"/>
        </w:rPr>
        <w:t xml:space="preserve">plans </w:t>
      </w:r>
      <w:r w:rsidRPr="00B52486">
        <w:rPr>
          <w:rFonts w:cs="Arial"/>
          <w:lang w:val="en-US"/>
        </w:rPr>
        <w:t xml:space="preserve">as collateral for credit operations was enabled, aiming to preserve reserves, initially made available for structured credit lines, with R$800 million retained in 2024. Additionally, new sales journeys for </w:t>
      </w:r>
      <w:r>
        <w:rPr>
          <w:rFonts w:cs="Arial"/>
          <w:lang w:val="en-US"/>
        </w:rPr>
        <w:t>the product</w:t>
      </w:r>
      <w:r w:rsidRPr="00B52486">
        <w:rPr>
          <w:rFonts w:cs="Arial"/>
          <w:lang w:val="en-US"/>
        </w:rPr>
        <w:t xml:space="preserve"> were made available throughout the year, with improvements in usability and design of digital platforms. The fund portfolio was also expanded, offering greater diversification of investment strategies.</w:t>
      </w:r>
    </w:p>
    <w:p w14:paraId="61F460B9" w14:textId="77777777" w:rsidR="00527E46" w:rsidRPr="00B52486" w:rsidRDefault="00527E46" w:rsidP="00527E46">
      <w:pPr>
        <w:pStyle w:val="05-Textonormal"/>
        <w:rPr>
          <w:rFonts w:cs="Arial"/>
          <w:lang w:val="en-US"/>
        </w:rPr>
      </w:pPr>
      <w:r w:rsidRPr="00B52486">
        <w:rPr>
          <w:rFonts w:cs="Arial"/>
          <w:lang w:val="en-US"/>
        </w:rPr>
        <w:t xml:space="preserve">In the distribution diversification model, in addition to operating within the </w:t>
      </w:r>
      <w:r>
        <w:rPr>
          <w:rFonts w:cs="Arial"/>
          <w:lang w:val="en-US"/>
        </w:rPr>
        <w:t xml:space="preserve">bancassurance </w:t>
      </w:r>
      <w:r w:rsidRPr="00B52486">
        <w:rPr>
          <w:rFonts w:cs="Arial"/>
          <w:lang w:val="en-US"/>
        </w:rPr>
        <w:t>channel, the company continued to seek opportunities to expand the business model and manage already established partnerships, focusing on better profitability of these partners. In the year, premiums</w:t>
      </w:r>
      <w:r>
        <w:rPr>
          <w:rFonts w:cs="Arial"/>
          <w:lang w:val="en-US"/>
        </w:rPr>
        <w:t xml:space="preserve"> written </w:t>
      </w:r>
      <w:r w:rsidRPr="00B52486">
        <w:rPr>
          <w:rFonts w:cs="Arial"/>
          <w:lang w:val="en-US"/>
        </w:rPr>
        <w:t xml:space="preserve">generated by this strategy (via </w:t>
      </w:r>
      <w:proofErr w:type="spellStart"/>
      <w:r w:rsidRPr="00B52486">
        <w:rPr>
          <w:rFonts w:cs="Arial"/>
          <w:lang w:val="en-US"/>
        </w:rPr>
        <w:t>Brasilseg</w:t>
      </w:r>
      <w:proofErr w:type="spellEnd"/>
      <w:r w:rsidRPr="00B52486">
        <w:rPr>
          <w:rFonts w:cs="Arial"/>
          <w:lang w:val="en-US"/>
        </w:rPr>
        <w:t xml:space="preserve">) reached R$2.1 billion, while its contribution to BB </w:t>
      </w:r>
      <w:proofErr w:type="spellStart"/>
      <w:r w:rsidRPr="00B52486">
        <w:rPr>
          <w:rFonts w:cs="Arial"/>
          <w:lang w:val="en-US"/>
        </w:rPr>
        <w:t>Seguridade's</w:t>
      </w:r>
      <w:proofErr w:type="spellEnd"/>
      <w:r w:rsidRPr="00B52486">
        <w:rPr>
          <w:rFonts w:cs="Arial"/>
          <w:lang w:val="en-US"/>
        </w:rPr>
        <w:t xml:space="preserve"> net </w:t>
      </w:r>
      <w:r>
        <w:rPr>
          <w:rFonts w:cs="Arial"/>
          <w:lang w:val="en-US"/>
        </w:rPr>
        <w:t>income</w:t>
      </w:r>
      <w:r w:rsidRPr="00B52486">
        <w:rPr>
          <w:rFonts w:cs="Arial"/>
          <w:lang w:val="en-US"/>
        </w:rPr>
        <w:t xml:space="preserve"> was R$23</w:t>
      </w:r>
      <w:r>
        <w:rPr>
          <w:rFonts w:cs="Arial"/>
          <w:lang w:val="en-US"/>
        </w:rPr>
        <w:t>3</w:t>
      </w:r>
      <w:r w:rsidRPr="00B52486">
        <w:rPr>
          <w:rFonts w:cs="Arial"/>
          <w:lang w:val="en-US"/>
        </w:rPr>
        <w:t xml:space="preserve"> million (+1</w:t>
      </w:r>
      <w:r>
        <w:rPr>
          <w:rFonts w:cs="Arial"/>
          <w:lang w:val="en-US"/>
        </w:rPr>
        <w:t>6</w:t>
      </w:r>
      <w:r w:rsidRPr="00B52486">
        <w:rPr>
          <w:rFonts w:cs="Arial"/>
          <w:lang w:val="en-US"/>
        </w:rPr>
        <w:t>.4% vs. 2023).</w:t>
      </w:r>
    </w:p>
    <w:p w14:paraId="772F8819" w14:textId="77777777" w:rsidR="00527E46" w:rsidRPr="00B52486" w:rsidRDefault="00527E46" w:rsidP="00527E46">
      <w:pPr>
        <w:pStyle w:val="05-Textonormal"/>
        <w:rPr>
          <w:rFonts w:cs="Arial"/>
          <w:lang w:val="en-US"/>
        </w:rPr>
      </w:pPr>
      <w:r w:rsidRPr="00B52486">
        <w:rPr>
          <w:rFonts w:cs="Arial"/>
          <w:lang w:val="en-US"/>
        </w:rPr>
        <w:t>Regarding new partners, 25 partnerships were formalized in the rural segment, including cooperatives, agribusinesses, input and agricultural machinery and equipment</w:t>
      </w:r>
      <w:r>
        <w:rPr>
          <w:rFonts w:cs="Arial"/>
          <w:lang w:val="en-US"/>
        </w:rPr>
        <w:t xml:space="preserve"> </w:t>
      </w:r>
      <w:r w:rsidRPr="00B52486">
        <w:rPr>
          <w:rFonts w:cs="Arial"/>
          <w:lang w:val="en-US"/>
        </w:rPr>
        <w:t xml:space="preserve">resellers. Additionally, the journey for offering livestock insurance through banking correspondents was enabled, a channel that accounted for 25% of the total premiums for this product at </w:t>
      </w:r>
      <w:proofErr w:type="spellStart"/>
      <w:r w:rsidRPr="00B52486">
        <w:rPr>
          <w:rFonts w:cs="Arial"/>
          <w:lang w:val="en-US"/>
        </w:rPr>
        <w:t>Brasilseg</w:t>
      </w:r>
      <w:proofErr w:type="spellEnd"/>
      <w:r w:rsidRPr="00B52486">
        <w:rPr>
          <w:rFonts w:cs="Arial"/>
          <w:lang w:val="en-US"/>
        </w:rPr>
        <w:t>.</w:t>
      </w:r>
    </w:p>
    <w:p w14:paraId="758520B0" w14:textId="77777777" w:rsidR="00527E46" w:rsidRPr="00B52486" w:rsidRDefault="00527E46" w:rsidP="00527E46">
      <w:pPr>
        <w:pStyle w:val="05-Textonormal"/>
        <w:rPr>
          <w:rFonts w:cs="Arial"/>
          <w:lang w:val="en-US"/>
        </w:rPr>
      </w:pPr>
      <w:r>
        <w:rPr>
          <w:rFonts w:cs="Arial"/>
          <w:lang w:val="en-US"/>
        </w:rPr>
        <w:t xml:space="preserve">Also in the </w:t>
      </w:r>
      <w:r w:rsidRPr="00B52486">
        <w:rPr>
          <w:rFonts w:cs="Arial"/>
          <w:lang w:val="en-US"/>
        </w:rPr>
        <w:t>insurance</w:t>
      </w:r>
      <w:r>
        <w:rPr>
          <w:rFonts w:cs="Arial"/>
          <w:lang w:val="en-US"/>
        </w:rPr>
        <w:t xml:space="preserve"> segment</w:t>
      </w:r>
      <w:r w:rsidRPr="00B52486">
        <w:rPr>
          <w:rFonts w:cs="Arial"/>
          <w:lang w:val="en-US"/>
        </w:rPr>
        <w:t xml:space="preserve">, commercial conditions of partnerships with managers of banking correspondent networks were revised, and sales </w:t>
      </w:r>
      <w:r>
        <w:rPr>
          <w:rFonts w:cs="Arial"/>
          <w:lang w:val="en-US"/>
        </w:rPr>
        <w:t>campaigns</w:t>
      </w:r>
      <w:r w:rsidRPr="00B52486">
        <w:rPr>
          <w:rFonts w:cs="Arial"/>
          <w:lang w:val="en-US"/>
        </w:rPr>
        <w:t xml:space="preserve"> and training were carried out, contributing to a </w:t>
      </w:r>
      <w:r>
        <w:rPr>
          <w:rFonts w:cs="Arial"/>
          <w:lang w:val="en-US"/>
        </w:rPr>
        <w:t>6</w:t>
      </w:r>
      <w:r w:rsidRPr="00B52486">
        <w:rPr>
          <w:rFonts w:cs="Arial"/>
          <w:lang w:val="en-US"/>
        </w:rPr>
        <w:t xml:space="preserve">% increase in premiums </w:t>
      </w:r>
      <w:r>
        <w:rPr>
          <w:rFonts w:cs="Arial"/>
          <w:lang w:val="en-US"/>
        </w:rPr>
        <w:t xml:space="preserve">written </w:t>
      </w:r>
      <w:r w:rsidRPr="00B52486">
        <w:rPr>
          <w:rFonts w:cs="Arial"/>
          <w:lang w:val="en-US"/>
        </w:rPr>
        <w:t xml:space="preserve">for credit life insurance. A partnership was also formalized with an energy distribution company for offering </w:t>
      </w:r>
      <w:r>
        <w:rPr>
          <w:rFonts w:cs="Arial"/>
          <w:lang w:val="en-US"/>
        </w:rPr>
        <w:t xml:space="preserve">term </w:t>
      </w:r>
      <w:r w:rsidRPr="00B52486">
        <w:rPr>
          <w:rFonts w:cs="Arial"/>
          <w:lang w:val="en-US"/>
        </w:rPr>
        <w:t xml:space="preserve">life and </w:t>
      </w:r>
      <w:r>
        <w:rPr>
          <w:rFonts w:cs="Arial"/>
          <w:lang w:val="en-US"/>
        </w:rPr>
        <w:t>home</w:t>
      </w:r>
      <w:r w:rsidRPr="00B52486">
        <w:rPr>
          <w:rFonts w:cs="Arial"/>
          <w:lang w:val="en-US"/>
        </w:rPr>
        <w:t xml:space="preserve"> insurance</w:t>
      </w:r>
      <w:r>
        <w:rPr>
          <w:rFonts w:cs="Arial"/>
          <w:lang w:val="en-US"/>
        </w:rPr>
        <w:t>s</w:t>
      </w:r>
      <w:r w:rsidRPr="00B52486">
        <w:rPr>
          <w:rFonts w:cs="Arial"/>
          <w:lang w:val="en-US"/>
        </w:rPr>
        <w:t>, and with a financial institution for selling insurance for solar panels in its financing journey for customers.</w:t>
      </w:r>
    </w:p>
    <w:p w14:paraId="0F43F8A6" w14:textId="77777777" w:rsidR="00527E46" w:rsidRPr="00B52486" w:rsidRDefault="00527E46" w:rsidP="00527E46">
      <w:pPr>
        <w:pStyle w:val="05-Textonormal"/>
        <w:rPr>
          <w:rFonts w:cs="Arial"/>
          <w:lang w:val="en-US"/>
        </w:rPr>
      </w:pPr>
      <w:r w:rsidRPr="00B52486">
        <w:rPr>
          <w:rFonts w:cs="Arial"/>
          <w:lang w:val="en-US"/>
        </w:rPr>
        <w:t xml:space="preserve">In </w:t>
      </w:r>
      <w:r>
        <w:rPr>
          <w:rFonts w:cs="Arial"/>
          <w:lang w:val="en-US"/>
        </w:rPr>
        <w:t>premium bonds segment</w:t>
      </w:r>
      <w:r w:rsidRPr="00B52486">
        <w:rPr>
          <w:rFonts w:cs="Arial"/>
          <w:lang w:val="en-US"/>
        </w:rPr>
        <w:t xml:space="preserve">, a highlight was the partnership with a digital bank for offering popular </w:t>
      </w:r>
      <w:r>
        <w:rPr>
          <w:rFonts w:cs="Arial"/>
          <w:lang w:val="en-US"/>
        </w:rPr>
        <w:t>premium</w:t>
      </w:r>
      <w:r w:rsidRPr="00B52486">
        <w:rPr>
          <w:rFonts w:cs="Arial"/>
          <w:lang w:val="en-US"/>
        </w:rPr>
        <w:t xml:space="preserve"> bonds, which reached 1.9 million bonds sold since its launch in October 2024.</w:t>
      </w:r>
    </w:p>
    <w:p w14:paraId="3DA6C3C2" w14:textId="77777777" w:rsidR="00527E46" w:rsidRPr="00B52486" w:rsidRDefault="00527E46" w:rsidP="00527E46">
      <w:pPr>
        <w:pStyle w:val="05-Textonormal"/>
        <w:rPr>
          <w:rFonts w:cs="Arial"/>
          <w:lang w:val="en-US"/>
        </w:rPr>
      </w:pPr>
      <w:r>
        <w:rPr>
          <w:rFonts w:cs="Arial"/>
          <w:lang w:val="en-US"/>
        </w:rPr>
        <w:t>The p</w:t>
      </w:r>
      <w:r w:rsidRPr="00B52486">
        <w:rPr>
          <w:rFonts w:cs="Arial"/>
          <w:lang w:val="en-US"/>
        </w:rPr>
        <w:t xml:space="preserve">artnerships with brokers specializing in large risks and transportation brought improvements in service to the </w:t>
      </w:r>
      <w:r>
        <w:rPr>
          <w:rFonts w:cs="Arial"/>
          <w:lang w:val="en-US"/>
        </w:rPr>
        <w:t xml:space="preserve">Banco do </w:t>
      </w:r>
      <w:proofErr w:type="spellStart"/>
      <w:r>
        <w:rPr>
          <w:rFonts w:cs="Arial"/>
          <w:lang w:val="en-US"/>
        </w:rPr>
        <w:t>Brasil</w:t>
      </w:r>
      <w:proofErr w:type="spellEnd"/>
      <w:r>
        <w:rPr>
          <w:rFonts w:cs="Arial"/>
          <w:lang w:val="en-US"/>
        </w:rPr>
        <w:t xml:space="preserve"> branches</w:t>
      </w:r>
      <w:r w:rsidRPr="00B52486">
        <w:rPr>
          <w:rFonts w:cs="Arial"/>
          <w:lang w:val="en-US"/>
        </w:rPr>
        <w:t xml:space="preserve"> and wholesale segment customers. Premiums in this segment grew by 5</w:t>
      </w:r>
      <w:r>
        <w:rPr>
          <w:rFonts w:cs="Arial"/>
          <w:lang w:val="en-US"/>
        </w:rPr>
        <w:t>9</w:t>
      </w:r>
      <w:r w:rsidRPr="00B52486">
        <w:rPr>
          <w:rFonts w:cs="Arial"/>
          <w:lang w:val="en-US"/>
        </w:rPr>
        <w:t xml:space="preserve">%, while brokerage revenues </w:t>
      </w:r>
      <w:r>
        <w:rPr>
          <w:rFonts w:cs="Arial"/>
          <w:lang w:val="en-US"/>
        </w:rPr>
        <w:t>increased</w:t>
      </w:r>
      <w:r w:rsidRPr="00B52486">
        <w:rPr>
          <w:rFonts w:cs="Arial"/>
          <w:lang w:val="en-US"/>
        </w:rPr>
        <w:t xml:space="preserve"> 39%.</w:t>
      </w:r>
    </w:p>
    <w:p w14:paraId="41B0BFF2" w14:textId="77777777" w:rsidR="00527E46" w:rsidRPr="00B52486" w:rsidRDefault="00527E46" w:rsidP="00527E46">
      <w:pPr>
        <w:pStyle w:val="05-Textonormal"/>
        <w:rPr>
          <w:rFonts w:cs="Arial"/>
          <w:lang w:val="en-US"/>
        </w:rPr>
      </w:pPr>
      <w:r w:rsidRPr="00B52486">
        <w:rPr>
          <w:rFonts w:cs="Arial"/>
          <w:lang w:val="en-US"/>
        </w:rPr>
        <w:t xml:space="preserve">All initiatives and improvements carried out throughout the year aim to offer the best experience to customers, focusing on loyalty, retention and continuous improvement. As a result, there was an improvement in customer satisfaction levels, with </w:t>
      </w:r>
      <w:r w:rsidRPr="00B52486">
        <w:rPr>
          <w:rFonts w:cs="Arial"/>
          <w:lang w:val="en-US"/>
        </w:rPr>
        <w:lastRenderedPageBreak/>
        <w:t xml:space="preserve">the NPS consolidating in the quality zone (+4.7 </w:t>
      </w:r>
      <w:r>
        <w:rPr>
          <w:rFonts w:cs="Arial"/>
          <w:lang w:val="en-US"/>
        </w:rPr>
        <w:t>points</w:t>
      </w:r>
      <w:r w:rsidRPr="00B52486">
        <w:rPr>
          <w:rFonts w:cs="Arial"/>
          <w:lang w:val="en-US"/>
        </w:rPr>
        <w:t xml:space="preserve"> vs. Dec</w:t>
      </w:r>
      <w:r>
        <w:rPr>
          <w:rFonts w:cs="Arial"/>
          <w:lang w:val="en-US"/>
        </w:rPr>
        <w:t>ember 20</w:t>
      </w:r>
      <w:r w:rsidRPr="00B52486">
        <w:rPr>
          <w:rFonts w:cs="Arial"/>
          <w:lang w:val="en-US"/>
        </w:rPr>
        <w:t xml:space="preserve">23). </w:t>
      </w:r>
      <w:r>
        <w:rPr>
          <w:rFonts w:cs="Arial"/>
          <w:lang w:val="en-US"/>
        </w:rPr>
        <w:t>The h</w:t>
      </w:r>
      <w:r w:rsidRPr="00B52486">
        <w:rPr>
          <w:rFonts w:cs="Arial"/>
          <w:lang w:val="en-US"/>
        </w:rPr>
        <w:t xml:space="preserve">ighlights include 13.0 points increase in the NPS of service journey for </w:t>
      </w:r>
      <w:r>
        <w:rPr>
          <w:rFonts w:cs="Arial"/>
          <w:lang w:val="en-US"/>
        </w:rPr>
        <w:t xml:space="preserve">term </w:t>
      </w:r>
      <w:r w:rsidRPr="00B52486">
        <w:rPr>
          <w:rFonts w:cs="Arial"/>
          <w:lang w:val="en-US"/>
        </w:rPr>
        <w:t>life, credit life, rural</w:t>
      </w:r>
      <w:r>
        <w:rPr>
          <w:rFonts w:cs="Arial"/>
          <w:lang w:val="en-US"/>
        </w:rPr>
        <w:t xml:space="preserve"> </w:t>
      </w:r>
      <w:r w:rsidRPr="00B52486">
        <w:rPr>
          <w:rFonts w:cs="Arial"/>
          <w:lang w:val="en-US"/>
        </w:rPr>
        <w:t>and residential insurance</w:t>
      </w:r>
      <w:r>
        <w:rPr>
          <w:rFonts w:cs="Arial"/>
          <w:lang w:val="en-US"/>
        </w:rPr>
        <w:t>s</w:t>
      </w:r>
      <w:r w:rsidRPr="00B52486">
        <w:rPr>
          <w:rFonts w:cs="Arial"/>
          <w:lang w:val="en-US"/>
        </w:rPr>
        <w:t xml:space="preserve">, and a 5.0 </w:t>
      </w:r>
      <w:r>
        <w:rPr>
          <w:rFonts w:cs="Arial"/>
          <w:lang w:val="en-US"/>
        </w:rPr>
        <w:t>points</w:t>
      </w:r>
      <w:r w:rsidRPr="00B52486">
        <w:rPr>
          <w:rFonts w:cs="Arial"/>
          <w:lang w:val="en-US"/>
        </w:rPr>
        <w:t xml:space="preserve"> </w:t>
      </w:r>
      <w:r>
        <w:rPr>
          <w:rFonts w:cs="Arial"/>
          <w:lang w:val="en-US"/>
        </w:rPr>
        <w:t>growth</w:t>
      </w:r>
      <w:r w:rsidRPr="00B52486">
        <w:rPr>
          <w:rFonts w:cs="Arial"/>
          <w:lang w:val="en-US"/>
        </w:rPr>
        <w:t xml:space="preserve"> in the overall </w:t>
      </w:r>
      <w:r>
        <w:rPr>
          <w:rFonts w:cs="Arial"/>
          <w:lang w:val="en-US"/>
        </w:rPr>
        <w:t xml:space="preserve">premium bonds </w:t>
      </w:r>
      <w:r w:rsidRPr="00B52486">
        <w:rPr>
          <w:rFonts w:cs="Arial"/>
          <w:lang w:val="en-US"/>
        </w:rPr>
        <w:t>NPS. The improvement in satisfaction levels is confirmed by the sequential reduction in the volume of complaints (-15.2% vs. 2023) and cancellations (-17.0%).</w:t>
      </w:r>
    </w:p>
    <w:p w14:paraId="34C071EB" w14:textId="77777777" w:rsidR="00527E46" w:rsidRPr="00B52486" w:rsidRDefault="00527E46" w:rsidP="00527E46">
      <w:pPr>
        <w:pStyle w:val="05-Textonormal"/>
        <w:rPr>
          <w:rFonts w:cs="Arial"/>
          <w:lang w:val="en-US"/>
        </w:rPr>
      </w:pPr>
      <w:r w:rsidRPr="00B52486">
        <w:rPr>
          <w:rFonts w:cs="Arial"/>
          <w:lang w:val="en-US"/>
        </w:rPr>
        <w:t>The Relationship Program, launched in 2023 with the aim of bringing customers closer and improving their experience, is consolidating. The number of "</w:t>
      </w:r>
      <w:r>
        <w:rPr>
          <w:rFonts w:cs="Arial"/>
          <w:lang w:val="en-US"/>
        </w:rPr>
        <w:t>Over</w:t>
      </w:r>
      <w:r w:rsidRPr="00B52486">
        <w:rPr>
          <w:rFonts w:cs="Arial"/>
          <w:lang w:val="en-US"/>
        </w:rPr>
        <w:t xml:space="preserve">protected" customers expanded by 12.6% in the year, while the NPS of service for these customers improved by 11.9 </w:t>
      </w:r>
      <w:r>
        <w:rPr>
          <w:rFonts w:cs="Arial"/>
          <w:lang w:val="en-US"/>
        </w:rPr>
        <w:t>points.</w:t>
      </w:r>
    </w:p>
    <w:p w14:paraId="55DF1764" w14:textId="77777777" w:rsidR="00527E46" w:rsidRPr="00B52486" w:rsidRDefault="00527E46" w:rsidP="00527E46">
      <w:pPr>
        <w:pStyle w:val="05-Textonormal"/>
        <w:rPr>
          <w:rFonts w:cs="Arial"/>
          <w:lang w:val="en-US"/>
        </w:rPr>
      </w:pPr>
      <w:r w:rsidRPr="00B52486">
        <w:rPr>
          <w:rFonts w:cs="Arial"/>
          <w:lang w:val="en-US"/>
        </w:rPr>
        <w:t xml:space="preserve">BB </w:t>
      </w:r>
      <w:proofErr w:type="spellStart"/>
      <w:r w:rsidRPr="00B52486">
        <w:rPr>
          <w:rFonts w:cs="Arial"/>
          <w:lang w:val="en-US"/>
        </w:rPr>
        <w:t>Seguridade</w:t>
      </w:r>
      <w:proofErr w:type="spellEnd"/>
      <w:r w:rsidRPr="00B52486">
        <w:rPr>
          <w:rFonts w:cs="Arial"/>
          <w:lang w:val="en-US"/>
        </w:rPr>
        <w:t xml:space="preserve"> seeks to always be close to customers, especially in the most challenging moments, and was present to support them during the catastrophe that affected the states of Rio Grande do Sul and Santa Catarina in the first half of the year. The company adopted various support actions for the region: (</w:t>
      </w:r>
      <w:proofErr w:type="spellStart"/>
      <w:r w:rsidRPr="00B52486">
        <w:rPr>
          <w:rFonts w:cs="Arial"/>
          <w:lang w:val="en-US"/>
        </w:rPr>
        <w:t>i</w:t>
      </w:r>
      <w:proofErr w:type="spellEnd"/>
      <w:r w:rsidRPr="00B52486">
        <w:rPr>
          <w:rFonts w:cs="Arial"/>
          <w:lang w:val="en-US"/>
        </w:rPr>
        <w:t xml:space="preserve">) postponement of policy cancellations due to non-payment during the most critical period; (ii) proactive contact with customers in the affected regions; and (iii) provision of an exclusive center for emergency customer service, in addition to expanding assistance, aiming to provide </w:t>
      </w:r>
      <w:r>
        <w:rPr>
          <w:rFonts w:cs="Arial"/>
          <w:lang w:val="en-US"/>
        </w:rPr>
        <w:t>tranquility</w:t>
      </w:r>
      <w:r w:rsidRPr="00B52486">
        <w:rPr>
          <w:rFonts w:cs="Arial"/>
          <w:lang w:val="en-US"/>
        </w:rPr>
        <w:t xml:space="preserve"> to impacted customers. In total, there were more than 5,000 activations and approximately R$225 million in claims expenses.</w:t>
      </w:r>
    </w:p>
    <w:p w14:paraId="6A913B0E" w14:textId="77777777" w:rsidR="00527E46" w:rsidRPr="00B52486" w:rsidRDefault="00527E46" w:rsidP="00527E46">
      <w:pPr>
        <w:pStyle w:val="05-Textonormal"/>
        <w:rPr>
          <w:rFonts w:cs="Arial"/>
          <w:lang w:val="en-US"/>
        </w:rPr>
      </w:pPr>
      <w:r w:rsidRPr="00B52486">
        <w:rPr>
          <w:rFonts w:cs="Arial"/>
          <w:lang w:val="en-US"/>
        </w:rPr>
        <w:t xml:space="preserve">Reinforcing the Company's commitment to business sustainability and seeking to mitigate risks and identify opportunities related to environmental, social and governance (ESG) aspects, in 2024, BB </w:t>
      </w:r>
      <w:proofErr w:type="spellStart"/>
      <w:r w:rsidRPr="00B52486">
        <w:rPr>
          <w:rFonts w:cs="Arial"/>
          <w:lang w:val="en-US"/>
        </w:rPr>
        <w:t>Seguridade's</w:t>
      </w:r>
      <w:proofErr w:type="spellEnd"/>
      <w:r w:rsidRPr="00B52486">
        <w:rPr>
          <w:rFonts w:cs="Arial"/>
          <w:lang w:val="en-US"/>
        </w:rPr>
        <w:t xml:space="preserve"> ESG agenda for the 2024-2025 biennium was included as a key result indicator in the corporate instrument for monitoring and inducing deliveries aimed at achieving the objectives declared in the company's long-term strategy. As a key indicator of the strategic objective "To be light, efficient and sustainable"</w:t>
      </w:r>
      <w:r>
        <w:rPr>
          <w:rFonts w:cs="Arial"/>
          <w:lang w:val="en-US"/>
        </w:rPr>
        <w:t>,</w:t>
      </w:r>
      <w:r w:rsidRPr="00B52486">
        <w:rPr>
          <w:rFonts w:cs="Arial"/>
          <w:lang w:val="en-US"/>
        </w:rPr>
        <w:t xml:space="preserve"> the 2024-2025 ESG agenda, which consists of a plan </w:t>
      </w:r>
      <w:r>
        <w:rPr>
          <w:rFonts w:cs="Arial"/>
          <w:lang w:val="en-US"/>
        </w:rPr>
        <w:t>with</w:t>
      </w:r>
      <w:r w:rsidRPr="00B52486">
        <w:rPr>
          <w:rFonts w:cs="Arial"/>
          <w:lang w:val="en-US"/>
        </w:rPr>
        <w:t xml:space="preserve"> 32 actions and 60 indicators to be delivered during the period, impacts the variable remuneration of all employees, from senior management (Directors) to the technical staff.</w:t>
      </w:r>
    </w:p>
    <w:p w14:paraId="60937F38" w14:textId="77777777" w:rsidR="00527E46" w:rsidRPr="00B52486" w:rsidRDefault="00527E46" w:rsidP="00527E46">
      <w:pPr>
        <w:pStyle w:val="05-Textonormal"/>
        <w:rPr>
          <w:rFonts w:cs="Arial"/>
          <w:lang w:val="en-US"/>
        </w:rPr>
      </w:pPr>
      <w:r w:rsidRPr="00B52486">
        <w:rPr>
          <w:rFonts w:cs="Arial"/>
          <w:lang w:val="en-US"/>
        </w:rPr>
        <w:t>For 2024, the plan focused on structuring actions and represented 80% of the planned deliveries for the two years. Based on the lessons learned, as well as the result of the diagnosis of the company's material themes from the perspective of the potential financial impacts of sustainability risks and opportunities for the business and the socio-environmental externalities produced by the Company (double materiality), the agenda will be revised for the 2025-2026 biennium, maintaining the premise of being a key indicator of a strategic objective.</w:t>
      </w:r>
    </w:p>
    <w:p w14:paraId="15848035" w14:textId="77777777" w:rsidR="00527E46" w:rsidRPr="00B52486" w:rsidRDefault="00527E46" w:rsidP="00527E46">
      <w:pPr>
        <w:pStyle w:val="05-Textonormal"/>
        <w:rPr>
          <w:rFonts w:cs="Arial"/>
          <w:lang w:val="en-US"/>
        </w:rPr>
      </w:pPr>
      <w:r w:rsidRPr="00B52486">
        <w:rPr>
          <w:rFonts w:cs="Arial"/>
          <w:lang w:val="en-US"/>
        </w:rPr>
        <w:t xml:space="preserve">It is worth noting that the robust results of 2024 and their sustainability reflect the execution of BB </w:t>
      </w:r>
      <w:proofErr w:type="spellStart"/>
      <w:r w:rsidRPr="00B52486">
        <w:rPr>
          <w:rFonts w:cs="Arial"/>
          <w:lang w:val="en-US"/>
        </w:rPr>
        <w:t>Seguridade's</w:t>
      </w:r>
      <w:proofErr w:type="spellEnd"/>
      <w:r w:rsidRPr="00B52486">
        <w:rPr>
          <w:rFonts w:cs="Arial"/>
          <w:lang w:val="en-US"/>
        </w:rPr>
        <w:t xml:space="preserve"> long-term strategy, which is based on the </w:t>
      </w:r>
      <w:r>
        <w:rPr>
          <w:rFonts w:cs="Arial"/>
          <w:lang w:val="en-US"/>
        </w:rPr>
        <w:t>C</w:t>
      </w:r>
      <w:r w:rsidRPr="00B52486">
        <w:rPr>
          <w:rFonts w:cs="Arial"/>
          <w:lang w:val="en-US"/>
        </w:rPr>
        <w:t xml:space="preserve">ompany's purpose of </w:t>
      </w:r>
      <w:r w:rsidRPr="009C4D60">
        <w:rPr>
          <w:rFonts w:cs="Arial"/>
          <w:lang w:val="en-US"/>
        </w:rPr>
        <w:t>providing tranquility for people, today and always</w:t>
      </w:r>
      <w:r w:rsidRPr="00B52486">
        <w:rPr>
          <w:rFonts w:cs="Arial"/>
          <w:lang w:val="en-US"/>
        </w:rPr>
        <w:t>.</w:t>
      </w:r>
    </w:p>
    <w:p w14:paraId="17372435" w14:textId="77777777" w:rsidR="00527E46" w:rsidRPr="00BC754A" w:rsidRDefault="00527E46" w:rsidP="00527E46">
      <w:pPr>
        <w:pStyle w:val="05-Textonormal"/>
        <w:rPr>
          <w:rFonts w:cs="Arial"/>
          <w:lang w:val="en-US"/>
        </w:rPr>
      </w:pPr>
      <w:r w:rsidRPr="00B52486">
        <w:rPr>
          <w:rFonts w:cs="Arial"/>
          <w:lang w:val="en-US"/>
        </w:rPr>
        <w:t xml:space="preserve">Throughout the report, we will provide further details on the </w:t>
      </w:r>
      <w:r>
        <w:rPr>
          <w:rFonts w:cs="Arial"/>
          <w:lang w:val="en-US"/>
        </w:rPr>
        <w:t>C</w:t>
      </w:r>
      <w:r w:rsidRPr="00B52486">
        <w:rPr>
          <w:rFonts w:cs="Arial"/>
          <w:lang w:val="en-US"/>
        </w:rPr>
        <w:t>ompany's performance during the year.</w:t>
      </w:r>
    </w:p>
    <w:p w14:paraId="3974CC83" w14:textId="77777777" w:rsidR="00527E46" w:rsidRDefault="00527E46" w:rsidP="00527E46">
      <w:pPr>
        <w:pStyle w:val="05-Textonormal"/>
        <w:rPr>
          <w:rFonts w:cs="Arial"/>
          <w:lang w:val="en-US"/>
        </w:rPr>
      </w:pPr>
    </w:p>
    <w:p w14:paraId="50D68D76" w14:textId="77777777" w:rsidR="00527E46" w:rsidRPr="008F368D" w:rsidRDefault="00527E46" w:rsidP="005D6EF4">
      <w:pPr>
        <w:pStyle w:val="01-TtulodeNota"/>
        <w:widowControl w:val="0"/>
        <w:numPr>
          <w:ilvl w:val="0"/>
          <w:numId w:val="53"/>
        </w:numPr>
        <w:ind w:left="357" w:hanging="357"/>
        <w:rPr>
          <w:color w:val="1F3864" w:themeColor="accent1" w:themeShade="80"/>
        </w:rPr>
      </w:pPr>
      <w:r w:rsidRPr="008F368D">
        <w:rPr>
          <w:color w:val="1F3864" w:themeColor="accent1" w:themeShade="80"/>
        </w:rPr>
        <w:t>FINANCIAL PERFORMANCE</w:t>
      </w:r>
    </w:p>
    <w:p w14:paraId="51FDD9D5" w14:textId="77777777" w:rsidR="00527E46" w:rsidRPr="008F368D" w:rsidRDefault="00527E46" w:rsidP="005D6EF4">
      <w:pPr>
        <w:pStyle w:val="01-Textonormal"/>
        <w:rPr>
          <w:b/>
          <w:lang w:val="en-US"/>
        </w:rPr>
      </w:pPr>
      <w:r w:rsidRPr="008F368D">
        <w:rPr>
          <w:lang w:val="en-US"/>
        </w:rPr>
        <w:t xml:space="preserve">As a holding company, BB </w:t>
      </w:r>
      <w:proofErr w:type="spellStart"/>
      <w:r w:rsidRPr="008F368D">
        <w:rPr>
          <w:lang w:val="en-US"/>
        </w:rPr>
        <w:t>Seguridade’s</w:t>
      </w:r>
      <w:proofErr w:type="spellEnd"/>
      <w:r w:rsidRPr="008F368D">
        <w:rPr>
          <w:lang w:val="en-US"/>
        </w:rPr>
        <w:t xml:space="preserve"> net income consists of the equity income arising from its investees, along with the holding standalone operating and financial income and expenses. </w:t>
      </w:r>
    </w:p>
    <w:p w14:paraId="3C0F899B" w14:textId="77777777" w:rsidR="00A27E15" w:rsidRDefault="00527E46" w:rsidP="005D6EF4">
      <w:pPr>
        <w:pStyle w:val="01-Textonormal"/>
        <w:rPr>
          <w:lang w:val="en-US"/>
        </w:rPr>
      </w:pPr>
      <w:r w:rsidRPr="008F368D">
        <w:rPr>
          <w:lang w:val="en-US"/>
        </w:rPr>
        <w:t xml:space="preserve">The table below presents BB </w:t>
      </w:r>
      <w:proofErr w:type="spellStart"/>
      <w:r w:rsidRPr="008F368D">
        <w:rPr>
          <w:lang w:val="en-US"/>
        </w:rPr>
        <w:t>Seguridade´s</w:t>
      </w:r>
      <w:proofErr w:type="spellEnd"/>
      <w:r w:rsidRPr="008F368D">
        <w:rPr>
          <w:lang w:val="en-US"/>
        </w:rPr>
        <w:t xml:space="preserve"> income statement for 202</w:t>
      </w:r>
      <w:r>
        <w:rPr>
          <w:lang w:val="en-US"/>
        </w:rPr>
        <w:t>4</w:t>
      </w:r>
      <w:r w:rsidRPr="008F368D">
        <w:rPr>
          <w:lang w:val="en-US"/>
        </w:rPr>
        <w:t xml:space="preserve"> and 202</w:t>
      </w:r>
      <w:r>
        <w:rPr>
          <w:lang w:val="en-US"/>
        </w:rPr>
        <w:t>3</w:t>
      </w:r>
      <w:r w:rsidRPr="008F368D">
        <w:rPr>
          <w:lang w:val="en-US"/>
        </w:rPr>
        <w:t xml:space="preserve">, </w:t>
      </w:r>
      <w:r>
        <w:rPr>
          <w:lang w:val="en-US"/>
        </w:rPr>
        <w:t xml:space="preserve">according to the IFRS 17 standards, </w:t>
      </w:r>
      <w:r w:rsidRPr="008F368D">
        <w:rPr>
          <w:lang w:val="en-US"/>
        </w:rPr>
        <w:t>as well as the comments on the main variations of the year:</w:t>
      </w:r>
    </w:p>
    <w:p w14:paraId="010F689A" w14:textId="77777777" w:rsidR="001C5EBF" w:rsidRPr="001C5EBF" w:rsidRDefault="001C5EBF" w:rsidP="001C5EBF">
      <w:pPr>
        <w:rPr>
          <w:lang w:val="en-US" w:eastAsia="pt-BR"/>
        </w:rPr>
      </w:pPr>
    </w:p>
    <w:p w14:paraId="152D80E6" w14:textId="77777777" w:rsidR="001C5EBF" w:rsidRPr="001C5EBF" w:rsidRDefault="001C5EBF" w:rsidP="001C5EBF">
      <w:pPr>
        <w:rPr>
          <w:lang w:val="en-US" w:eastAsia="pt-BR"/>
        </w:rPr>
      </w:pPr>
    </w:p>
    <w:p w14:paraId="36A642BB" w14:textId="77777777" w:rsidR="001C5EBF" w:rsidRPr="001C5EBF" w:rsidRDefault="001C5EBF" w:rsidP="001C5EBF">
      <w:pPr>
        <w:rPr>
          <w:lang w:val="en-US" w:eastAsia="pt-BR"/>
        </w:rPr>
      </w:pPr>
    </w:p>
    <w:p w14:paraId="6DAC6642" w14:textId="77777777" w:rsidR="001C5EBF" w:rsidRPr="001C5EBF" w:rsidRDefault="001C5EBF" w:rsidP="001C5EBF">
      <w:pPr>
        <w:rPr>
          <w:lang w:val="en-US" w:eastAsia="pt-BR"/>
        </w:rPr>
      </w:pPr>
    </w:p>
    <w:p w14:paraId="51F88DB9" w14:textId="77777777" w:rsidR="001C5EBF" w:rsidRPr="001C5EBF" w:rsidRDefault="001C5EBF" w:rsidP="001C5EBF">
      <w:pPr>
        <w:rPr>
          <w:lang w:val="en-US" w:eastAsia="pt-BR"/>
        </w:rPr>
      </w:pPr>
    </w:p>
    <w:p w14:paraId="0C87A96D" w14:textId="77777777" w:rsidR="001C5EBF" w:rsidRPr="001C5EBF" w:rsidRDefault="001C5EBF" w:rsidP="001C5EBF">
      <w:pPr>
        <w:rPr>
          <w:lang w:val="en-US" w:eastAsia="pt-BR"/>
        </w:rPr>
      </w:pPr>
    </w:p>
    <w:p w14:paraId="57EA4FB4" w14:textId="77777777" w:rsidR="001C5EBF" w:rsidRPr="001C5EBF" w:rsidRDefault="001C5EBF" w:rsidP="001C5EBF">
      <w:pPr>
        <w:rPr>
          <w:lang w:val="en-US" w:eastAsia="pt-BR"/>
        </w:rPr>
      </w:pPr>
    </w:p>
    <w:p w14:paraId="595D923F" w14:textId="77777777" w:rsidR="001C5EBF" w:rsidRPr="001C5EBF" w:rsidRDefault="001C5EBF" w:rsidP="001C5EBF">
      <w:pPr>
        <w:rPr>
          <w:lang w:val="en-US" w:eastAsia="pt-BR"/>
        </w:rPr>
      </w:pPr>
    </w:p>
    <w:p w14:paraId="70A43C8A" w14:textId="77777777" w:rsidR="001C5EBF" w:rsidRPr="001C5EBF" w:rsidRDefault="001C5EBF" w:rsidP="001C5EBF">
      <w:pPr>
        <w:rPr>
          <w:lang w:val="en-US" w:eastAsia="pt-BR"/>
        </w:rPr>
      </w:pPr>
    </w:p>
    <w:p w14:paraId="6860E9E8" w14:textId="77777777" w:rsidR="001C5EBF" w:rsidRDefault="001C5EBF" w:rsidP="001C5EBF">
      <w:pPr>
        <w:rPr>
          <w:rFonts w:ascii="Arial" w:eastAsia="Times New Roman" w:hAnsi="Arial" w:cs="Times New Roman"/>
          <w:spacing w:val="-2"/>
          <w:sz w:val="18"/>
          <w:szCs w:val="18"/>
          <w:lang w:val="en-US" w:eastAsia="pt-BR"/>
        </w:rPr>
      </w:pPr>
    </w:p>
    <w:p w14:paraId="7FF61F60" w14:textId="201E9406" w:rsidR="001C5EBF" w:rsidRPr="001C5EBF" w:rsidRDefault="001C5EBF" w:rsidP="001C5EBF">
      <w:pPr>
        <w:tabs>
          <w:tab w:val="left" w:pos="8945"/>
        </w:tabs>
        <w:rPr>
          <w:rFonts w:ascii="Arial" w:eastAsia="Times New Roman" w:hAnsi="Arial" w:cs="Times New Roman"/>
          <w:sz w:val="18"/>
          <w:szCs w:val="18"/>
          <w:lang w:val="en-US" w:eastAsia="pt-BR"/>
        </w:rPr>
      </w:pPr>
      <w:r>
        <w:rPr>
          <w:rFonts w:ascii="Arial" w:eastAsia="Times New Roman" w:hAnsi="Arial" w:cs="Times New Roman"/>
          <w:sz w:val="18"/>
          <w:szCs w:val="18"/>
          <w:lang w:val="en-US" w:eastAsia="pt-BR"/>
        </w:rPr>
        <w:tab/>
      </w:r>
    </w:p>
    <w:p w14:paraId="79A34D6C" w14:textId="70BFEE3E" w:rsidR="00527E46" w:rsidRDefault="00527E46" w:rsidP="005D6EF4">
      <w:pPr>
        <w:pStyle w:val="01-Textonormal"/>
        <w:pageBreakBefore/>
        <w:rPr>
          <w:b/>
          <w:lang w:val="en-US"/>
        </w:rPr>
      </w:pPr>
      <w:r w:rsidRPr="008F368D">
        <w:rPr>
          <w:rFonts w:cs="Arial"/>
          <w:szCs w:val="14"/>
          <w:lang w:val="en-US"/>
        </w:rPr>
        <w:lastRenderedPageBreak/>
        <w:t xml:space="preserve">Table </w:t>
      </w:r>
      <w:r w:rsidRPr="008F368D">
        <w:rPr>
          <w:rFonts w:cs="Arial"/>
          <w:b/>
          <w:szCs w:val="14"/>
        </w:rPr>
        <w:fldChar w:fldCharType="begin"/>
      </w:r>
      <w:r w:rsidRPr="008F368D">
        <w:rPr>
          <w:rFonts w:cs="Arial"/>
          <w:szCs w:val="14"/>
          <w:lang w:val="en-US"/>
        </w:rPr>
        <w:instrText xml:space="preserve"> SEQ Tabela \* ARABIC </w:instrText>
      </w:r>
      <w:r w:rsidRPr="008F368D">
        <w:rPr>
          <w:rFonts w:cs="Arial"/>
          <w:b/>
          <w:szCs w:val="14"/>
        </w:rPr>
        <w:fldChar w:fldCharType="separate"/>
      </w:r>
      <w:r w:rsidR="00D05F8E">
        <w:rPr>
          <w:rFonts w:cs="Arial"/>
          <w:noProof/>
          <w:szCs w:val="14"/>
          <w:lang w:val="en-US"/>
        </w:rPr>
        <w:t>1</w:t>
      </w:r>
      <w:r w:rsidRPr="008F368D">
        <w:rPr>
          <w:rFonts w:cs="Arial"/>
          <w:b/>
          <w:noProof/>
          <w:szCs w:val="14"/>
        </w:rPr>
        <w:fldChar w:fldCharType="end"/>
      </w:r>
      <w:r w:rsidRPr="008F368D">
        <w:rPr>
          <w:lang w:val="en-US"/>
        </w:rPr>
        <w:t xml:space="preserve"> – Financial performance | Income statement – </w:t>
      </w:r>
      <w:r>
        <w:rPr>
          <w:lang w:val="en-US"/>
        </w:rPr>
        <w:t>Parent</w:t>
      </w:r>
      <w:r w:rsidRPr="008F368D">
        <w:rPr>
          <w:lang w:val="en-US"/>
        </w:rPr>
        <w:t>.</w:t>
      </w:r>
    </w:p>
    <w:tbl>
      <w:tblPr>
        <w:tblStyle w:val="TabeladeLista6Colorida-nfase5"/>
        <w:tblW w:w="9639" w:type="dxa"/>
        <w:tblLook w:val="04A0" w:firstRow="1" w:lastRow="0" w:firstColumn="1" w:lastColumn="0" w:noHBand="0" w:noVBand="1"/>
      </w:tblPr>
      <w:tblGrid>
        <w:gridCol w:w="4066"/>
        <w:gridCol w:w="1860"/>
        <w:gridCol w:w="1860"/>
        <w:gridCol w:w="1853"/>
      </w:tblGrid>
      <w:tr w:rsidR="00527E46" w:rsidRPr="006970A5" w14:paraId="0524AA5D"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auto"/>
            <w:vAlign w:val="center"/>
          </w:tcPr>
          <w:p w14:paraId="08DE2B4A" w14:textId="77777777" w:rsidR="00527E46" w:rsidRPr="006970A5" w:rsidRDefault="00527E46">
            <w:pPr>
              <w:pStyle w:val="08-Tabelageral"/>
              <w:jc w:val="left"/>
              <w:rPr>
                <w:rFonts w:cs="Arial"/>
                <w:lang w:eastAsia="en-US"/>
              </w:rPr>
            </w:pPr>
            <w:bookmarkStart w:id="4" w:name="_Hlk157580692"/>
            <w:r>
              <w:rPr>
                <w:rFonts w:cs="Arial"/>
                <w:lang w:eastAsia="en-US"/>
              </w:rPr>
              <w:t xml:space="preserve">BRL </w:t>
            </w:r>
            <w:proofErr w:type="spellStart"/>
            <w:r>
              <w:rPr>
                <w:rFonts w:cs="Arial"/>
                <w:lang w:eastAsia="en-US"/>
              </w:rPr>
              <w:t>thousand</w:t>
            </w:r>
            <w:proofErr w:type="spellEnd"/>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4E2F5D85" w14:textId="77777777" w:rsidR="00527E46" w:rsidRPr="006970A5" w:rsidRDefault="00527E46">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FY 2024</w:t>
            </w:r>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0A239488" w14:textId="77777777" w:rsidR="00527E46" w:rsidRPr="009F4CD6" w:rsidRDefault="00527E4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bCs w:val="0"/>
                <w:lang w:eastAsia="en-US"/>
              </w:rPr>
            </w:pPr>
            <w:r>
              <w:rPr>
                <w:rFonts w:cs="Arial"/>
                <w:lang w:eastAsia="en-US"/>
              </w:rPr>
              <w:t>FY 2023</w:t>
            </w:r>
          </w:p>
        </w:tc>
        <w:tc>
          <w:tcPr>
            <w:tcW w:w="1853" w:type="dxa"/>
            <w:tcBorders>
              <w:top w:val="single" w:sz="2" w:space="0" w:color="9CC2E5" w:themeColor="accent5" w:themeTint="99"/>
              <w:left w:val="nil"/>
              <w:bottom w:val="nil"/>
              <w:right w:val="nil"/>
            </w:tcBorders>
            <w:shd w:val="clear" w:color="auto" w:fill="auto"/>
            <w:vAlign w:val="center"/>
            <w:hideMark/>
          </w:tcPr>
          <w:p w14:paraId="1205D763" w14:textId="77777777" w:rsidR="00527E46" w:rsidRPr="006970A5" w:rsidRDefault="00527E46">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6970A5">
              <w:rPr>
                <w:rFonts w:cs="Arial"/>
                <w:lang w:eastAsia="en-US"/>
              </w:rPr>
              <w:t>Var.%</w:t>
            </w:r>
          </w:p>
        </w:tc>
      </w:tr>
      <w:tr w:rsidR="00527E46" w:rsidRPr="006970A5" w14:paraId="5667D33A"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2" w:space="0" w:color="9CC2E5" w:themeColor="accent5" w:themeTint="99"/>
              <w:right w:val="nil"/>
            </w:tcBorders>
            <w:shd w:val="clear" w:color="auto" w:fill="auto"/>
          </w:tcPr>
          <w:p w14:paraId="6AA86A81" w14:textId="77777777" w:rsidR="00527E46" w:rsidRPr="006970A5" w:rsidRDefault="00527E46">
            <w:pPr>
              <w:pStyle w:val="08-Tabelageral"/>
              <w:jc w:val="left"/>
              <w:rPr>
                <w:rFonts w:cs="Arial"/>
                <w:bCs w:val="0"/>
                <w:szCs w:val="14"/>
                <w:lang w:eastAsia="en-US"/>
              </w:rPr>
            </w:pPr>
          </w:p>
        </w:tc>
        <w:tc>
          <w:tcPr>
            <w:tcW w:w="0" w:type="auto"/>
            <w:vMerge/>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5A0AC3F5" w14:textId="77777777" w:rsidR="00527E46" w:rsidRPr="006970A5" w:rsidRDefault="00527E46">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0" w:type="auto"/>
            <w:vMerge/>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6A0C79D3" w14:textId="77777777" w:rsidR="00527E46" w:rsidRPr="006970A5" w:rsidRDefault="00527E46">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1853" w:type="dxa"/>
            <w:tcBorders>
              <w:top w:val="nil"/>
              <w:left w:val="nil"/>
              <w:bottom w:val="single" w:sz="2" w:space="0" w:color="9CC2E5" w:themeColor="accent5" w:themeTint="99"/>
              <w:right w:val="nil"/>
            </w:tcBorders>
            <w:shd w:val="clear" w:color="auto" w:fill="auto"/>
            <w:vAlign w:val="center"/>
            <w:hideMark/>
          </w:tcPr>
          <w:p w14:paraId="7BAA7C19"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proofErr w:type="spellStart"/>
            <w:r>
              <w:rPr>
                <w:rFonts w:cs="Arial"/>
                <w:b/>
                <w:color w:val="auto"/>
                <w:lang w:eastAsia="en-US"/>
              </w:rPr>
              <w:t>on</w:t>
            </w:r>
            <w:proofErr w:type="spellEnd"/>
            <w:r w:rsidRPr="006970A5">
              <w:rPr>
                <w:rFonts w:cs="Arial"/>
                <w:b/>
                <w:color w:val="auto"/>
                <w:lang w:eastAsia="en-US"/>
              </w:rPr>
              <w:t xml:space="preserve"> 202</w:t>
            </w:r>
            <w:r>
              <w:rPr>
                <w:rFonts w:cs="Arial"/>
                <w:b/>
                <w:color w:val="auto"/>
                <w:lang w:eastAsia="en-US"/>
              </w:rPr>
              <w:t>3</w:t>
            </w:r>
          </w:p>
        </w:tc>
      </w:tr>
      <w:tr w:rsidR="00527E46" w:rsidRPr="006970A5" w14:paraId="4A534F0A" w14:textId="77777777">
        <w:trPr>
          <w:cnfStyle w:val="000000010000" w:firstRow="0" w:lastRow="0" w:firstColumn="0" w:lastColumn="0" w:oddVBand="0" w:evenVBand="0" w:oddHBand="0" w:evenHBand="1" w:firstRowFirstColumn="0" w:firstRowLastColumn="0" w:lastRowFirstColumn="0" w:lastRowLastColumn="0"/>
          <w:trHeight w:hRule="exact" w:val="298"/>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auto"/>
            <w:hideMark/>
          </w:tcPr>
          <w:p w14:paraId="681F338E" w14:textId="77777777" w:rsidR="00527E46" w:rsidRPr="006970A5" w:rsidRDefault="00527E46">
            <w:pPr>
              <w:pStyle w:val="08-Tabelageral"/>
              <w:jc w:val="left"/>
              <w:rPr>
                <w:rFonts w:cs="Arial"/>
                <w:snapToGrid w:val="0"/>
                <w:lang w:eastAsia="en-US"/>
              </w:rPr>
            </w:pPr>
            <w:proofErr w:type="spellStart"/>
            <w:r w:rsidRPr="008F368D">
              <w:rPr>
                <w:rFonts w:cs="Arial"/>
                <w:lang w:eastAsia="en-US"/>
              </w:rPr>
              <w:t>Equity</w:t>
            </w:r>
            <w:proofErr w:type="spellEnd"/>
            <w:r w:rsidRPr="008F368D">
              <w:rPr>
                <w:rFonts w:cs="Arial"/>
                <w:lang w:eastAsia="en-US"/>
              </w:rPr>
              <w:t xml:space="preserve"> income</w:t>
            </w:r>
          </w:p>
        </w:tc>
        <w:tc>
          <w:tcPr>
            <w:tcW w:w="1860" w:type="dxa"/>
            <w:tcBorders>
              <w:top w:val="single" w:sz="2" w:space="0" w:color="9CC2E5" w:themeColor="accent5" w:themeTint="99"/>
              <w:left w:val="nil"/>
              <w:bottom w:val="nil"/>
              <w:right w:val="nil"/>
            </w:tcBorders>
            <w:shd w:val="clear" w:color="auto" w:fill="auto"/>
            <w:hideMark/>
          </w:tcPr>
          <w:p w14:paraId="1009C679" w14:textId="77777777" w:rsidR="00527E46" w:rsidRPr="00EF58B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EF58B5">
              <w:rPr>
                <w:b/>
                <w:bCs/>
              </w:rPr>
              <w:t>8,683,817</w:t>
            </w:r>
          </w:p>
        </w:tc>
        <w:tc>
          <w:tcPr>
            <w:tcW w:w="1860" w:type="dxa"/>
            <w:tcBorders>
              <w:top w:val="single" w:sz="2" w:space="0" w:color="9CC2E5" w:themeColor="accent5" w:themeTint="99"/>
              <w:left w:val="nil"/>
              <w:bottom w:val="nil"/>
              <w:right w:val="nil"/>
            </w:tcBorders>
            <w:shd w:val="clear" w:color="auto" w:fill="auto"/>
            <w:vAlign w:val="center"/>
            <w:hideMark/>
          </w:tcPr>
          <w:p w14:paraId="620FDB68"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8F368D">
              <w:rPr>
                <w:rFonts w:cs="Arial"/>
                <w:b/>
                <w:color w:val="auto"/>
                <w:szCs w:val="14"/>
                <w:lang w:eastAsia="en-US"/>
              </w:rPr>
              <w:t>7,925,902</w:t>
            </w:r>
          </w:p>
        </w:tc>
        <w:tc>
          <w:tcPr>
            <w:tcW w:w="1853" w:type="dxa"/>
            <w:tcBorders>
              <w:top w:val="single" w:sz="2" w:space="0" w:color="9CC2E5" w:themeColor="accent5" w:themeTint="99"/>
              <w:left w:val="nil"/>
              <w:bottom w:val="nil"/>
              <w:right w:val="nil"/>
            </w:tcBorders>
            <w:shd w:val="clear" w:color="auto" w:fill="auto"/>
            <w:hideMark/>
          </w:tcPr>
          <w:p w14:paraId="1561219D" w14:textId="77777777" w:rsidR="00527E46" w:rsidRPr="00EF58B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EF58B5">
              <w:rPr>
                <w:b/>
                <w:bCs/>
              </w:rPr>
              <w:t>9.6</w:t>
            </w:r>
          </w:p>
        </w:tc>
      </w:tr>
      <w:tr w:rsidR="00527E46" w:rsidRPr="006970A5" w14:paraId="02E907CD"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790C05A6" w14:textId="77777777" w:rsidR="00527E46" w:rsidRPr="006970A5" w:rsidRDefault="00527E46">
            <w:pPr>
              <w:pStyle w:val="08-Tabelageral"/>
              <w:ind w:left="113"/>
              <w:jc w:val="left"/>
              <w:rPr>
                <w:rFonts w:cs="Arial"/>
                <w:b w:val="0"/>
                <w:snapToGrid w:val="0"/>
                <w:lang w:eastAsia="en-US"/>
              </w:rPr>
            </w:pPr>
            <w:r w:rsidRPr="008F368D">
              <w:rPr>
                <w:rFonts w:cs="Arial"/>
                <w:b w:val="0"/>
                <w:lang w:eastAsia="en-US"/>
              </w:rPr>
              <w:t>BB MAPFRE Participações S</w:t>
            </w:r>
            <w:r>
              <w:rPr>
                <w:rFonts w:cs="Arial"/>
                <w:b w:val="0"/>
                <w:lang w:eastAsia="en-US"/>
              </w:rPr>
              <w:t>,</w:t>
            </w:r>
            <w:r w:rsidRPr="008F368D">
              <w:rPr>
                <w:rFonts w:cs="Arial"/>
                <w:b w:val="0"/>
                <w:lang w:eastAsia="en-US"/>
              </w:rPr>
              <w:t>A</w:t>
            </w:r>
            <w:r>
              <w:rPr>
                <w:rFonts w:cs="Arial"/>
                <w:b w:val="0"/>
                <w:lang w:eastAsia="en-US"/>
              </w:rPr>
              <w:t>,</w:t>
            </w:r>
            <w:r w:rsidRPr="008F368D">
              <w:rPr>
                <w:rFonts w:cs="Arial"/>
                <w:b w:val="0"/>
                <w:lang w:eastAsia="en-US"/>
              </w:rPr>
              <w:t xml:space="preserve"> (</w:t>
            </w:r>
            <w:proofErr w:type="spellStart"/>
            <w:r w:rsidRPr="008F368D">
              <w:rPr>
                <w:rFonts w:cs="Arial"/>
                <w:b w:val="0"/>
                <w:lang w:eastAsia="en-US"/>
              </w:rPr>
              <w:t>Brasilseg</w:t>
            </w:r>
            <w:proofErr w:type="spellEnd"/>
            <w:r>
              <w:rPr>
                <w:rFonts w:cs="Arial"/>
                <w:b w:val="0"/>
                <w:lang w:eastAsia="en-US"/>
              </w:rPr>
              <w:t xml:space="preserve"> </w:t>
            </w:r>
            <w:proofErr w:type="spellStart"/>
            <w:r>
              <w:rPr>
                <w:rFonts w:cs="Arial"/>
                <w:b w:val="0"/>
                <w:lang w:eastAsia="en-US"/>
              </w:rPr>
              <w:t>and</w:t>
            </w:r>
            <w:proofErr w:type="spellEnd"/>
            <w:r>
              <w:rPr>
                <w:rFonts w:cs="Arial"/>
                <w:b w:val="0"/>
                <w:lang w:eastAsia="en-US"/>
              </w:rPr>
              <w:t xml:space="preserve"> ABS</w:t>
            </w:r>
            <w:r w:rsidRPr="008F368D">
              <w:rPr>
                <w:rFonts w:cs="Arial"/>
                <w:b w:val="0"/>
                <w:lang w:eastAsia="en-US"/>
              </w:rPr>
              <w:t>)</w:t>
            </w:r>
          </w:p>
        </w:tc>
        <w:tc>
          <w:tcPr>
            <w:tcW w:w="1860" w:type="dxa"/>
            <w:tcBorders>
              <w:top w:val="nil"/>
              <w:left w:val="nil"/>
              <w:bottom w:val="nil"/>
              <w:right w:val="nil"/>
            </w:tcBorders>
            <w:shd w:val="clear" w:color="auto" w:fill="auto"/>
            <w:hideMark/>
          </w:tcPr>
          <w:p w14:paraId="5D41BB65"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07CA1">
              <w:t>3</w:t>
            </w:r>
            <w:r>
              <w:t>,</w:t>
            </w:r>
            <w:r w:rsidRPr="00A07CA1">
              <w:t>295</w:t>
            </w:r>
            <w:r>
              <w:t>,</w:t>
            </w:r>
            <w:r w:rsidRPr="00A07CA1">
              <w:t>563</w:t>
            </w:r>
          </w:p>
        </w:tc>
        <w:tc>
          <w:tcPr>
            <w:tcW w:w="1860" w:type="dxa"/>
            <w:tcBorders>
              <w:top w:val="nil"/>
              <w:left w:val="nil"/>
              <w:bottom w:val="nil"/>
              <w:right w:val="nil"/>
            </w:tcBorders>
            <w:shd w:val="clear" w:color="auto" w:fill="auto"/>
            <w:vAlign w:val="center"/>
            <w:hideMark/>
          </w:tcPr>
          <w:p w14:paraId="3DBF08E7"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color w:val="auto"/>
                <w:szCs w:val="14"/>
                <w:lang w:eastAsia="en-US"/>
              </w:rPr>
              <w:t>2,899,970</w:t>
            </w:r>
          </w:p>
        </w:tc>
        <w:tc>
          <w:tcPr>
            <w:tcW w:w="1853" w:type="dxa"/>
            <w:tcBorders>
              <w:top w:val="nil"/>
              <w:left w:val="nil"/>
              <w:bottom w:val="nil"/>
              <w:right w:val="nil"/>
            </w:tcBorders>
            <w:shd w:val="clear" w:color="auto" w:fill="auto"/>
            <w:hideMark/>
          </w:tcPr>
          <w:p w14:paraId="64C55F61"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36082">
              <w:t>13</w:t>
            </w:r>
            <w:r>
              <w:t>.</w:t>
            </w:r>
            <w:r w:rsidRPr="00736082">
              <w:t>6</w:t>
            </w:r>
          </w:p>
        </w:tc>
      </w:tr>
      <w:tr w:rsidR="00527E46" w:rsidRPr="006970A5" w14:paraId="0FBD1DBA"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0DCE4BE" w14:textId="77777777" w:rsidR="00527E46" w:rsidRPr="006970A5" w:rsidRDefault="00527E46">
            <w:pPr>
              <w:pStyle w:val="08-Tabelageral"/>
              <w:ind w:left="113"/>
              <w:jc w:val="left"/>
              <w:rPr>
                <w:rFonts w:cs="Arial"/>
                <w:b w:val="0"/>
                <w:snapToGrid w:val="0"/>
                <w:lang w:eastAsia="en-US"/>
              </w:rPr>
            </w:pPr>
            <w:r w:rsidRPr="008F368D">
              <w:rPr>
                <w:rFonts w:cs="Arial"/>
                <w:b w:val="0"/>
                <w:lang w:eastAsia="en-US"/>
              </w:rPr>
              <w:t>Brasilprev Seguros e Previdência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shd w:val="clear" w:color="auto" w:fill="auto"/>
            <w:hideMark/>
          </w:tcPr>
          <w:p w14:paraId="75401960"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A07CA1">
              <w:t>1</w:t>
            </w:r>
            <w:r>
              <w:t>,</w:t>
            </w:r>
            <w:r w:rsidRPr="00A07CA1">
              <w:t>801</w:t>
            </w:r>
            <w:r>
              <w:t>,</w:t>
            </w:r>
            <w:r w:rsidRPr="00A07CA1">
              <w:t>907</w:t>
            </w:r>
          </w:p>
        </w:tc>
        <w:tc>
          <w:tcPr>
            <w:tcW w:w="1860" w:type="dxa"/>
            <w:tcBorders>
              <w:top w:val="nil"/>
              <w:left w:val="nil"/>
              <w:bottom w:val="nil"/>
              <w:right w:val="nil"/>
            </w:tcBorders>
            <w:shd w:val="clear" w:color="auto" w:fill="auto"/>
            <w:vAlign w:val="center"/>
            <w:hideMark/>
          </w:tcPr>
          <w:p w14:paraId="371A6C3D"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8F368D">
              <w:rPr>
                <w:rFonts w:cs="Arial"/>
                <w:color w:val="auto"/>
                <w:szCs w:val="14"/>
                <w:lang w:eastAsia="en-US"/>
              </w:rPr>
              <w:t>1,789,794</w:t>
            </w:r>
          </w:p>
        </w:tc>
        <w:tc>
          <w:tcPr>
            <w:tcW w:w="1853" w:type="dxa"/>
            <w:tcBorders>
              <w:top w:val="nil"/>
              <w:left w:val="nil"/>
              <w:bottom w:val="nil"/>
              <w:right w:val="nil"/>
            </w:tcBorders>
            <w:shd w:val="clear" w:color="auto" w:fill="auto"/>
            <w:hideMark/>
          </w:tcPr>
          <w:p w14:paraId="0BB73D73"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36082">
              <w:t>0</w:t>
            </w:r>
            <w:r>
              <w:t>.</w:t>
            </w:r>
            <w:r w:rsidRPr="00736082">
              <w:t>7</w:t>
            </w:r>
          </w:p>
        </w:tc>
      </w:tr>
      <w:tr w:rsidR="00527E46" w:rsidRPr="006970A5" w14:paraId="6F923959"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52A1DD8" w14:textId="77777777" w:rsidR="00527E46" w:rsidRPr="006970A5" w:rsidRDefault="00527E46">
            <w:pPr>
              <w:pStyle w:val="08-Tabelageral"/>
              <w:ind w:left="113"/>
              <w:jc w:val="left"/>
              <w:rPr>
                <w:rFonts w:cs="Arial"/>
                <w:b w:val="0"/>
                <w:snapToGrid w:val="0"/>
                <w:lang w:eastAsia="en-US"/>
              </w:rPr>
            </w:pPr>
            <w:proofErr w:type="spellStart"/>
            <w:r w:rsidRPr="008F368D">
              <w:rPr>
                <w:rFonts w:cs="Arial"/>
                <w:b w:val="0"/>
                <w:lang w:eastAsia="en-US"/>
              </w:rPr>
              <w:t>Brasilcap</w:t>
            </w:r>
            <w:proofErr w:type="spellEnd"/>
            <w:r w:rsidRPr="008F368D">
              <w:rPr>
                <w:rFonts w:cs="Arial"/>
                <w:b w:val="0"/>
                <w:lang w:eastAsia="en-US"/>
              </w:rPr>
              <w:t xml:space="preserve"> Capitalização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shd w:val="clear" w:color="auto" w:fill="auto"/>
            <w:hideMark/>
          </w:tcPr>
          <w:p w14:paraId="1BC7C6EE"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07CA1">
              <w:t>187</w:t>
            </w:r>
            <w:r>
              <w:t>,</w:t>
            </w:r>
            <w:r w:rsidRPr="00A07CA1">
              <w:t>464</w:t>
            </w:r>
          </w:p>
        </w:tc>
        <w:tc>
          <w:tcPr>
            <w:tcW w:w="1860" w:type="dxa"/>
            <w:tcBorders>
              <w:top w:val="nil"/>
              <w:left w:val="nil"/>
              <w:bottom w:val="nil"/>
              <w:right w:val="nil"/>
            </w:tcBorders>
            <w:shd w:val="clear" w:color="auto" w:fill="auto"/>
            <w:vAlign w:val="center"/>
            <w:hideMark/>
          </w:tcPr>
          <w:p w14:paraId="5A275BAC"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color w:val="auto"/>
                <w:szCs w:val="14"/>
                <w:lang w:eastAsia="en-US"/>
              </w:rPr>
              <w:t>179,162</w:t>
            </w:r>
          </w:p>
        </w:tc>
        <w:tc>
          <w:tcPr>
            <w:tcW w:w="1853" w:type="dxa"/>
            <w:tcBorders>
              <w:top w:val="nil"/>
              <w:left w:val="nil"/>
              <w:bottom w:val="nil"/>
              <w:right w:val="nil"/>
            </w:tcBorders>
            <w:shd w:val="clear" w:color="auto" w:fill="auto"/>
            <w:hideMark/>
          </w:tcPr>
          <w:p w14:paraId="32F4ACB4"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36082">
              <w:t>4</w:t>
            </w:r>
            <w:r>
              <w:t>.</w:t>
            </w:r>
            <w:r w:rsidRPr="00736082">
              <w:t>6</w:t>
            </w:r>
          </w:p>
        </w:tc>
      </w:tr>
      <w:tr w:rsidR="00527E46" w:rsidRPr="006970A5" w14:paraId="6112B217"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7AF01DE" w14:textId="77777777" w:rsidR="00527E46" w:rsidRPr="006970A5" w:rsidRDefault="00527E46">
            <w:pPr>
              <w:pStyle w:val="08-Tabelageral"/>
              <w:ind w:left="113"/>
              <w:jc w:val="left"/>
              <w:rPr>
                <w:rFonts w:cs="Arial"/>
                <w:b w:val="0"/>
                <w:snapToGrid w:val="0"/>
                <w:vertAlign w:val="superscript"/>
                <w:lang w:eastAsia="en-US"/>
              </w:rPr>
            </w:pPr>
            <w:proofErr w:type="spellStart"/>
            <w:r w:rsidRPr="008F368D">
              <w:rPr>
                <w:rFonts w:cs="Arial"/>
                <w:b w:val="0"/>
                <w:lang w:eastAsia="en-US"/>
              </w:rPr>
              <w:t>Brasildental</w:t>
            </w:r>
            <w:proofErr w:type="spellEnd"/>
            <w:r w:rsidRPr="008F368D">
              <w:rPr>
                <w:rFonts w:cs="Arial"/>
                <w:b w:val="0"/>
                <w:lang w:eastAsia="en-US"/>
              </w:rPr>
              <w:t xml:space="preserve"> Operadora de Planos Odontológicos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shd w:val="clear" w:color="auto" w:fill="auto"/>
            <w:hideMark/>
          </w:tcPr>
          <w:p w14:paraId="6FE78946"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A07CA1">
              <w:t>19</w:t>
            </w:r>
            <w:r>
              <w:t>,</w:t>
            </w:r>
            <w:r w:rsidRPr="00A07CA1">
              <w:t>594</w:t>
            </w:r>
          </w:p>
        </w:tc>
        <w:tc>
          <w:tcPr>
            <w:tcW w:w="1860" w:type="dxa"/>
            <w:tcBorders>
              <w:top w:val="nil"/>
              <w:left w:val="nil"/>
              <w:bottom w:val="nil"/>
              <w:right w:val="nil"/>
            </w:tcBorders>
            <w:shd w:val="clear" w:color="auto" w:fill="auto"/>
            <w:vAlign w:val="center"/>
            <w:hideMark/>
          </w:tcPr>
          <w:p w14:paraId="208A244A"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8F368D">
              <w:rPr>
                <w:color w:val="auto"/>
                <w:lang w:eastAsia="en-US"/>
              </w:rPr>
              <w:t>18,213</w:t>
            </w:r>
          </w:p>
        </w:tc>
        <w:tc>
          <w:tcPr>
            <w:tcW w:w="1853" w:type="dxa"/>
            <w:tcBorders>
              <w:top w:val="nil"/>
              <w:left w:val="nil"/>
              <w:bottom w:val="nil"/>
              <w:right w:val="nil"/>
            </w:tcBorders>
            <w:shd w:val="clear" w:color="auto" w:fill="auto"/>
            <w:hideMark/>
          </w:tcPr>
          <w:p w14:paraId="6E9EE70C"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36082">
              <w:t>7</w:t>
            </w:r>
            <w:r>
              <w:t>.</w:t>
            </w:r>
            <w:r w:rsidRPr="00736082">
              <w:t>6</w:t>
            </w:r>
          </w:p>
        </w:tc>
      </w:tr>
      <w:tr w:rsidR="00527E46" w:rsidRPr="006970A5" w14:paraId="36763FE3"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5470A94" w14:textId="77777777" w:rsidR="00527E46" w:rsidRPr="006970A5" w:rsidRDefault="00527E46">
            <w:pPr>
              <w:pStyle w:val="08-Tabelageral"/>
              <w:ind w:left="113"/>
              <w:jc w:val="left"/>
              <w:rPr>
                <w:rFonts w:cs="Arial"/>
                <w:b w:val="0"/>
                <w:snapToGrid w:val="0"/>
                <w:lang w:eastAsia="en-US"/>
              </w:rPr>
            </w:pPr>
            <w:r w:rsidRPr="008F368D">
              <w:rPr>
                <w:rFonts w:cs="Arial"/>
                <w:b w:val="0"/>
                <w:lang w:eastAsia="en-US"/>
              </w:rPr>
              <w:t>BB Corretora de Seguros e Administradora de Bens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shd w:val="clear" w:color="auto" w:fill="auto"/>
            <w:hideMark/>
          </w:tcPr>
          <w:p w14:paraId="316D8AA9"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07CA1">
              <w:t>3</w:t>
            </w:r>
            <w:r>
              <w:t>,</w:t>
            </w:r>
            <w:r w:rsidRPr="00A07CA1">
              <w:t>308</w:t>
            </w:r>
            <w:r>
              <w:t>,</w:t>
            </w:r>
            <w:r w:rsidRPr="00A07CA1">
              <w:t>139</w:t>
            </w:r>
          </w:p>
        </w:tc>
        <w:tc>
          <w:tcPr>
            <w:tcW w:w="1860" w:type="dxa"/>
            <w:tcBorders>
              <w:top w:val="nil"/>
              <w:left w:val="nil"/>
              <w:bottom w:val="nil"/>
              <w:right w:val="nil"/>
            </w:tcBorders>
            <w:shd w:val="clear" w:color="auto" w:fill="auto"/>
            <w:vAlign w:val="center"/>
            <w:hideMark/>
          </w:tcPr>
          <w:p w14:paraId="526D4664"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color w:val="auto"/>
                <w:szCs w:val="14"/>
                <w:lang w:eastAsia="en-US"/>
              </w:rPr>
              <w:t>2,988,399</w:t>
            </w:r>
          </w:p>
        </w:tc>
        <w:tc>
          <w:tcPr>
            <w:tcW w:w="1853" w:type="dxa"/>
            <w:tcBorders>
              <w:top w:val="nil"/>
              <w:left w:val="nil"/>
              <w:bottom w:val="nil"/>
              <w:right w:val="nil"/>
            </w:tcBorders>
            <w:shd w:val="clear" w:color="auto" w:fill="auto"/>
            <w:hideMark/>
          </w:tcPr>
          <w:p w14:paraId="453251BB"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36082">
              <w:t>10</w:t>
            </w:r>
            <w:r>
              <w:t>.</w:t>
            </w:r>
            <w:r w:rsidRPr="00736082">
              <w:t>7</w:t>
            </w:r>
          </w:p>
        </w:tc>
      </w:tr>
      <w:tr w:rsidR="00527E46" w:rsidRPr="006970A5" w14:paraId="676AC629" w14:textId="77777777">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717DAFD8" w14:textId="77777777" w:rsidR="00527E46" w:rsidRPr="006970A5" w:rsidRDefault="00527E46">
            <w:pPr>
              <w:pStyle w:val="08-Tabelageral"/>
              <w:ind w:left="113"/>
              <w:jc w:val="left"/>
              <w:rPr>
                <w:rFonts w:cs="Arial"/>
                <w:b w:val="0"/>
                <w:lang w:eastAsia="en-US"/>
              </w:rPr>
            </w:pPr>
            <w:r w:rsidRPr="008F368D">
              <w:rPr>
                <w:rFonts w:cs="Arial"/>
                <w:b w:val="0"/>
                <w:lang w:eastAsia="en-US"/>
              </w:rPr>
              <w:t>Other</w:t>
            </w:r>
          </w:p>
        </w:tc>
        <w:tc>
          <w:tcPr>
            <w:tcW w:w="1860" w:type="dxa"/>
            <w:tcBorders>
              <w:top w:val="nil"/>
              <w:left w:val="nil"/>
              <w:bottom w:val="nil"/>
              <w:right w:val="nil"/>
            </w:tcBorders>
            <w:shd w:val="clear" w:color="auto" w:fill="auto"/>
            <w:hideMark/>
          </w:tcPr>
          <w:p w14:paraId="7DCFDD23"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A07CA1">
              <w:t>71</w:t>
            </w:r>
            <w:r>
              <w:t>,</w:t>
            </w:r>
            <w:r w:rsidRPr="00A07CA1">
              <w:t>150</w:t>
            </w:r>
          </w:p>
        </w:tc>
        <w:tc>
          <w:tcPr>
            <w:tcW w:w="1860" w:type="dxa"/>
            <w:tcBorders>
              <w:top w:val="nil"/>
              <w:left w:val="nil"/>
              <w:bottom w:val="nil"/>
              <w:right w:val="nil"/>
            </w:tcBorders>
            <w:shd w:val="clear" w:color="auto" w:fill="auto"/>
            <w:vAlign w:val="center"/>
            <w:hideMark/>
          </w:tcPr>
          <w:p w14:paraId="2A6388AB"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8F368D">
              <w:rPr>
                <w:rFonts w:cs="Arial"/>
                <w:color w:val="auto"/>
                <w:szCs w:val="14"/>
                <w:lang w:eastAsia="en-US"/>
              </w:rPr>
              <w:t>50,36</w:t>
            </w:r>
            <w:r>
              <w:rPr>
                <w:rFonts w:cs="Arial"/>
                <w:color w:val="auto"/>
                <w:szCs w:val="14"/>
                <w:lang w:eastAsia="en-US"/>
              </w:rPr>
              <w:t>4</w:t>
            </w:r>
          </w:p>
        </w:tc>
        <w:tc>
          <w:tcPr>
            <w:tcW w:w="1853" w:type="dxa"/>
            <w:tcBorders>
              <w:top w:val="nil"/>
              <w:left w:val="nil"/>
              <w:bottom w:val="nil"/>
              <w:right w:val="nil"/>
            </w:tcBorders>
            <w:shd w:val="clear" w:color="auto" w:fill="auto"/>
            <w:hideMark/>
          </w:tcPr>
          <w:p w14:paraId="477ED2D3"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36082">
              <w:t>41</w:t>
            </w:r>
            <w:r>
              <w:t>.</w:t>
            </w:r>
            <w:r w:rsidRPr="00736082">
              <w:t>3</w:t>
            </w:r>
          </w:p>
        </w:tc>
      </w:tr>
      <w:tr w:rsidR="00527E46" w:rsidRPr="006970A5" w14:paraId="0D3D5A12"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0641071D" w14:textId="77777777" w:rsidR="00527E46" w:rsidRPr="006970A5" w:rsidRDefault="00527E46">
            <w:pPr>
              <w:pStyle w:val="08-Tabelageral"/>
              <w:jc w:val="left"/>
              <w:rPr>
                <w:rFonts w:cs="Arial"/>
                <w:b w:val="0"/>
                <w:lang w:eastAsia="en-US"/>
              </w:rPr>
            </w:pPr>
            <w:r w:rsidRPr="008F368D">
              <w:rPr>
                <w:rFonts w:cs="Arial"/>
                <w:lang w:eastAsia="en-US"/>
              </w:rPr>
              <w:t xml:space="preserve">Other income </w:t>
            </w:r>
            <w:proofErr w:type="spellStart"/>
            <w:r w:rsidRPr="008F368D">
              <w:rPr>
                <w:rFonts w:cs="Arial"/>
                <w:lang w:eastAsia="en-US"/>
              </w:rPr>
              <w:t>and</w:t>
            </w:r>
            <w:proofErr w:type="spellEnd"/>
            <w:r w:rsidRPr="008F368D">
              <w:rPr>
                <w:rFonts w:cs="Arial"/>
                <w:lang w:eastAsia="en-US"/>
              </w:rPr>
              <w:t xml:space="preserve"> </w:t>
            </w:r>
            <w:proofErr w:type="spellStart"/>
            <w:r w:rsidRPr="008F368D">
              <w:rPr>
                <w:rFonts w:cs="Arial"/>
                <w:lang w:eastAsia="en-US"/>
              </w:rPr>
              <w:t>expenses</w:t>
            </w:r>
            <w:proofErr w:type="spellEnd"/>
          </w:p>
        </w:tc>
        <w:tc>
          <w:tcPr>
            <w:tcW w:w="1860" w:type="dxa"/>
            <w:tcBorders>
              <w:top w:val="nil"/>
              <w:left w:val="nil"/>
              <w:bottom w:val="nil"/>
              <w:right w:val="nil"/>
            </w:tcBorders>
            <w:shd w:val="clear" w:color="auto" w:fill="auto"/>
            <w:hideMark/>
          </w:tcPr>
          <w:p w14:paraId="07BA8C73" w14:textId="77777777" w:rsidR="00527E46" w:rsidRPr="00EF58B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EF58B5">
              <w:rPr>
                <w:b/>
                <w:bCs/>
              </w:rPr>
              <w:t>(18,972)</w:t>
            </w:r>
          </w:p>
        </w:tc>
        <w:tc>
          <w:tcPr>
            <w:tcW w:w="1860" w:type="dxa"/>
            <w:tcBorders>
              <w:top w:val="nil"/>
              <w:left w:val="nil"/>
              <w:bottom w:val="nil"/>
              <w:right w:val="nil"/>
            </w:tcBorders>
            <w:shd w:val="clear" w:color="auto" w:fill="auto"/>
            <w:vAlign w:val="center"/>
            <w:hideMark/>
          </w:tcPr>
          <w:p w14:paraId="1AAAD200"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b/>
                <w:bCs/>
                <w:color w:val="auto"/>
                <w:szCs w:val="14"/>
                <w:lang w:eastAsia="en-US"/>
              </w:rPr>
              <w:t>(18,117)</w:t>
            </w:r>
          </w:p>
        </w:tc>
        <w:tc>
          <w:tcPr>
            <w:tcW w:w="1853" w:type="dxa"/>
            <w:tcBorders>
              <w:top w:val="nil"/>
              <w:left w:val="nil"/>
              <w:bottom w:val="nil"/>
              <w:right w:val="nil"/>
            </w:tcBorders>
            <w:shd w:val="clear" w:color="auto" w:fill="auto"/>
            <w:hideMark/>
          </w:tcPr>
          <w:p w14:paraId="264702A6" w14:textId="77777777" w:rsidR="00527E46" w:rsidRPr="00EF58B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EF58B5">
              <w:rPr>
                <w:b/>
                <w:bCs/>
              </w:rPr>
              <w:t>4.7</w:t>
            </w:r>
          </w:p>
        </w:tc>
      </w:tr>
      <w:tr w:rsidR="00527E46" w:rsidRPr="006970A5" w14:paraId="2BAEB3D2"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05B52E1F" w14:textId="77777777" w:rsidR="00527E46" w:rsidRPr="006970A5" w:rsidRDefault="00527E46">
            <w:pPr>
              <w:pStyle w:val="08-Tabelageral"/>
              <w:ind w:left="113"/>
              <w:jc w:val="left"/>
              <w:rPr>
                <w:rFonts w:cs="Arial"/>
                <w:snapToGrid w:val="0"/>
                <w:lang w:eastAsia="en-US"/>
              </w:rPr>
            </w:pPr>
            <w:proofErr w:type="spellStart"/>
            <w:r w:rsidRPr="008F368D">
              <w:rPr>
                <w:rFonts w:cs="Arial"/>
                <w:b w:val="0"/>
                <w:lang w:eastAsia="en-US"/>
              </w:rPr>
              <w:t>Personnel</w:t>
            </w:r>
            <w:proofErr w:type="spellEnd"/>
            <w:r w:rsidRPr="008F368D">
              <w:rPr>
                <w:rFonts w:cs="Arial"/>
                <w:b w:val="0"/>
                <w:lang w:eastAsia="en-US"/>
              </w:rPr>
              <w:t xml:space="preserve"> </w:t>
            </w:r>
            <w:proofErr w:type="spellStart"/>
            <w:r w:rsidRPr="008F368D">
              <w:rPr>
                <w:rFonts w:cs="Arial"/>
                <w:b w:val="0"/>
                <w:lang w:eastAsia="en-US"/>
              </w:rPr>
              <w:t>expenses</w:t>
            </w:r>
            <w:proofErr w:type="spellEnd"/>
          </w:p>
        </w:tc>
        <w:tc>
          <w:tcPr>
            <w:tcW w:w="1860" w:type="dxa"/>
            <w:tcBorders>
              <w:top w:val="nil"/>
              <w:left w:val="nil"/>
              <w:bottom w:val="nil"/>
              <w:right w:val="nil"/>
            </w:tcBorders>
            <w:shd w:val="clear" w:color="auto" w:fill="auto"/>
            <w:hideMark/>
          </w:tcPr>
          <w:p w14:paraId="12B71CFA"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A07CA1">
              <w:t>(11</w:t>
            </w:r>
            <w:r>
              <w:t>,</w:t>
            </w:r>
            <w:r w:rsidRPr="00A07CA1">
              <w:t>853)</w:t>
            </w:r>
          </w:p>
        </w:tc>
        <w:tc>
          <w:tcPr>
            <w:tcW w:w="1860" w:type="dxa"/>
            <w:tcBorders>
              <w:top w:val="nil"/>
              <w:left w:val="nil"/>
              <w:bottom w:val="nil"/>
              <w:right w:val="nil"/>
            </w:tcBorders>
            <w:shd w:val="clear" w:color="auto" w:fill="auto"/>
            <w:vAlign w:val="center"/>
            <w:hideMark/>
          </w:tcPr>
          <w:p w14:paraId="15DF61C3"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8F368D">
              <w:rPr>
                <w:rFonts w:cs="Arial"/>
                <w:color w:val="auto"/>
                <w:szCs w:val="14"/>
                <w:lang w:eastAsia="en-US"/>
              </w:rPr>
              <w:t>(13,129)</w:t>
            </w:r>
          </w:p>
        </w:tc>
        <w:tc>
          <w:tcPr>
            <w:tcW w:w="1853" w:type="dxa"/>
            <w:tcBorders>
              <w:top w:val="nil"/>
              <w:left w:val="nil"/>
              <w:bottom w:val="nil"/>
              <w:right w:val="nil"/>
            </w:tcBorders>
            <w:shd w:val="clear" w:color="auto" w:fill="auto"/>
            <w:hideMark/>
          </w:tcPr>
          <w:p w14:paraId="35B63F7F"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736082">
              <w:t>(9</w:t>
            </w:r>
            <w:r>
              <w:t>.</w:t>
            </w:r>
            <w:r w:rsidRPr="00736082">
              <w:t>7)</w:t>
            </w:r>
          </w:p>
        </w:tc>
      </w:tr>
      <w:tr w:rsidR="00527E46" w:rsidRPr="006970A5" w14:paraId="3F420EE0"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8353A1B" w14:textId="77777777" w:rsidR="00527E46" w:rsidRPr="006970A5" w:rsidRDefault="00527E46">
            <w:pPr>
              <w:pStyle w:val="08-Tabelageral"/>
              <w:ind w:left="113"/>
              <w:jc w:val="left"/>
              <w:rPr>
                <w:rFonts w:cs="Arial"/>
                <w:b w:val="0"/>
                <w:snapToGrid w:val="0"/>
                <w:lang w:eastAsia="en-US"/>
              </w:rPr>
            </w:pPr>
            <w:proofErr w:type="spellStart"/>
            <w:r w:rsidRPr="008F368D">
              <w:rPr>
                <w:rFonts w:cs="Arial"/>
                <w:b w:val="0"/>
                <w:lang w:eastAsia="en-US"/>
              </w:rPr>
              <w:t>Administrative</w:t>
            </w:r>
            <w:proofErr w:type="spellEnd"/>
            <w:r w:rsidRPr="008F368D">
              <w:rPr>
                <w:rFonts w:cs="Arial"/>
                <w:b w:val="0"/>
                <w:lang w:eastAsia="en-US"/>
              </w:rPr>
              <w:t xml:space="preserve"> </w:t>
            </w:r>
            <w:proofErr w:type="spellStart"/>
            <w:r w:rsidRPr="008F368D">
              <w:rPr>
                <w:rFonts w:cs="Arial"/>
                <w:b w:val="0"/>
                <w:lang w:eastAsia="en-US"/>
              </w:rPr>
              <w:t>expenses</w:t>
            </w:r>
            <w:proofErr w:type="spellEnd"/>
          </w:p>
        </w:tc>
        <w:tc>
          <w:tcPr>
            <w:tcW w:w="1860" w:type="dxa"/>
            <w:tcBorders>
              <w:top w:val="nil"/>
              <w:left w:val="nil"/>
              <w:bottom w:val="nil"/>
              <w:right w:val="nil"/>
            </w:tcBorders>
            <w:shd w:val="clear" w:color="auto" w:fill="auto"/>
            <w:hideMark/>
          </w:tcPr>
          <w:p w14:paraId="5D030E33"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07CA1">
              <w:t>(3</w:t>
            </w:r>
            <w:r>
              <w:t>,</w:t>
            </w:r>
            <w:r w:rsidRPr="00A07CA1">
              <w:t>890)</w:t>
            </w:r>
          </w:p>
        </w:tc>
        <w:tc>
          <w:tcPr>
            <w:tcW w:w="1860" w:type="dxa"/>
            <w:tcBorders>
              <w:top w:val="nil"/>
              <w:left w:val="nil"/>
              <w:bottom w:val="nil"/>
              <w:right w:val="nil"/>
            </w:tcBorders>
            <w:shd w:val="clear" w:color="auto" w:fill="auto"/>
            <w:vAlign w:val="center"/>
            <w:hideMark/>
          </w:tcPr>
          <w:p w14:paraId="5944A60C"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color w:val="auto"/>
                <w:szCs w:val="14"/>
                <w:lang w:eastAsia="en-US"/>
              </w:rPr>
              <w:t>(3,589)</w:t>
            </w:r>
          </w:p>
        </w:tc>
        <w:tc>
          <w:tcPr>
            <w:tcW w:w="1853" w:type="dxa"/>
            <w:tcBorders>
              <w:top w:val="nil"/>
              <w:left w:val="nil"/>
              <w:bottom w:val="nil"/>
              <w:right w:val="nil"/>
            </w:tcBorders>
            <w:shd w:val="clear" w:color="auto" w:fill="auto"/>
            <w:hideMark/>
          </w:tcPr>
          <w:p w14:paraId="39A30D4D"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36082">
              <w:t>8</w:t>
            </w:r>
            <w:r>
              <w:t>.</w:t>
            </w:r>
            <w:r w:rsidRPr="00736082">
              <w:t>4</w:t>
            </w:r>
          </w:p>
        </w:tc>
      </w:tr>
      <w:tr w:rsidR="00527E46" w:rsidRPr="006970A5" w14:paraId="45CCC4F8" w14:textId="77777777">
        <w:trPr>
          <w:cnfStyle w:val="000000010000" w:firstRow="0" w:lastRow="0" w:firstColumn="0" w:lastColumn="0" w:oddVBand="0" w:evenVBand="0" w:oddHBand="0" w:evenHBand="1"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4418149" w14:textId="77777777" w:rsidR="00527E46" w:rsidRPr="006970A5" w:rsidRDefault="00527E46">
            <w:pPr>
              <w:pStyle w:val="08-Tabelageral"/>
              <w:ind w:left="113"/>
              <w:jc w:val="left"/>
              <w:rPr>
                <w:rFonts w:cs="Arial"/>
                <w:b w:val="0"/>
                <w:lang w:eastAsia="en-US"/>
              </w:rPr>
            </w:pPr>
            <w:proofErr w:type="spellStart"/>
            <w:r w:rsidRPr="008F368D">
              <w:rPr>
                <w:rFonts w:cs="Arial"/>
                <w:b w:val="0"/>
                <w:lang w:eastAsia="en-US"/>
              </w:rPr>
              <w:t>Tax</w:t>
            </w:r>
            <w:proofErr w:type="spellEnd"/>
            <w:r w:rsidRPr="008F368D">
              <w:rPr>
                <w:rFonts w:cs="Arial"/>
                <w:b w:val="0"/>
                <w:lang w:eastAsia="en-US"/>
              </w:rPr>
              <w:t xml:space="preserve"> </w:t>
            </w:r>
            <w:proofErr w:type="spellStart"/>
            <w:r w:rsidRPr="008F368D">
              <w:rPr>
                <w:rFonts w:cs="Arial"/>
                <w:b w:val="0"/>
                <w:lang w:eastAsia="en-US"/>
              </w:rPr>
              <w:t>expenses</w:t>
            </w:r>
            <w:proofErr w:type="spellEnd"/>
          </w:p>
        </w:tc>
        <w:tc>
          <w:tcPr>
            <w:tcW w:w="1860" w:type="dxa"/>
            <w:tcBorders>
              <w:top w:val="nil"/>
              <w:left w:val="nil"/>
              <w:bottom w:val="nil"/>
              <w:right w:val="nil"/>
            </w:tcBorders>
            <w:shd w:val="clear" w:color="auto" w:fill="auto"/>
            <w:hideMark/>
          </w:tcPr>
          <w:p w14:paraId="4009CC86"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A07CA1">
              <w:t>(4</w:t>
            </w:r>
            <w:r>
              <w:t>,</w:t>
            </w:r>
            <w:r w:rsidRPr="00A07CA1">
              <w:t>562)</w:t>
            </w:r>
          </w:p>
        </w:tc>
        <w:tc>
          <w:tcPr>
            <w:tcW w:w="1860" w:type="dxa"/>
            <w:tcBorders>
              <w:top w:val="nil"/>
              <w:left w:val="nil"/>
              <w:bottom w:val="nil"/>
              <w:right w:val="nil"/>
            </w:tcBorders>
            <w:shd w:val="clear" w:color="auto" w:fill="auto"/>
            <w:vAlign w:val="center"/>
            <w:hideMark/>
          </w:tcPr>
          <w:p w14:paraId="52F805F2"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8F368D">
              <w:rPr>
                <w:rFonts w:cs="Arial"/>
                <w:color w:val="auto"/>
                <w:szCs w:val="14"/>
                <w:lang w:eastAsia="en-US"/>
              </w:rPr>
              <w:t>(6,798)</w:t>
            </w:r>
          </w:p>
        </w:tc>
        <w:tc>
          <w:tcPr>
            <w:tcW w:w="1853" w:type="dxa"/>
            <w:tcBorders>
              <w:top w:val="nil"/>
              <w:left w:val="nil"/>
              <w:bottom w:val="nil"/>
              <w:right w:val="nil"/>
            </w:tcBorders>
            <w:shd w:val="clear" w:color="auto" w:fill="auto"/>
            <w:hideMark/>
          </w:tcPr>
          <w:p w14:paraId="100909E1"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36082">
              <w:t>(32</w:t>
            </w:r>
            <w:r>
              <w:t>.</w:t>
            </w:r>
            <w:r w:rsidRPr="00736082">
              <w:t>9)</w:t>
            </w:r>
          </w:p>
        </w:tc>
      </w:tr>
      <w:tr w:rsidR="00527E46" w:rsidRPr="006970A5" w14:paraId="604BE101" w14:textId="77777777">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BAD3BD4" w14:textId="77777777" w:rsidR="00527E46" w:rsidRPr="006970A5" w:rsidRDefault="00527E46">
            <w:pPr>
              <w:pStyle w:val="08-Tabelageral"/>
              <w:ind w:left="113"/>
              <w:jc w:val="left"/>
              <w:rPr>
                <w:rFonts w:cs="Arial"/>
                <w:b w:val="0"/>
                <w:lang w:eastAsia="en-US"/>
              </w:rPr>
            </w:pPr>
            <w:r w:rsidRPr="008F368D">
              <w:rPr>
                <w:rFonts w:cs="Arial"/>
                <w:b w:val="0"/>
                <w:lang w:eastAsia="en-US"/>
              </w:rPr>
              <w:t xml:space="preserve">Other </w:t>
            </w:r>
            <w:proofErr w:type="spellStart"/>
            <w:r w:rsidRPr="008F368D">
              <w:rPr>
                <w:rFonts w:cs="Arial"/>
                <w:b w:val="0"/>
                <w:lang w:eastAsia="en-US"/>
              </w:rPr>
              <w:t>operating</w:t>
            </w:r>
            <w:proofErr w:type="spellEnd"/>
            <w:r w:rsidRPr="008F368D">
              <w:rPr>
                <w:rFonts w:cs="Arial"/>
                <w:b w:val="0"/>
                <w:lang w:eastAsia="en-US"/>
              </w:rPr>
              <w:t xml:space="preserve"> income/(</w:t>
            </w:r>
            <w:proofErr w:type="spellStart"/>
            <w:r w:rsidRPr="008F368D">
              <w:rPr>
                <w:rFonts w:cs="Arial"/>
                <w:b w:val="0"/>
                <w:lang w:eastAsia="en-US"/>
              </w:rPr>
              <w:t>expenses</w:t>
            </w:r>
            <w:proofErr w:type="spellEnd"/>
            <w:r w:rsidRPr="008F368D">
              <w:rPr>
                <w:rFonts w:cs="Arial"/>
                <w:b w:val="0"/>
                <w:lang w:eastAsia="en-US"/>
              </w:rPr>
              <w:t>)</w:t>
            </w:r>
          </w:p>
        </w:tc>
        <w:tc>
          <w:tcPr>
            <w:tcW w:w="1860" w:type="dxa"/>
            <w:tcBorders>
              <w:top w:val="nil"/>
              <w:left w:val="nil"/>
              <w:bottom w:val="nil"/>
              <w:right w:val="nil"/>
            </w:tcBorders>
            <w:shd w:val="clear" w:color="auto" w:fill="auto"/>
            <w:hideMark/>
          </w:tcPr>
          <w:p w14:paraId="1FDD16C6"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07CA1">
              <w:t>1</w:t>
            </w:r>
            <w:r>
              <w:t>,</w:t>
            </w:r>
            <w:r w:rsidRPr="00A07CA1">
              <w:t>333</w:t>
            </w:r>
          </w:p>
        </w:tc>
        <w:tc>
          <w:tcPr>
            <w:tcW w:w="1860" w:type="dxa"/>
            <w:tcBorders>
              <w:top w:val="nil"/>
              <w:left w:val="nil"/>
              <w:bottom w:val="nil"/>
              <w:right w:val="nil"/>
            </w:tcBorders>
            <w:shd w:val="clear" w:color="auto" w:fill="auto"/>
            <w:vAlign w:val="center"/>
            <w:hideMark/>
          </w:tcPr>
          <w:p w14:paraId="7FBF6CD6"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color w:val="auto"/>
                <w:szCs w:val="14"/>
                <w:lang w:eastAsia="en-US"/>
              </w:rPr>
              <w:t>5,399</w:t>
            </w:r>
          </w:p>
        </w:tc>
        <w:tc>
          <w:tcPr>
            <w:tcW w:w="1853" w:type="dxa"/>
            <w:tcBorders>
              <w:top w:val="nil"/>
              <w:left w:val="nil"/>
              <w:bottom w:val="nil"/>
              <w:right w:val="nil"/>
            </w:tcBorders>
            <w:shd w:val="clear" w:color="auto" w:fill="auto"/>
            <w:hideMark/>
          </w:tcPr>
          <w:p w14:paraId="6DBF55CF"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736082">
              <w:t>(75</w:t>
            </w:r>
            <w:r>
              <w:t>.</w:t>
            </w:r>
            <w:r w:rsidRPr="00736082">
              <w:t>3)</w:t>
            </w:r>
          </w:p>
        </w:tc>
      </w:tr>
      <w:tr w:rsidR="00527E46" w:rsidRPr="006970A5" w14:paraId="2BB3EC78"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A03D87A" w14:textId="77777777" w:rsidR="00527E46" w:rsidRPr="006970A5" w:rsidRDefault="00527E46">
            <w:pPr>
              <w:pStyle w:val="08-Tabelageral"/>
              <w:jc w:val="left"/>
              <w:rPr>
                <w:rFonts w:cs="Arial"/>
                <w:b w:val="0"/>
                <w:snapToGrid w:val="0"/>
                <w:lang w:eastAsia="en-US"/>
              </w:rPr>
            </w:pPr>
            <w:r w:rsidRPr="008F368D">
              <w:rPr>
                <w:rFonts w:cs="Arial"/>
                <w:snapToGrid w:val="0"/>
                <w:lang w:eastAsia="en-US"/>
              </w:rPr>
              <w:t xml:space="preserve">Net </w:t>
            </w:r>
            <w:proofErr w:type="spellStart"/>
            <w:r w:rsidRPr="008F368D">
              <w:rPr>
                <w:rFonts w:cs="Arial"/>
                <w:snapToGrid w:val="0"/>
                <w:lang w:eastAsia="en-US"/>
              </w:rPr>
              <w:t>investment</w:t>
            </w:r>
            <w:proofErr w:type="spellEnd"/>
            <w:r w:rsidRPr="008F368D">
              <w:rPr>
                <w:rFonts w:cs="Arial"/>
                <w:snapToGrid w:val="0"/>
                <w:lang w:eastAsia="en-US"/>
              </w:rPr>
              <w:t xml:space="preserve"> income</w:t>
            </w:r>
          </w:p>
        </w:tc>
        <w:tc>
          <w:tcPr>
            <w:tcW w:w="1860" w:type="dxa"/>
            <w:tcBorders>
              <w:top w:val="nil"/>
              <w:left w:val="nil"/>
              <w:bottom w:val="nil"/>
              <w:right w:val="nil"/>
            </w:tcBorders>
            <w:shd w:val="clear" w:color="auto" w:fill="auto"/>
            <w:hideMark/>
          </w:tcPr>
          <w:p w14:paraId="6094967C" w14:textId="77777777" w:rsidR="00527E46" w:rsidRPr="00EF58B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EF58B5">
              <w:rPr>
                <w:b/>
                <w:bCs/>
              </w:rPr>
              <w:t>48,021</w:t>
            </w:r>
          </w:p>
        </w:tc>
        <w:tc>
          <w:tcPr>
            <w:tcW w:w="1860" w:type="dxa"/>
            <w:tcBorders>
              <w:top w:val="nil"/>
              <w:left w:val="nil"/>
              <w:bottom w:val="nil"/>
              <w:right w:val="nil"/>
            </w:tcBorders>
            <w:shd w:val="clear" w:color="auto" w:fill="auto"/>
            <w:vAlign w:val="center"/>
            <w:hideMark/>
          </w:tcPr>
          <w:p w14:paraId="3F5E0EE7" w14:textId="77777777" w:rsidR="00527E46" w:rsidRPr="00EF58B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EF58B5">
              <w:rPr>
                <w:rFonts w:cs="Arial"/>
                <w:b/>
                <w:color w:val="auto"/>
                <w:szCs w:val="14"/>
                <w:lang w:eastAsia="en-US"/>
              </w:rPr>
              <w:t>51,039</w:t>
            </w:r>
          </w:p>
        </w:tc>
        <w:tc>
          <w:tcPr>
            <w:tcW w:w="1853" w:type="dxa"/>
            <w:tcBorders>
              <w:top w:val="nil"/>
              <w:left w:val="nil"/>
              <w:bottom w:val="nil"/>
              <w:right w:val="nil"/>
            </w:tcBorders>
            <w:shd w:val="clear" w:color="auto" w:fill="auto"/>
            <w:hideMark/>
          </w:tcPr>
          <w:p w14:paraId="166E976D" w14:textId="77777777" w:rsidR="00527E46" w:rsidRPr="00EF58B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EF58B5">
              <w:rPr>
                <w:b/>
              </w:rPr>
              <w:t>(5.9)</w:t>
            </w:r>
          </w:p>
        </w:tc>
      </w:tr>
      <w:tr w:rsidR="00527E46" w:rsidRPr="006970A5" w14:paraId="730B541D"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0837017" w14:textId="77777777" w:rsidR="00527E46" w:rsidRPr="006970A5" w:rsidRDefault="00527E46">
            <w:pPr>
              <w:pStyle w:val="08-Tabelageral"/>
              <w:ind w:left="113"/>
              <w:jc w:val="left"/>
              <w:rPr>
                <w:rFonts w:cs="Arial"/>
                <w:lang w:eastAsia="en-US"/>
              </w:rPr>
            </w:pPr>
            <w:r w:rsidRPr="008F368D">
              <w:rPr>
                <w:rFonts w:cs="Arial"/>
                <w:b w:val="0"/>
                <w:lang w:eastAsia="en-US"/>
              </w:rPr>
              <w:t xml:space="preserve">Financial </w:t>
            </w:r>
            <w:proofErr w:type="spellStart"/>
            <w:r w:rsidRPr="008F368D">
              <w:rPr>
                <w:rFonts w:cs="Arial"/>
                <w:b w:val="0"/>
                <w:lang w:eastAsia="en-US"/>
              </w:rPr>
              <w:t>revenues</w:t>
            </w:r>
            <w:proofErr w:type="spellEnd"/>
          </w:p>
        </w:tc>
        <w:tc>
          <w:tcPr>
            <w:tcW w:w="1860" w:type="dxa"/>
            <w:tcBorders>
              <w:top w:val="nil"/>
              <w:left w:val="nil"/>
              <w:bottom w:val="nil"/>
              <w:right w:val="nil"/>
            </w:tcBorders>
            <w:shd w:val="clear" w:color="auto" w:fill="auto"/>
            <w:hideMark/>
          </w:tcPr>
          <w:p w14:paraId="3D6FFA8C"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lang w:eastAsia="en-US"/>
              </w:rPr>
            </w:pPr>
            <w:r w:rsidRPr="00A07CA1">
              <w:t>89</w:t>
            </w:r>
            <w:r>
              <w:t>,</w:t>
            </w:r>
            <w:r w:rsidRPr="00A07CA1">
              <w:t>041</w:t>
            </w:r>
          </w:p>
        </w:tc>
        <w:tc>
          <w:tcPr>
            <w:tcW w:w="1860" w:type="dxa"/>
            <w:tcBorders>
              <w:top w:val="nil"/>
              <w:left w:val="nil"/>
              <w:bottom w:val="nil"/>
              <w:right w:val="nil"/>
            </w:tcBorders>
            <w:shd w:val="clear" w:color="auto" w:fill="auto"/>
            <w:vAlign w:val="center"/>
            <w:hideMark/>
          </w:tcPr>
          <w:p w14:paraId="0BEB9EAF"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8F368D">
              <w:rPr>
                <w:rFonts w:cs="Arial"/>
                <w:bCs/>
                <w:color w:val="auto"/>
                <w:szCs w:val="14"/>
                <w:lang w:eastAsia="en-US"/>
              </w:rPr>
              <w:t>132,900</w:t>
            </w:r>
          </w:p>
        </w:tc>
        <w:tc>
          <w:tcPr>
            <w:tcW w:w="1853" w:type="dxa"/>
            <w:tcBorders>
              <w:top w:val="nil"/>
              <w:left w:val="nil"/>
              <w:bottom w:val="nil"/>
              <w:right w:val="nil"/>
            </w:tcBorders>
            <w:shd w:val="clear" w:color="auto" w:fill="auto"/>
            <w:hideMark/>
          </w:tcPr>
          <w:p w14:paraId="69336089"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736082">
              <w:t>(33</w:t>
            </w:r>
            <w:r>
              <w:t>.</w:t>
            </w:r>
            <w:r w:rsidRPr="00736082">
              <w:t>0)</w:t>
            </w:r>
          </w:p>
        </w:tc>
      </w:tr>
      <w:tr w:rsidR="00527E46" w:rsidRPr="006970A5" w14:paraId="34F52099"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14A6CF67" w14:textId="77777777" w:rsidR="00527E46" w:rsidRPr="006970A5" w:rsidRDefault="00527E46">
            <w:pPr>
              <w:pStyle w:val="08-Tabelageral"/>
              <w:ind w:left="113"/>
              <w:jc w:val="left"/>
              <w:rPr>
                <w:rFonts w:cs="Arial"/>
                <w:b w:val="0"/>
                <w:lang w:eastAsia="en-US"/>
              </w:rPr>
            </w:pPr>
            <w:r w:rsidRPr="008F368D">
              <w:rPr>
                <w:rFonts w:cs="Arial"/>
                <w:b w:val="0"/>
                <w:lang w:eastAsia="en-US"/>
              </w:rPr>
              <w:t xml:space="preserve">Financial </w:t>
            </w:r>
            <w:proofErr w:type="spellStart"/>
            <w:r w:rsidRPr="008F368D">
              <w:rPr>
                <w:rFonts w:cs="Arial"/>
                <w:b w:val="0"/>
                <w:lang w:eastAsia="en-US"/>
              </w:rPr>
              <w:t>expenses</w:t>
            </w:r>
            <w:proofErr w:type="spellEnd"/>
          </w:p>
        </w:tc>
        <w:tc>
          <w:tcPr>
            <w:tcW w:w="1860" w:type="dxa"/>
            <w:tcBorders>
              <w:top w:val="nil"/>
              <w:left w:val="nil"/>
              <w:bottom w:val="nil"/>
              <w:right w:val="nil"/>
            </w:tcBorders>
            <w:shd w:val="clear" w:color="auto" w:fill="auto"/>
            <w:hideMark/>
          </w:tcPr>
          <w:p w14:paraId="5E6F676D"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A07CA1">
              <w:t>(41</w:t>
            </w:r>
            <w:r>
              <w:t>,</w:t>
            </w:r>
            <w:r w:rsidRPr="00A07CA1">
              <w:t>020)</w:t>
            </w:r>
          </w:p>
        </w:tc>
        <w:tc>
          <w:tcPr>
            <w:tcW w:w="1860" w:type="dxa"/>
            <w:tcBorders>
              <w:top w:val="nil"/>
              <w:left w:val="nil"/>
              <w:bottom w:val="nil"/>
              <w:right w:val="nil"/>
            </w:tcBorders>
            <w:shd w:val="clear" w:color="auto" w:fill="auto"/>
            <w:vAlign w:val="center"/>
            <w:hideMark/>
          </w:tcPr>
          <w:p w14:paraId="72DFA599"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8F368D">
              <w:rPr>
                <w:rFonts w:cs="Arial"/>
                <w:color w:val="auto"/>
                <w:szCs w:val="14"/>
                <w:lang w:eastAsia="en-US"/>
              </w:rPr>
              <w:t>(81,861)</w:t>
            </w:r>
          </w:p>
        </w:tc>
        <w:tc>
          <w:tcPr>
            <w:tcW w:w="1853" w:type="dxa"/>
            <w:tcBorders>
              <w:top w:val="nil"/>
              <w:left w:val="nil"/>
              <w:bottom w:val="nil"/>
              <w:right w:val="nil"/>
            </w:tcBorders>
            <w:shd w:val="clear" w:color="auto" w:fill="auto"/>
            <w:hideMark/>
          </w:tcPr>
          <w:p w14:paraId="08E0D918"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736082">
              <w:t>(49</w:t>
            </w:r>
            <w:r>
              <w:t>.</w:t>
            </w:r>
            <w:r w:rsidRPr="00736082">
              <w:t>9)</w:t>
            </w:r>
          </w:p>
        </w:tc>
      </w:tr>
      <w:tr w:rsidR="00527E46" w:rsidRPr="006970A5" w14:paraId="6776511D"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AF04DDF" w14:textId="77777777" w:rsidR="00527E46" w:rsidRPr="006970A5" w:rsidRDefault="00527E46">
            <w:pPr>
              <w:pStyle w:val="08-Tabelageral"/>
              <w:jc w:val="left"/>
              <w:rPr>
                <w:rFonts w:cs="Arial"/>
                <w:b w:val="0"/>
                <w:lang w:eastAsia="en-US"/>
              </w:rPr>
            </w:pPr>
            <w:proofErr w:type="spellStart"/>
            <w:r w:rsidRPr="008F368D">
              <w:rPr>
                <w:rFonts w:cs="Arial"/>
                <w:lang w:eastAsia="en-US"/>
              </w:rPr>
              <w:t>Earnings</w:t>
            </w:r>
            <w:proofErr w:type="spellEnd"/>
            <w:r w:rsidRPr="008F368D">
              <w:rPr>
                <w:rFonts w:cs="Arial"/>
                <w:lang w:eastAsia="en-US"/>
              </w:rPr>
              <w:t xml:space="preserve"> </w:t>
            </w:r>
            <w:proofErr w:type="spellStart"/>
            <w:r w:rsidRPr="008F368D">
              <w:rPr>
                <w:rFonts w:cs="Arial"/>
                <w:lang w:eastAsia="en-US"/>
              </w:rPr>
              <w:t>before</w:t>
            </w:r>
            <w:proofErr w:type="spellEnd"/>
            <w:r w:rsidRPr="008F368D">
              <w:rPr>
                <w:rFonts w:cs="Arial"/>
                <w:lang w:eastAsia="en-US"/>
              </w:rPr>
              <w:t xml:space="preserve"> taxes</w:t>
            </w:r>
          </w:p>
        </w:tc>
        <w:tc>
          <w:tcPr>
            <w:tcW w:w="1860" w:type="dxa"/>
            <w:tcBorders>
              <w:top w:val="nil"/>
              <w:left w:val="nil"/>
              <w:bottom w:val="nil"/>
              <w:right w:val="nil"/>
            </w:tcBorders>
            <w:shd w:val="clear" w:color="auto" w:fill="auto"/>
            <w:hideMark/>
          </w:tcPr>
          <w:p w14:paraId="2FE83802" w14:textId="77777777" w:rsidR="00527E46" w:rsidRPr="00EF58B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EF58B5">
              <w:rPr>
                <w:b/>
                <w:bCs/>
              </w:rPr>
              <w:t>8,712,866</w:t>
            </w:r>
          </w:p>
        </w:tc>
        <w:tc>
          <w:tcPr>
            <w:tcW w:w="1860" w:type="dxa"/>
            <w:tcBorders>
              <w:top w:val="nil"/>
              <w:left w:val="nil"/>
              <w:bottom w:val="nil"/>
              <w:right w:val="nil"/>
            </w:tcBorders>
            <w:shd w:val="clear" w:color="auto" w:fill="auto"/>
            <w:vAlign w:val="center"/>
            <w:hideMark/>
          </w:tcPr>
          <w:p w14:paraId="7AB96FF4"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b/>
                <w:bCs/>
                <w:color w:val="auto"/>
                <w:szCs w:val="14"/>
                <w:lang w:eastAsia="en-US"/>
              </w:rPr>
              <w:t>7,958,824</w:t>
            </w:r>
          </w:p>
        </w:tc>
        <w:tc>
          <w:tcPr>
            <w:tcW w:w="1853" w:type="dxa"/>
            <w:tcBorders>
              <w:top w:val="nil"/>
              <w:left w:val="nil"/>
              <w:bottom w:val="nil"/>
              <w:right w:val="nil"/>
            </w:tcBorders>
            <w:shd w:val="clear" w:color="auto" w:fill="auto"/>
            <w:hideMark/>
          </w:tcPr>
          <w:p w14:paraId="3708CB91" w14:textId="77777777" w:rsidR="00527E46" w:rsidRPr="00EF58B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EF58B5">
              <w:rPr>
                <w:b/>
                <w:bCs/>
              </w:rPr>
              <w:t>9.5</w:t>
            </w:r>
          </w:p>
        </w:tc>
      </w:tr>
      <w:tr w:rsidR="00527E46" w:rsidRPr="006970A5" w14:paraId="462BD934"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112C4C3" w14:textId="77777777" w:rsidR="00527E46" w:rsidRPr="006970A5" w:rsidRDefault="00527E46">
            <w:pPr>
              <w:pStyle w:val="08-Tabelageral"/>
              <w:ind w:left="113"/>
              <w:jc w:val="left"/>
              <w:rPr>
                <w:rFonts w:cs="Arial"/>
                <w:snapToGrid w:val="0"/>
                <w:lang w:eastAsia="en-US"/>
              </w:rPr>
            </w:pPr>
            <w:r w:rsidRPr="008F368D">
              <w:rPr>
                <w:rFonts w:cs="Arial"/>
                <w:b w:val="0"/>
                <w:lang w:eastAsia="en-US"/>
              </w:rPr>
              <w:t>Income taxes</w:t>
            </w:r>
          </w:p>
        </w:tc>
        <w:tc>
          <w:tcPr>
            <w:tcW w:w="1860" w:type="dxa"/>
            <w:tcBorders>
              <w:top w:val="nil"/>
              <w:left w:val="nil"/>
              <w:bottom w:val="nil"/>
              <w:right w:val="nil"/>
            </w:tcBorders>
            <w:shd w:val="clear" w:color="auto" w:fill="auto"/>
            <w:hideMark/>
          </w:tcPr>
          <w:p w14:paraId="08135704"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A07CA1">
              <w:t>(9</w:t>
            </w:r>
            <w:r>
              <w:t>,</w:t>
            </w:r>
            <w:r w:rsidRPr="00A07CA1">
              <w:t>513)</w:t>
            </w:r>
          </w:p>
        </w:tc>
        <w:tc>
          <w:tcPr>
            <w:tcW w:w="1860" w:type="dxa"/>
            <w:tcBorders>
              <w:top w:val="nil"/>
              <w:left w:val="nil"/>
              <w:bottom w:val="nil"/>
              <w:right w:val="nil"/>
            </w:tcBorders>
            <w:shd w:val="clear" w:color="auto" w:fill="auto"/>
            <w:vAlign w:val="center"/>
            <w:hideMark/>
          </w:tcPr>
          <w:p w14:paraId="68FDF6B0"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8F368D">
              <w:rPr>
                <w:rFonts w:cs="Arial"/>
                <w:color w:val="auto"/>
                <w:szCs w:val="14"/>
                <w:lang w:eastAsia="en-US"/>
              </w:rPr>
              <w:t>(11,621)</w:t>
            </w:r>
          </w:p>
        </w:tc>
        <w:tc>
          <w:tcPr>
            <w:tcW w:w="1853" w:type="dxa"/>
            <w:tcBorders>
              <w:top w:val="nil"/>
              <w:left w:val="nil"/>
              <w:bottom w:val="nil"/>
              <w:right w:val="nil"/>
            </w:tcBorders>
            <w:shd w:val="clear" w:color="auto" w:fill="auto"/>
            <w:hideMark/>
          </w:tcPr>
          <w:p w14:paraId="71EDADA7" w14:textId="77777777" w:rsidR="00527E46" w:rsidRPr="006970A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736082">
              <w:t>(18</w:t>
            </w:r>
            <w:r>
              <w:t>.</w:t>
            </w:r>
            <w:r w:rsidRPr="00736082">
              <w:t>1)</w:t>
            </w:r>
          </w:p>
        </w:tc>
      </w:tr>
      <w:tr w:rsidR="00527E46" w:rsidRPr="00FA31E9" w14:paraId="36A86685"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4" w:space="0" w:color="8EAADB" w:themeColor="accent1" w:themeTint="99"/>
              <w:right w:val="nil"/>
            </w:tcBorders>
            <w:shd w:val="clear" w:color="auto" w:fill="auto"/>
            <w:hideMark/>
          </w:tcPr>
          <w:p w14:paraId="1B386B59" w14:textId="77777777" w:rsidR="00527E46" w:rsidRPr="006970A5" w:rsidRDefault="00527E46">
            <w:pPr>
              <w:pStyle w:val="08-Tabelageral"/>
              <w:jc w:val="left"/>
              <w:rPr>
                <w:rFonts w:cs="Arial"/>
                <w:b w:val="0"/>
                <w:snapToGrid w:val="0"/>
                <w:lang w:eastAsia="en-US"/>
              </w:rPr>
            </w:pPr>
            <w:r w:rsidRPr="008F368D">
              <w:rPr>
                <w:rFonts w:cs="Arial"/>
                <w:lang w:eastAsia="en-US"/>
              </w:rPr>
              <w:t>Net income</w:t>
            </w:r>
          </w:p>
        </w:tc>
        <w:tc>
          <w:tcPr>
            <w:tcW w:w="1860" w:type="dxa"/>
            <w:tcBorders>
              <w:top w:val="nil"/>
              <w:left w:val="nil"/>
              <w:bottom w:val="single" w:sz="4" w:space="0" w:color="8EAADB" w:themeColor="accent1" w:themeTint="99"/>
              <w:right w:val="nil"/>
            </w:tcBorders>
            <w:shd w:val="clear" w:color="auto" w:fill="auto"/>
            <w:hideMark/>
          </w:tcPr>
          <w:p w14:paraId="5E7AE56F" w14:textId="77777777" w:rsidR="00527E46" w:rsidRPr="00EF58B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EF58B5">
              <w:rPr>
                <w:b/>
                <w:bCs/>
              </w:rPr>
              <w:t>8,703,353</w:t>
            </w:r>
          </w:p>
        </w:tc>
        <w:tc>
          <w:tcPr>
            <w:tcW w:w="1860" w:type="dxa"/>
            <w:tcBorders>
              <w:top w:val="nil"/>
              <w:left w:val="nil"/>
              <w:bottom w:val="single" w:sz="4" w:space="0" w:color="8EAADB" w:themeColor="accent1" w:themeTint="99"/>
              <w:right w:val="nil"/>
            </w:tcBorders>
            <w:shd w:val="clear" w:color="auto" w:fill="auto"/>
            <w:vAlign w:val="center"/>
            <w:hideMark/>
          </w:tcPr>
          <w:p w14:paraId="2BC0C4B1" w14:textId="77777777" w:rsidR="00527E46" w:rsidRPr="006970A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8F368D">
              <w:rPr>
                <w:rFonts w:cs="Arial"/>
                <w:b/>
                <w:bCs/>
                <w:color w:val="auto"/>
                <w:szCs w:val="14"/>
                <w:lang w:eastAsia="en-US"/>
              </w:rPr>
              <w:t>7,947,203</w:t>
            </w:r>
          </w:p>
        </w:tc>
        <w:tc>
          <w:tcPr>
            <w:tcW w:w="1853" w:type="dxa"/>
            <w:tcBorders>
              <w:top w:val="nil"/>
              <w:left w:val="nil"/>
              <w:bottom w:val="single" w:sz="4" w:space="0" w:color="8EAADB" w:themeColor="accent1" w:themeTint="99"/>
              <w:right w:val="nil"/>
            </w:tcBorders>
            <w:shd w:val="clear" w:color="auto" w:fill="auto"/>
            <w:hideMark/>
          </w:tcPr>
          <w:p w14:paraId="1D468D53" w14:textId="77777777" w:rsidR="00527E46" w:rsidRPr="00EF58B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EF58B5">
              <w:rPr>
                <w:b/>
                <w:bCs/>
              </w:rPr>
              <w:t>9.5</w:t>
            </w:r>
          </w:p>
        </w:tc>
      </w:tr>
      <w:bookmarkEnd w:id="4"/>
    </w:tbl>
    <w:p w14:paraId="7571CD16" w14:textId="77777777" w:rsidR="00527E46" w:rsidRDefault="00527E46" w:rsidP="00A27E15">
      <w:pPr>
        <w:pStyle w:val="01-Textonormal"/>
        <w:jc w:val="right"/>
        <w:rPr>
          <w:rFonts w:cs="Arial"/>
          <w:lang w:val="en-US"/>
        </w:rPr>
      </w:pPr>
    </w:p>
    <w:p w14:paraId="29D5BDDA" w14:textId="77777777" w:rsidR="00527E46" w:rsidRPr="007D7876" w:rsidRDefault="00527E46" w:rsidP="00527E46">
      <w:pPr>
        <w:pStyle w:val="01-Textonormal"/>
        <w:rPr>
          <w:rFonts w:cs="Arial"/>
          <w:lang w:val="en-US"/>
        </w:rPr>
      </w:pPr>
      <w:r w:rsidRPr="008F368D">
        <w:rPr>
          <w:rFonts w:cs="Arial"/>
          <w:lang w:val="en-US"/>
        </w:rPr>
        <w:t>In 202</w:t>
      </w:r>
      <w:r>
        <w:rPr>
          <w:rFonts w:cs="Arial"/>
          <w:lang w:val="en-US"/>
        </w:rPr>
        <w:t>4</w:t>
      </w:r>
      <w:r w:rsidRPr="008F368D">
        <w:rPr>
          <w:rFonts w:cs="Arial"/>
          <w:lang w:val="en-US"/>
        </w:rPr>
        <w:t xml:space="preserve">, BB </w:t>
      </w:r>
      <w:proofErr w:type="spellStart"/>
      <w:r w:rsidRPr="008F368D">
        <w:rPr>
          <w:rFonts w:cs="Arial"/>
          <w:lang w:val="en-US"/>
        </w:rPr>
        <w:t>Seguridade’s</w:t>
      </w:r>
      <w:proofErr w:type="spellEnd"/>
      <w:r w:rsidRPr="008F368D">
        <w:rPr>
          <w:rFonts w:cs="Arial"/>
          <w:lang w:val="en-US"/>
        </w:rPr>
        <w:t xml:space="preserve"> net income grew </w:t>
      </w:r>
      <w:r>
        <w:rPr>
          <w:rFonts w:cs="Arial"/>
          <w:lang w:val="en-US"/>
        </w:rPr>
        <w:t>9.5</w:t>
      </w:r>
      <w:r w:rsidRPr="008F368D">
        <w:rPr>
          <w:rFonts w:cs="Arial"/>
          <w:lang w:val="en-US"/>
        </w:rPr>
        <w:t>% YoY, to R$</w:t>
      </w:r>
      <w:r>
        <w:rPr>
          <w:rFonts w:cs="Arial"/>
          <w:lang w:val="en-US"/>
        </w:rPr>
        <w:t>8.7</w:t>
      </w:r>
      <w:r w:rsidRPr="008F368D">
        <w:rPr>
          <w:rFonts w:cs="Arial"/>
          <w:lang w:val="en-US"/>
        </w:rPr>
        <w:t xml:space="preserve"> billion</w:t>
      </w:r>
      <w:r>
        <w:rPr>
          <w:rFonts w:cs="Arial"/>
          <w:lang w:val="en-US"/>
        </w:rPr>
        <w:t>.</w:t>
      </w:r>
      <w:r w:rsidRPr="008F368D">
        <w:rPr>
          <w:rFonts w:cs="Arial"/>
          <w:lang w:val="en-US"/>
        </w:rPr>
        <w:t xml:space="preserve"> </w:t>
      </w:r>
      <w:r w:rsidRPr="007D7876">
        <w:rPr>
          <w:rFonts w:cs="Arial"/>
          <w:lang w:val="en-US"/>
        </w:rPr>
        <w:t>The main factors explaining the R$</w:t>
      </w:r>
      <w:r>
        <w:rPr>
          <w:rFonts w:cs="Arial"/>
          <w:lang w:val="en-US"/>
        </w:rPr>
        <w:t>756.2</w:t>
      </w:r>
      <w:r w:rsidRPr="007D7876">
        <w:rPr>
          <w:rFonts w:cs="Arial"/>
          <w:lang w:val="en-US"/>
        </w:rPr>
        <w:t xml:space="preserve"> </w:t>
      </w:r>
      <w:r>
        <w:rPr>
          <w:rFonts w:cs="Arial"/>
          <w:lang w:val="en-US"/>
        </w:rPr>
        <w:t>million</w:t>
      </w:r>
      <w:r w:rsidRPr="007D7876">
        <w:rPr>
          <w:rFonts w:cs="Arial"/>
          <w:lang w:val="en-US"/>
        </w:rPr>
        <w:t xml:space="preserve"> increase were:</w:t>
      </w:r>
    </w:p>
    <w:p w14:paraId="07E12D97" w14:textId="77777777" w:rsidR="00527E46" w:rsidRPr="00A75B3A" w:rsidRDefault="00527E46" w:rsidP="00527E46">
      <w:pPr>
        <w:pStyle w:val="05-Textonormal"/>
        <w:numPr>
          <w:ilvl w:val="0"/>
          <w:numId w:val="54"/>
        </w:numPr>
        <w:rPr>
          <w:lang w:val="en-US"/>
        </w:rPr>
      </w:pPr>
      <w:proofErr w:type="spellStart"/>
      <w:r w:rsidRPr="00A75B3A">
        <w:rPr>
          <w:b/>
          <w:bCs/>
          <w:lang w:val="en-US"/>
        </w:rPr>
        <w:t>Brasilseg</w:t>
      </w:r>
      <w:proofErr w:type="spellEnd"/>
      <w:r w:rsidRPr="00A75B3A">
        <w:rPr>
          <w:b/>
          <w:bCs/>
          <w:lang w:val="en-US"/>
        </w:rPr>
        <w:t xml:space="preserve"> (+R$395.6 million): </w:t>
      </w:r>
      <w:r w:rsidRPr="00A75B3A">
        <w:rPr>
          <w:lang w:val="en-US"/>
        </w:rPr>
        <w:t>driven by improved insurance margi</w:t>
      </w:r>
      <w:r>
        <w:rPr>
          <w:lang w:val="en-US"/>
        </w:rPr>
        <w:t>n</w:t>
      </w:r>
      <w:r w:rsidRPr="00A75B3A">
        <w:rPr>
          <w:lang w:val="en-US"/>
        </w:rPr>
        <w:t>, with higher recognition</w:t>
      </w:r>
      <w:r>
        <w:rPr>
          <w:lang w:val="en-US"/>
        </w:rPr>
        <w:t xml:space="preserve"> of </w:t>
      </w:r>
      <w:r w:rsidRPr="00A75B3A">
        <w:rPr>
          <w:lang w:val="en-US"/>
        </w:rPr>
        <w:t xml:space="preserve">premium and </w:t>
      </w:r>
      <w:r>
        <w:rPr>
          <w:lang w:val="en-US"/>
        </w:rPr>
        <w:t>lower</w:t>
      </w:r>
      <w:r w:rsidRPr="00A75B3A">
        <w:rPr>
          <w:lang w:val="en-US"/>
        </w:rPr>
        <w:t xml:space="preserve"> loss ratio, especially in rural, </w:t>
      </w:r>
      <w:r>
        <w:rPr>
          <w:lang w:val="en-US"/>
        </w:rPr>
        <w:t xml:space="preserve">term </w:t>
      </w:r>
      <w:r w:rsidRPr="00A75B3A">
        <w:rPr>
          <w:lang w:val="en-US"/>
        </w:rPr>
        <w:t xml:space="preserve">life and </w:t>
      </w:r>
      <w:r>
        <w:rPr>
          <w:lang w:val="en-US"/>
        </w:rPr>
        <w:t>home</w:t>
      </w:r>
      <w:r w:rsidRPr="00A75B3A">
        <w:rPr>
          <w:lang w:val="en-US"/>
        </w:rPr>
        <w:t xml:space="preserve"> insurance</w:t>
      </w:r>
      <w:r>
        <w:rPr>
          <w:lang w:val="en-US"/>
        </w:rPr>
        <w:t>s</w:t>
      </w:r>
      <w:r w:rsidRPr="00A75B3A">
        <w:rPr>
          <w:lang w:val="en-US"/>
        </w:rPr>
        <w:t xml:space="preserve">. On the other hand, part of these effects was offset by an increase in the loss ratio of credit life </w:t>
      </w:r>
      <w:proofErr w:type="gramStart"/>
      <w:r w:rsidRPr="00A75B3A">
        <w:rPr>
          <w:lang w:val="en-US"/>
        </w:rPr>
        <w:t>insurance;</w:t>
      </w:r>
      <w:proofErr w:type="gramEnd"/>
    </w:p>
    <w:p w14:paraId="649EA1B7" w14:textId="77777777" w:rsidR="00527E46" w:rsidRPr="00A75B3A" w:rsidRDefault="00527E46" w:rsidP="00527E46">
      <w:pPr>
        <w:pStyle w:val="05-Textonormal"/>
        <w:numPr>
          <w:ilvl w:val="0"/>
          <w:numId w:val="54"/>
        </w:numPr>
        <w:rPr>
          <w:lang w:val="en-US"/>
        </w:rPr>
      </w:pPr>
      <w:r w:rsidRPr="00FA1455">
        <w:rPr>
          <w:b/>
          <w:bCs/>
          <w:lang w:val="en-US"/>
        </w:rPr>
        <w:t xml:space="preserve">BB </w:t>
      </w:r>
      <w:proofErr w:type="spellStart"/>
      <w:r w:rsidRPr="00FA1455">
        <w:rPr>
          <w:b/>
          <w:bCs/>
          <w:lang w:val="en-US"/>
        </w:rPr>
        <w:t>Corretora</w:t>
      </w:r>
      <w:proofErr w:type="spellEnd"/>
      <w:r w:rsidRPr="00FA1455">
        <w:rPr>
          <w:b/>
          <w:bCs/>
          <w:lang w:val="en-US"/>
        </w:rPr>
        <w:t xml:space="preserve"> (+R$319.7 million):</w:t>
      </w:r>
      <w:r w:rsidRPr="00A75B3A">
        <w:rPr>
          <w:lang w:val="en-US"/>
        </w:rPr>
        <w:t xml:space="preserve"> with improved operating margin and higher financial results due to an </w:t>
      </w:r>
      <w:r>
        <w:rPr>
          <w:lang w:val="en-US"/>
        </w:rPr>
        <w:t xml:space="preserve">expansion </w:t>
      </w:r>
      <w:r w:rsidRPr="00A75B3A">
        <w:rPr>
          <w:lang w:val="en-US"/>
        </w:rPr>
        <w:t xml:space="preserve">in the average balance of </w:t>
      </w:r>
      <w:proofErr w:type="gramStart"/>
      <w:r w:rsidRPr="00A75B3A">
        <w:rPr>
          <w:lang w:val="en-US"/>
        </w:rPr>
        <w:t>investments;</w:t>
      </w:r>
      <w:proofErr w:type="gramEnd"/>
    </w:p>
    <w:p w14:paraId="34AEDB99" w14:textId="77777777" w:rsidR="00527E46" w:rsidRPr="00A75B3A" w:rsidRDefault="00527E46" w:rsidP="00527E46">
      <w:pPr>
        <w:pStyle w:val="05-Textonormal"/>
        <w:numPr>
          <w:ilvl w:val="0"/>
          <w:numId w:val="54"/>
        </w:numPr>
        <w:rPr>
          <w:lang w:val="en-US"/>
        </w:rPr>
      </w:pPr>
      <w:r w:rsidRPr="00FA1455">
        <w:rPr>
          <w:b/>
          <w:bCs/>
          <w:lang w:val="en-US"/>
        </w:rPr>
        <w:t>Other (+R$20.8 million):</w:t>
      </w:r>
      <w:r w:rsidRPr="00A75B3A">
        <w:rPr>
          <w:lang w:val="en-US"/>
        </w:rPr>
        <w:t xml:space="preserve"> due to higher financial results at BB </w:t>
      </w:r>
      <w:proofErr w:type="spellStart"/>
      <w:r w:rsidRPr="00A75B3A">
        <w:rPr>
          <w:lang w:val="en-US"/>
        </w:rPr>
        <w:t>Seguros</w:t>
      </w:r>
      <w:proofErr w:type="spellEnd"/>
      <w:r w:rsidRPr="00A75B3A">
        <w:rPr>
          <w:lang w:val="en-US"/>
        </w:rPr>
        <w:t xml:space="preserve"> holding, resulting from a lower volume of expenses with monetary </w:t>
      </w:r>
      <w:r>
        <w:rPr>
          <w:lang w:val="en-US"/>
        </w:rPr>
        <w:t xml:space="preserve">adjustments </w:t>
      </w:r>
      <w:r w:rsidRPr="00A75B3A">
        <w:rPr>
          <w:lang w:val="en-US"/>
        </w:rPr>
        <w:t xml:space="preserve">of </w:t>
      </w:r>
      <w:proofErr w:type="gramStart"/>
      <w:r w:rsidRPr="00A75B3A">
        <w:rPr>
          <w:lang w:val="en-US"/>
        </w:rPr>
        <w:t>dividends;</w:t>
      </w:r>
      <w:proofErr w:type="gramEnd"/>
    </w:p>
    <w:p w14:paraId="332B488F" w14:textId="77777777" w:rsidR="00527E46" w:rsidRPr="00A75B3A" w:rsidRDefault="00527E46" w:rsidP="00527E46">
      <w:pPr>
        <w:pStyle w:val="05-Textonormal"/>
        <w:numPr>
          <w:ilvl w:val="0"/>
          <w:numId w:val="54"/>
        </w:numPr>
        <w:rPr>
          <w:lang w:val="en-US"/>
        </w:rPr>
      </w:pPr>
      <w:proofErr w:type="spellStart"/>
      <w:r w:rsidRPr="006D64A0">
        <w:rPr>
          <w:b/>
          <w:bCs/>
          <w:lang w:val="en-US"/>
        </w:rPr>
        <w:t>Brasilprev</w:t>
      </w:r>
      <w:proofErr w:type="spellEnd"/>
      <w:r w:rsidRPr="006D64A0">
        <w:rPr>
          <w:b/>
          <w:bCs/>
          <w:lang w:val="en-US"/>
        </w:rPr>
        <w:t xml:space="preserve"> (+R$12.1 million):</w:t>
      </w:r>
      <w:r w:rsidRPr="00A75B3A">
        <w:rPr>
          <w:lang w:val="en-US"/>
        </w:rPr>
        <w:t xml:space="preserve"> explained by </w:t>
      </w:r>
      <w:r>
        <w:rPr>
          <w:lang w:val="en-US"/>
        </w:rPr>
        <w:t xml:space="preserve">the growth of </w:t>
      </w:r>
      <w:r w:rsidRPr="00A75B3A">
        <w:rPr>
          <w:lang w:val="en-US"/>
        </w:rPr>
        <w:t xml:space="preserve">operating results, </w:t>
      </w:r>
      <w:r>
        <w:rPr>
          <w:lang w:val="en-US"/>
        </w:rPr>
        <w:t>driven by</w:t>
      </w:r>
      <w:r w:rsidRPr="00A75B3A">
        <w:rPr>
          <w:lang w:val="en-US"/>
        </w:rPr>
        <w:t xml:space="preserve"> the </w:t>
      </w:r>
      <w:r>
        <w:rPr>
          <w:lang w:val="en-US"/>
        </w:rPr>
        <w:t>higher</w:t>
      </w:r>
      <w:r w:rsidRPr="00A75B3A">
        <w:rPr>
          <w:lang w:val="en-US"/>
        </w:rPr>
        <w:t xml:space="preserve"> release of contractual service margin (CSM) related to PGBL and VGBL plans. Additionally, there was a greater release of the loss component of traditional plans calculated during the transition to the new accounting standard (IFRS 17), considering an increase in outflows (redemptions and migrations</w:t>
      </w:r>
      <w:proofErr w:type="gramStart"/>
      <w:r w:rsidRPr="00A75B3A">
        <w:rPr>
          <w:lang w:val="en-US"/>
        </w:rPr>
        <w:t>);</w:t>
      </w:r>
      <w:proofErr w:type="gramEnd"/>
    </w:p>
    <w:p w14:paraId="1E8B76D5" w14:textId="77777777" w:rsidR="00527E46" w:rsidRPr="00A75B3A" w:rsidRDefault="00527E46" w:rsidP="00527E46">
      <w:pPr>
        <w:pStyle w:val="05-Textonormal"/>
        <w:numPr>
          <w:ilvl w:val="0"/>
          <w:numId w:val="54"/>
        </w:numPr>
        <w:rPr>
          <w:lang w:val="en-US"/>
        </w:rPr>
      </w:pPr>
      <w:proofErr w:type="spellStart"/>
      <w:r w:rsidRPr="006D64A0">
        <w:rPr>
          <w:b/>
          <w:bCs/>
          <w:lang w:val="en-US"/>
        </w:rPr>
        <w:t>Brasilcap</w:t>
      </w:r>
      <w:proofErr w:type="spellEnd"/>
      <w:r w:rsidRPr="006D64A0">
        <w:rPr>
          <w:b/>
          <w:bCs/>
          <w:lang w:val="en-US"/>
        </w:rPr>
        <w:t xml:space="preserve"> (+R$8.3 million):</w:t>
      </w:r>
      <w:r w:rsidRPr="00A75B3A">
        <w:rPr>
          <w:lang w:val="en-US"/>
        </w:rPr>
        <w:t xml:space="preserve"> with higher </w:t>
      </w:r>
      <w:r>
        <w:rPr>
          <w:lang w:val="en-US"/>
        </w:rPr>
        <w:t xml:space="preserve">net investment income, with a </w:t>
      </w:r>
      <w:r w:rsidRPr="00A75B3A">
        <w:rPr>
          <w:lang w:val="en-US"/>
        </w:rPr>
        <w:t xml:space="preserve">reduction in the cost of liabilities and a lower effective tax rate resulting from a favorable decision in a </w:t>
      </w:r>
      <w:r>
        <w:rPr>
          <w:lang w:val="en-US"/>
        </w:rPr>
        <w:t>legal claim</w:t>
      </w:r>
      <w:r w:rsidRPr="00A75B3A">
        <w:rPr>
          <w:lang w:val="en-US"/>
        </w:rPr>
        <w:t xml:space="preserve"> </w:t>
      </w:r>
      <w:r>
        <w:rPr>
          <w:lang w:val="en-US"/>
        </w:rPr>
        <w:t>related to</w:t>
      </w:r>
      <w:r w:rsidRPr="00A75B3A">
        <w:rPr>
          <w:lang w:val="en-US"/>
        </w:rPr>
        <w:t xml:space="preserve"> CSLL.</w:t>
      </w:r>
    </w:p>
    <w:p w14:paraId="675A9DE5" w14:textId="77777777" w:rsidR="00527E46" w:rsidRPr="00A75B3A" w:rsidRDefault="00527E46" w:rsidP="00527E46">
      <w:pPr>
        <w:pStyle w:val="05-Textonormal"/>
        <w:rPr>
          <w:rFonts w:cs="Arial"/>
          <w:highlight w:val="yellow"/>
          <w:lang w:val="en-US"/>
        </w:rPr>
      </w:pPr>
      <w:r w:rsidRPr="00A75B3A">
        <w:rPr>
          <w:lang w:val="en-US"/>
        </w:rPr>
        <w:t>The Other Revenues and Expenses line increase</w:t>
      </w:r>
      <w:r>
        <w:rPr>
          <w:lang w:val="en-US"/>
        </w:rPr>
        <w:t>d</w:t>
      </w:r>
      <w:r w:rsidRPr="00A75B3A">
        <w:rPr>
          <w:lang w:val="en-US"/>
        </w:rPr>
        <w:t xml:space="preserve"> R$855 thousand (+4.7%), largely explained by the reduction in the volume of revenues from the Level I ADR program recorded in other operating revenues and expenses. However, part of this effect was offset by a decrease in tax expenses, due to the reduction in financial revenues at the holding, and in personnel expenses, considering the revision of </w:t>
      </w:r>
      <w:r>
        <w:rPr>
          <w:lang w:val="en-US"/>
        </w:rPr>
        <w:t xml:space="preserve">the cost sharing methodology </w:t>
      </w:r>
      <w:r w:rsidRPr="00A75B3A">
        <w:rPr>
          <w:lang w:val="en-US"/>
        </w:rPr>
        <w:t xml:space="preserve">between holdings and BB </w:t>
      </w:r>
      <w:proofErr w:type="spellStart"/>
      <w:r w:rsidRPr="00A75B3A">
        <w:rPr>
          <w:lang w:val="en-US"/>
        </w:rPr>
        <w:t>Corretora</w:t>
      </w:r>
      <w:proofErr w:type="spellEnd"/>
      <w:r w:rsidRPr="00A75B3A">
        <w:rPr>
          <w:lang w:val="en-US"/>
        </w:rPr>
        <w:t>, as well as a reduction in the number of employees compared to 2023 due to positions that remained vacant in holding activities."</w:t>
      </w:r>
    </w:p>
    <w:p w14:paraId="1A685633" w14:textId="77777777" w:rsidR="00527E46" w:rsidRDefault="00527E46" w:rsidP="00527E46">
      <w:pPr>
        <w:pStyle w:val="03-SubttulodeNota"/>
        <w:keepNext/>
        <w:spacing w:line="276" w:lineRule="auto"/>
        <w:rPr>
          <w:color w:val="1F3864" w:themeColor="accent1" w:themeShade="80"/>
          <w:lang w:val="en-US"/>
        </w:rPr>
      </w:pPr>
      <w:bookmarkStart w:id="5" w:name="_Hlk94626662"/>
    </w:p>
    <w:p w14:paraId="2FBFAD9B" w14:textId="77777777" w:rsidR="00527E46" w:rsidRPr="00531D45" w:rsidRDefault="00527E46" w:rsidP="00527E46">
      <w:pPr>
        <w:pStyle w:val="03-SubttulodeNota"/>
        <w:keepNext/>
        <w:spacing w:line="276" w:lineRule="auto"/>
        <w:rPr>
          <w:color w:val="1F3864" w:themeColor="accent1" w:themeShade="80"/>
          <w:highlight w:val="yellow"/>
          <w:lang w:val="en-US"/>
        </w:rPr>
      </w:pPr>
      <w:r w:rsidRPr="00531D45">
        <w:rPr>
          <w:color w:val="1F3864" w:themeColor="accent1" w:themeShade="80"/>
          <w:lang w:val="en-US"/>
        </w:rPr>
        <w:t>Equity income – Performance of the investees</w:t>
      </w:r>
      <w:r w:rsidRPr="00531D45">
        <w:rPr>
          <w:color w:val="1F3864" w:themeColor="accent1" w:themeShade="80"/>
          <w:highlight w:val="yellow"/>
          <w:lang w:val="en-US"/>
        </w:rPr>
        <w:t xml:space="preserve"> </w:t>
      </w:r>
    </w:p>
    <w:p w14:paraId="6773ED4C" w14:textId="2D2576AE" w:rsidR="00527E46" w:rsidRPr="002C3D6A" w:rsidRDefault="00527E46" w:rsidP="00527E46">
      <w:pPr>
        <w:pStyle w:val="01-Textonormal"/>
        <w:rPr>
          <w:rFonts w:eastAsiaTheme="minorHAnsi"/>
          <w:lang w:val="en-US"/>
        </w:rPr>
      </w:pPr>
      <w:r w:rsidRPr="002C3D6A">
        <w:rPr>
          <w:rFonts w:eastAsiaTheme="minorHAnsi"/>
          <w:lang w:val="en-US"/>
        </w:rPr>
        <w:t>We summarize below the performance of the investees in 202</w:t>
      </w:r>
      <w:r>
        <w:rPr>
          <w:rFonts w:eastAsiaTheme="minorHAnsi"/>
          <w:lang w:val="en-US"/>
        </w:rPr>
        <w:t>4,</w:t>
      </w:r>
      <w:r w:rsidRPr="002C3D6A">
        <w:rPr>
          <w:rFonts w:eastAsiaTheme="minorHAnsi"/>
          <w:lang w:val="en-US"/>
        </w:rPr>
        <w:t xml:space="preserve"> More information was made available in the MD&amp;A, which can be reached at www</w:t>
      </w:r>
      <w:r>
        <w:rPr>
          <w:rFonts w:eastAsiaTheme="minorHAnsi"/>
          <w:lang w:val="en-US"/>
        </w:rPr>
        <w:t>.</w:t>
      </w:r>
      <w:r w:rsidRPr="002C3D6A">
        <w:rPr>
          <w:rFonts w:eastAsiaTheme="minorHAnsi"/>
          <w:lang w:val="en-US"/>
        </w:rPr>
        <w:t>bbseguridaderi</w:t>
      </w:r>
      <w:r>
        <w:rPr>
          <w:rFonts w:eastAsiaTheme="minorHAnsi"/>
          <w:lang w:val="en-US"/>
        </w:rPr>
        <w:t>.</w:t>
      </w:r>
      <w:r w:rsidRPr="002C3D6A">
        <w:rPr>
          <w:rFonts w:eastAsiaTheme="minorHAnsi"/>
          <w:lang w:val="en-US"/>
        </w:rPr>
        <w:t>com</w:t>
      </w:r>
      <w:r w:rsidR="00855796">
        <w:rPr>
          <w:rFonts w:eastAsiaTheme="minorHAnsi"/>
          <w:lang w:val="en-US"/>
        </w:rPr>
        <w:t>.</w:t>
      </w:r>
      <w:r w:rsidRPr="002C3D6A">
        <w:rPr>
          <w:rFonts w:eastAsiaTheme="minorHAnsi"/>
          <w:lang w:val="en-US"/>
        </w:rPr>
        <w:t>br/en/market-information/results-center/</w:t>
      </w:r>
    </w:p>
    <w:p w14:paraId="65635C37" w14:textId="77777777" w:rsidR="00527E46" w:rsidRPr="00767B56" w:rsidRDefault="00527E46" w:rsidP="00527E46">
      <w:pPr>
        <w:pStyle w:val="03-SubttulodeNota"/>
        <w:spacing w:line="276" w:lineRule="auto"/>
        <w:rPr>
          <w:color w:val="1F3864" w:themeColor="accent1" w:themeShade="80"/>
          <w:lang w:val="en-US"/>
        </w:rPr>
      </w:pPr>
      <w:r w:rsidRPr="00767B56">
        <w:rPr>
          <w:color w:val="1F3864" w:themeColor="accent1" w:themeShade="80"/>
          <w:lang w:val="en-US"/>
        </w:rPr>
        <w:t>BB MAPFRE (</w:t>
      </w:r>
      <w:proofErr w:type="spellStart"/>
      <w:r w:rsidRPr="00767B56">
        <w:rPr>
          <w:color w:val="1F3864" w:themeColor="accent1" w:themeShade="80"/>
          <w:lang w:val="en-US"/>
        </w:rPr>
        <w:t>Brasilseg</w:t>
      </w:r>
      <w:proofErr w:type="spellEnd"/>
      <w:r w:rsidRPr="00767B56">
        <w:rPr>
          <w:color w:val="1F3864" w:themeColor="accent1" w:themeShade="80"/>
          <w:lang w:val="en-US"/>
        </w:rPr>
        <w:t>)</w:t>
      </w:r>
    </w:p>
    <w:p w14:paraId="2FD5A17E" w14:textId="77777777" w:rsidR="00527E46" w:rsidRPr="00527E46" w:rsidRDefault="00527E46" w:rsidP="00527E46">
      <w:pPr>
        <w:autoSpaceDE w:val="0"/>
        <w:autoSpaceDN w:val="0"/>
        <w:adjustRightInd w:val="0"/>
        <w:spacing w:before="120" w:after="120"/>
        <w:jc w:val="both"/>
        <w:rPr>
          <w:rFonts w:ascii="Arial" w:eastAsia="Times New Roman" w:hAnsi="Arial" w:cs="Arial"/>
          <w:spacing w:val="-2"/>
          <w:sz w:val="18"/>
          <w:szCs w:val="18"/>
          <w:lang w:val="en-US" w:eastAsia="pt-BR"/>
        </w:rPr>
      </w:pPr>
      <w:r w:rsidRPr="00527E46">
        <w:rPr>
          <w:rFonts w:ascii="Arial" w:eastAsia="Times New Roman" w:hAnsi="Arial" w:cs="Arial"/>
          <w:spacing w:val="-2"/>
          <w:sz w:val="18"/>
          <w:szCs w:val="18"/>
          <w:lang w:val="en-US" w:eastAsia="pt-BR"/>
        </w:rPr>
        <w:t xml:space="preserve">During the year, the net income from the insurance operation increased 13.6%, driven by an improvement in the insurance margin. This performance is attributed to the higher recognition of premium and the lower loss ratio, especially in rural, term life and home insurances. On the other hand, these effects were partially offset by an increase in the loss ratio of credit life insurance during the year. </w:t>
      </w:r>
    </w:p>
    <w:p w14:paraId="31A12DC0" w14:textId="77777777" w:rsidR="00527E46" w:rsidRPr="00527E46" w:rsidRDefault="00527E46" w:rsidP="00527E46">
      <w:pPr>
        <w:autoSpaceDE w:val="0"/>
        <w:autoSpaceDN w:val="0"/>
        <w:adjustRightInd w:val="0"/>
        <w:spacing w:before="120" w:after="120"/>
        <w:jc w:val="both"/>
        <w:rPr>
          <w:rFonts w:ascii="Arial" w:eastAsia="Times New Roman" w:hAnsi="Arial" w:cs="Arial"/>
          <w:spacing w:val="-2"/>
          <w:sz w:val="18"/>
          <w:szCs w:val="18"/>
          <w:lang w:val="en-US" w:eastAsia="pt-BR"/>
        </w:rPr>
      </w:pPr>
      <w:r w:rsidRPr="00527E46">
        <w:rPr>
          <w:rFonts w:ascii="Arial" w:eastAsia="Times New Roman" w:hAnsi="Arial" w:cs="Arial"/>
          <w:spacing w:val="-2"/>
          <w:sz w:val="18"/>
          <w:szCs w:val="18"/>
          <w:lang w:val="en-US" w:eastAsia="pt-BR"/>
        </w:rPr>
        <w:t>The net investment income decreased 9.7%, a reduction largely attributed to the lower average Selic rate.</w:t>
      </w:r>
    </w:p>
    <w:p w14:paraId="0F64E376" w14:textId="77777777" w:rsidR="00527E46" w:rsidRPr="00767B56" w:rsidRDefault="00527E46" w:rsidP="00527E46">
      <w:pPr>
        <w:pStyle w:val="03-SubttulodeNota"/>
        <w:spacing w:line="276" w:lineRule="auto"/>
        <w:rPr>
          <w:color w:val="1F3864" w:themeColor="accent1" w:themeShade="80"/>
          <w:lang w:val="en-US"/>
        </w:rPr>
      </w:pPr>
      <w:proofErr w:type="spellStart"/>
      <w:r w:rsidRPr="00767B56">
        <w:rPr>
          <w:color w:val="1F3864" w:themeColor="accent1" w:themeShade="80"/>
          <w:lang w:val="en-US"/>
        </w:rPr>
        <w:lastRenderedPageBreak/>
        <w:t>Brasilprev</w:t>
      </w:r>
      <w:proofErr w:type="spellEnd"/>
    </w:p>
    <w:p w14:paraId="2C76EF00" w14:textId="77777777" w:rsidR="00527E46" w:rsidRPr="00527E46" w:rsidRDefault="00527E46" w:rsidP="00527E46">
      <w:pPr>
        <w:jc w:val="both"/>
        <w:rPr>
          <w:rFonts w:ascii="Arial" w:eastAsia="Times New Roman" w:hAnsi="Arial" w:cs="Arial"/>
          <w:spacing w:val="-2"/>
          <w:sz w:val="18"/>
          <w:szCs w:val="18"/>
          <w:lang w:val="en-US" w:eastAsia="pt-BR"/>
        </w:rPr>
      </w:pPr>
      <w:r w:rsidRPr="00527E46">
        <w:rPr>
          <w:rFonts w:ascii="Arial" w:eastAsia="Times New Roman" w:hAnsi="Arial" w:cs="Arial"/>
          <w:spacing w:val="-2"/>
          <w:sz w:val="18"/>
          <w:szCs w:val="18"/>
          <w:lang w:val="en-US" w:eastAsia="pt-BR"/>
        </w:rPr>
        <w:t xml:space="preserve">In 2024, the net income of the pension plans operation grew 1.1%, with evolution in the insurance margin sustained by the higher volume of CSM release from PGBL and VGBL plans, mainly reflecting higher revenues with management fee </w:t>
      </w:r>
      <w:proofErr w:type="gramStart"/>
      <w:r w:rsidRPr="00527E46">
        <w:rPr>
          <w:rFonts w:ascii="Arial" w:eastAsia="Times New Roman" w:hAnsi="Arial" w:cs="Arial"/>
          <w:spacing w:val="-2"/>
          <w:sz w:val="18"/>
          <w:szCs w:val="18"/>
          <w:lang w:val="en-US" w:eastAsia="pt-BR"/>
        </w:rPr>
        <w:t>as a consequence of</w:t>
      </w:r>
      <w:proofErr w:type="gramEnd"/>
      <w:r w:rsidRPr="00527E46">
        <w:rPr>
          <w:rFonts w:ascii="Arial" w:eastAsia="Times New Roman" w:hAnsi="Arial" w:cs="Arial"/>
          <w:spacing w:val="-2"/>
          <w:sz w:val="18"/>
          <w:szCs w:val="18"/>
          <w:lang w:val="en-US" w:eastAsia="pt-BR"/>
        </w:rPr>
        <w:t xml:space="preserve"> the expansion of reserves.</w:t>
      </w:r>
    </w:p>
    <w:p w14:paraId="69BB9143" w14:textId="77777777" w:rsidR="00527E46" w:rsidRPr="00527E46" w:rsidRDefault="00527E46" w:rsidP="00527E46">
      <w:pPr>
        <w:jc w:val="both"/>
        <w:rPr>
          <w:rFonts w:ascii="Arial" w:eastAsia="Times New Roman" w:hAnsi="Arial" w:cs="Arial"/>
          <w:spacing w:val="-2"/>
          <w:sz w:val="18"/>
          <w:szCs w:val="18"/>
          <w:lang w:val="en-US" w:eastAsia="pt-BR"/>
        </w:rPr>
      </w:pPr>
      <w:r w:rsidRPr="00527E46">
        <w:rPr>
          <w:rFonts w:ascii="Arial" w:eastAsia="Times New Roman" w:hAnsi="Arial" w:cs="Arial"/>
          <w:spacing w:val="-2"/>
          <w:sz w:val="18"/>
          <w:szCs w:val="18"/>
          <w:lang w:val="en-US" w:eastAsia="pt-BR"/>
        </w:rPr>
        <w:t xml:space="preserve">The reduction in the loss component related to traditional plans also contributed to the insurance margin improvement, resulting from the higher volume of outflows (redemptions and migrations) compared to the estimated, mainly explained by the adoption, in January 2024, of the </w:t>
      </w:r>
      <w:proofErr w:type="spellStart"/>
      <w:r w:rsidRPr="00527E46">
        <w:rPr>
          <w:rFonts w:ascii="Arial" w:eastAsia="Times New Roman" w:hAnsi="Arial" w:cs="Arial"/>
          <w:spacing w:val="-2"/>
          <w:sz w:val="18"/>
          <w:szCs w:val="18"/>
          <w:lang w:val="en-US" w:eastAsia="pt-BR"/>
        </w:rPr>
        <w:t>Susep</w:t>
      </w:r>
      <w:proofErr w:type="spellEnd"/>
      <w:r w:rsidRPr="00527E46">
        <w:rPr>
          <w:rFonts w:ascii="Arial" w:eastAsia="Times New Roman" w:hAnsi="Arial" w:cs="Arial"/>
          <w:spacing w:val="-2"/>
          <w:sz w:val="18"/>
          <w:szCs w:val="18"/>
          <w:lang w:val="en-US" w:eastAsia="pt-BR"/>
        </w:rPr>
        <w:t xml:space="preserve"> Rule No. 678/2022, which changed the treatment of survival of participants in these plans during the contracted deferral period.</w:t>
      </w:r>
    </w:p>
    <w:p w14:paraId="5BC0B55E" w14:textId="77777777" w:rsidR="00527E46" w:rsidRPr="00527E46" w:rsidRDefault="00527E46" w:rsidP="00527E46">
      <w:pPr>
        <w:jc w:val="both"/>
        <w:rPr>
          <w:rFonts w:ascii="Arial" w:eastAsia="Times New Roman" w:hAnsi="Arial" w:cs="Arial"/>
          <w:spacing w:val="-2"/>
          <w:sz w:val="18"/>
          <w:szCs w:val="18"/>
          <w:lang w:val="en-US" w:eastAsia="pt-BR"/>
        </w:rPr>
      </w:pPr>
      <w:r w:rsidRPr="00527E46">
        <w:rPr>
          <w:rFonts w:ascii="Arial" w:eastAsia="Times New Roman" w:hAnsi="Arial" w:cs="Arial"/>
          <w:spacing w:val="-2"/>
          <w:sz w:val="18"/>
          <w:szCs w:val="18"/>
          <w:lang w:val="en-US" w:eastAsia="pt-BR"/>
        </w:rPr>
        <w:t xml:space="preserve">On the other hand, the net investment income dropped 43.2% in the year, due to both the increase in the cost of liabilities (IGP-M with a one-month lag 2024: +6.3% vs. 2023: -3.5%) and the negative </w:t>
      </w:r>
      <w:proofErr w:type="spellStart"/>
      <w:r w:rsidRPr="00527E46">
        <w:rPr>
          <w:rFonts w:ascii="Arial" w:eastAsia="Times New Roman" w:hAnsi="Arial" w:cs="Arial"/>
          <w:spacing w:val="-2"/>
          <w:sz w:val="18"/>
          <w:szCs w:val="18"/>
          <w:lang w:val="en-US" w:eastAsia="pt-BR"/>
        </w:rPr>
        <w:t>MtM</w:t>
      </w:r>
      <w:proofErr w:type="spellEnd"/>
      <w:r w:rsidRPr="00527E46">
        <w:rPr>
          <w:rFonts w:ascii="Arial" w:eastAsia="Times New Roman" w:hAnsi="Arial" w:cs="Arial"/>
          <w:spacing w:val="-2"/>
          <w:sz w:val="18"/>
          <w:szCs w:val="18"/>
          <w:lang w:val="en-US" w:eastAsia="pt-BR"/>
        </w:rPr>
        <w:t xml:space="preserve"> result of trading assets due to the steepening in the forward yield curve, amounting to R$439.5 million, while in 2023 the mark-to-market was positive at R$334.1 million. </w:t>
      </w:r>
    </w:p>
    <w:p w14:paraId="0AFAC4EC" w14:textId="77777777" w:rsidR="00527E46" w:rsidRPr="00767B56" w:rsidRDefault="00527E46" w:rsidP="00527E46">
      <w:pPr>
        <w:pStyle w:val="03-SubttulodeNota"/>
        <w:spacing w:line="276" w:lineRule="auto"/>
        <w:rPr>
          <w:color w:val="1F3864" w:themeColor="accent1" w:themeShade="80"/>
          <w:lang w:val="en-US"/>
        </w:rPr>
      </w:pPr>
      <w:proofErr w:type="spellStart"/>
      <w:r w:rsidRPr="00767B56">
        <w:rPr>
          <w:color w:val="1F3864" w:themeColor="accent1" w:themeShade="80"/>
          <w:lang w:val="en-US"/>
        </w:rPr>
        <w:t>Brasilcap</w:t>
      </w:r>
      <w:proofErr w:type="spellEnd"/>
    </w:p>
    <w:p w14:paraId="5161492E" w14:textId="77777777" w:rsidR="00527E46" w:rsidRDefault="00527E46" w:rsidP="00527E46">
      <w:pPr>
        <w:pStyle w:val="05-Textonormal"/>
        <w:rPr>
          <w:rFonts w:cs="Arial"/>
          <w:lang w:val="en-US"/>
        </w:rPr>
      </w:pPr>
      <w:r>
        <w:rPr>
          <w:rFonts w:cs="Arial"/>
          <w:lang w:val="en-US"/>
        </w:rPr>
        <w:t>In</w:t>
      </w:r>
      <w:r w:rsidRPr="00686DAE">
        <w:rPr>
          <w:rFonts w:cs="Arial"/>
          <w:lang w:val="en-US"/>
        </w:rPr>
        <w:t xml:space="preserve"> the year, the net </w:t>
      </w:r>
      <w:r>
        <w:rPr>
          <w:rFonts w:cs="Arial"/>
          <w:lang w:val="en-US"/>
        </w:rPr>
        <w:t>income</w:t>
      </w:r>
      <w:r w:rsidRPr="00686DAE">
        <w:rPr>
          <w:rFonts w:cs="Arial"/>
          <w:lang w:val="en-US"/>
        </w:rPr>
        <w:t xml:space="preserve"> from the </w:t>
      </w:r>
      <w:r>
        <w:rPr>
          <w:rFonts w:cs="Arial"/>
          <w:lang w:val="en-US"/>
        </w:rPr>
        <w:t>premium bonds</w:t>
      </w:r>
      <w:r w:rsidRPr="00686DAE">
        <w:rPr>
          <w:rFonts w:cs="Arial"/>
          <w:lang w:val="en-US"/>
        </w:rPr>
        <w:t xml:space="preserve"> operation reached R$280.8 million (+4.6%), driven by the </w:t>
      </w:r>
      <w:r>
        <w:rPr>
          <w:rFonts w:cs="Arial"/>
          <w:lang w:val="en-US"/>
        </w:rPr>
        <w:t>higher</w:t>
      </w:r>
      <w:r w:rsidRPr="00686DAE">
        <w:rPr>
          <w:rFonts w:cs="Arial"/>
          <w:lang w:val="en-US"/>
        </w:rPr>
        <w:t xml:space="preserve"> financial results (+5.2%), with </w:t>
      </w:r>
      <w:r>
        <w:rPr>
          <w:rFonts w:cs="Arial"/>
          <w:lang w:val="en-US"/>
        </w:rPr>
        <w:t>the</w:t>
      </w:r>
      <w:r w:rsidRPr="00686DAE">
        <w:rPr>
          <w:rFonts w:cs="Arial"/>
          <w:lang w:val="en-US"/>
        </w:rPr>
        <w:t xml:space="preserve"> decrease in </w:t>
      </w:r>
      <w:r>
        <w:rPr>
          <w:rFonts w:cs="Arial"/>
          <w:lang w:val="en-US"/>
        </w:rPr>
        <w:t xml:space="preserve">the cost of </w:t>
      </w:r>
      <w:r w:rsidRPr="00686DAE">
        <w:rPr>
          <w:rFonts w:cs="Arial"/>
          <w:lang w:val="en-US"/>
        </w:rPr>
        <w:t>liabilit</w:t>
      </w:r>
      <w:r>
        <w:rPr>
          <w:rFonts w:cs="Arial"/>
          <w:lang w:val="en-US"/>
        </w:rPr>
        <w:t xml:space="preserve">ies, </w:t>
      </w:r>
      <w:r w:rsidRPr="00686DAE">
        <w:rPr>
          <w:rFonts w:cs="Arial"/>
          <w:lang w:val="en-US"/>
        </w:rPr>
        <w:t xml:space="preserve">mainly reflecting the contraction </w:t>
      </w:r>
      <w:r>
        <w:rPr>
          <w:rFonts w:cs="Arial"/>
          <w:lang w:val="en-US"/>
        </w:rPr>
        <w:t>in</w:t>
      </w:r>
      <w:r w:rsidRPr="00686DAE">
        <w:rPr>
          <w:rFonts w:cs="Arial"/>
          <w:lang w:val="en-US"/>
        </w:rPr>
        <w:t xml:space="preserve"> the Referential Rate (TR), and by the lower effective tax rate (-1.8 p.p.), resulting from a favorable </w:t>
      </w:r>
      <w:r w:rsidRPr="00A75B3A">
        <w:rPr>
          <w:lang w:val="en-US"/>
        </w:rPr>
        <w:t xml:space="preserve">decision in a </w:t>
      </w:r>
      <w:r>
        <w:rPr>
          <w:lang w:val="en-US"/>
        </w:rPr>
        <w:t>legal claim</w:t>
      </w:r>
      <w:r w:rsidRPr="00A75B3A">
        <w:rPr>
          <w:lang w:val="en-US"/>
        </w:rPr>
        <w:t xml:space="preserve"> </w:t>
      </w:r>
      <w:r>
        <w:rPr>
          <w:lang w:val="en-US"/>
        </w:rPr>
        <w:t>related to</w:t>
      </w:r>
      <w:r w:rsidRPr="00A75B3A">
        <w:rPr>
          <w:lang w:val="en-US"/>
        </w:rPr>
        <w:t xml:space="preserve"> CSLL</w:t>
      </w:r>
      <w:r w:rsidRPr="00686DAE">
        <w:rPr>
          <w:rFonts w:cs="Arial"/>
          <w:lang w:val="en-US"/>
        </w:rPr>
        <w:t>, which positively impacted</w:t>
      </w:r>
      <w:r>
        <w:rPr>
          <w:rFonts w:cs="Arial"/>
          <w:lang w:val="en-US"/>
        </w:rPr>
        <w:t xml:space="preserve"> the</w:t>
      </w:r>
      <w:r w:rsidRPr="00686DAE">
        <w:rPr>
          <w:rFonts w:cs="Arial"/>
          <w:lang w:val="en-US"/>
        </w:rPr>
        <w:t xml:space="preserve"> 2Q24 by R$11.3 million. </w:t>
      </w:r>
    </w:p>
    <w:p w14:paraId="1C415370" w14:textId="77777777" w:rsidR="00527E46" w:rsidRPr="0086226E" w:rsidRDefault="00527E46" w:rsidP="00527E46">
      <w:pPr>
        <w:pStyle w:val="05-Textonormal"/>
        <w:rPr>
          <w:rFonts w:cs="Arial"/>
          <w:lang w:val="en-US"/>
        </w:rPr>
      </w:pPr>
      <w:r>
        <w:rPr>
          <w:rFonts w:cs="Arial"/>
          <w:lang w:val="en-US"/>
        </w:rPr>
        <w:t>The premium bonds collection</w:t>
      </w:r>
      <w:r w:rsidRPr="00686DAE">
        <w:rPr>
          <w:rFonts w:cs="Arial"/>
          <w:lang w:val="en-US"/>
        </w:rPr>
        <w:t xml:space="preserve"> grew by 4.2%, a dynamic attributed to the higher average ticket of the bonds. On the other hand, the average load fee rate </w:t>
      </w:r>
      <w:r>
        <w:rPr>
          <w:rFonts w:cs="Arial"/>
          <w:lang w:val="en-US"/>
        </w:rPr>
        <w:t>dropped</w:t>
      </w:r>
      <w:r w:rsidRPr="00686DAE">
        <w:rPr>
          <w:rFonts w:cs="Arial"/>
          <w:lang w:val="en-US"/>
        </w:rPr>
        <w:t xml:space="preserve"> 0.5 p.p., due to a higher concentration of single-payment bonds with shorter terms (12 and 24 months) in the total revenue, as these products have a lower fee compared to longer-term products (36 and 48 months), which had a higher share in the 2023 flow</w:t>
      </w:r>
      <w:r>
        <w:rPr>
          <w:rFonts w:cs="Arial"/>
          <w:lang w:val="en-US"/>
        </w:rPr>
        <w:t>.</w:t>
      </w:r>
    </w:p>
    <w:p w14:paraId="64A32057" w14:textId="77777777" w:rsidR="00527E46" w:rsidRPr="00767B56" w:rsidRDefault="00527E46" w:rsidP="00527E46">
      <w:pPr>
        <w:pStyle w:val="03-SubttulodeNota"/>
        <w:spacing w:line="276" w:lineRule="auto"/>
        <w:rPr>
          <w:color w:val="1F3864" w:themeColor="accent1" w:themeShade="80"/>
          <w:lang w:val="en-US"/>
        </w:rPr>
      </w:pPr>
      <w:proofErr w:type="spellStart"/>
      <w:r w:rsidRPr="00767B56">
        <w:rPr>
          <w:color w:val="1F3864" w:themeColor="accent1" w:themeShade="80"/>
          <w:lang w:val="en-US"/>
        </w:rPr>
        <w:t>Brasildental</w:t>
      </w:r>
      <w:proofErr w:type="spellEnd"/>
    </w:p>
    <w:p w14:paraId="611C8A09" w14:textId="77777777" w:rsidR="00527E46" w:rsidRPr="006D7F97" w:rsidRDefault="00527E46" w:rsidP="00527E46">
      <w:pPr>
        <w:pStyle w:val="05-Textonormal"/>
        <w:rPr>
          <w:rFonts w:cs="Arial"/>
          <w:lang w:val="en-US"/>
        </w:rPr>
      </w:pPr>
      <w:r w:rsidRPr="00E8697F">
        <w:rPr>
          <w:rFonts w:cs="Arial"/>
          <w:lang w:val="en-US"/>
        </w:rPr>
        <w:t xml:space="preserve">In dental plans segment, operated by </w:t>
      </w:r>
      <w:proofErr w:type="spellStart"/>
      <w:r w:rsidRPr="00E8697F">
        <w:rPr>
          <w:rFonts w:cs="Arial"/>
          <w:lang w:val="en-US"/>
        </w:rPr>
        <w:t>Brasildental</w:t>
      </w:r>
      <w:proofErr w:type="spellEnd"/>
      <w:r w:rsidRPr="00E8697F">
        <w:rPr>
          <w:rFonts w:cs="Arial"/>
          <w:lang w:val="en-US"/>
        </w:rPr>
        <w:t xml:space="preserve">, due to operational issues, </w:t>
      </w:r>
      <w:r>
        <w:rPr>
          <w:rFonts w:cs="Arial"/>
          <w:lang w:val="en-US"/>
        </w:rPr>
        <w:t xml:space="preserve">the </w:t>
      </w:r>
      <w:r w:rsidRPr="00E8697F">
        <w:rPr>
          <w:rFonts w:cs="Arial"/>
          <w:lang w:val="en-US"/>
        </w:rPr>
        <w:t xml:space="preserve">accounting </w:t>
      </w:r>
      <w:r>
        <w:rPr>
          <w:rFonts w:cs="Arial"/>
          <w:lang w:val="en-US"/>
        </w:rPr>
        <w:t>of equity income</w:t>
      </w:r>
      <w:r w:rsidRPr="00E8697F">
        <w:rPr>
          <w:rFonts w:cs="Arial"/>
          <w:lang w:val="en-US"/>
        </w:rPr>
        <w:t xml:space="preserve"> has been made with a one-month </w:t>
      </w:r>
      <w:r>
        <w:rPr>
          <w:rFonts w:cs="Arial"/>
          <w:lang w:val="en-US"/>
        </w:rPr>
        <w:t>lag</w:t>
      </w:r>
      <w:r w:rsidRPr="00E8697F">
        <w:rPr>
          <w:rFonts w:cs="Arial"/>
          <w:lang w:val="en-US"/>
        </w:rPr>
        <w:t xml:space="preserve"> since January 2023. As of November, the accumulated net </w:t>
      </w:r>
      <w:r>
        <w:rPr>
          <w:rFonts w:cs="Arial"/>
          <w:lang w:val="en-US"/>
        </w:rPr>
        <w:t>income</w:t>
      </w:r>
      <w:r w:rsidRPr="00E8697F">
        <w:rPr>
          <w:rFonts w:cs="Arial"/>
          <w:lang w:val="en-US"/>
        </w:rPr>
        <w:t xml:space="preserve"> reached R$23.5 million, an amount 3.3% lower than that recorded in the same period of 2023, with declines in both </w:t>
      </w:r>
      <w:r>
        <w:rPr>
          <w:rFonts w:cs="Arial"/>
          <w:lang w:val="en-US"/>
        </w:rPr>
        <w:t>net investment income</w:t>
      </w:r>
      <w:r w:rsidRPr="00E8697F">
        <w:rPr>
          <w:rFonts w:cs="Arial"/>
          <w:lang w:val="en-US"/>
        </w:rPr>
        <w:t xml:space="preserve"> and insurance margins.</w:t>
      </w:r>
      <w:r w:rsidRPr="006D7F97">
        <w:rPr>
          <w:rFonts w:cs="Arial"/>
          <w:lang w:val="en-US"/>
        </w:rPr>
        <w:t xml:space="preserve"> </w:t>
      </w:r>
    </w:p>
    <w:p w14:paraId="1EE872B5" w14:textId="77777777" w:rsidR="00527E46" w:rsidRPr="00767B56" w:rsidRDefault="00527E46" w:rsidP="00527E46">
      <w:pPr>
        <w:pStyle w:val="03-SubttulodeNota"/>
        <w:spacing w:line="276" w:lineRule="auto"/>
        <w:rPr>
          <w:color w:val="1F3864" w:themeColor="accent1" w:themeShade="80"/>
          <w:lang w:val="en-US"/>
        </w:rPr>
      </w:pPr>
      <w:r w:rsidRPr="00767B56">
        <w:rPr>
          <w:color w:val="1F3864" w:themeColor="accent1" w:themeShade="80"/>
          <w:lang w:val="en-US"/>
        </w:rPr>
        <w:t xml:space="preserve">BB </w:t>
      </w:r>
      <w:proofErr w:type="spellStart"/>
      <w:r w:rsidRPr="00767B56">
        <w:rPr>
          <w:color w:val="1F3864" w:themeColor="accent1" w:themeShade="80"/>
          <w:lang w:val="en-US"/>
        </w:rPr>
        <w:t>Corretora</w:t>
      </w:r>
      <w:proofErr w:type="spellEnd"/>
    </w:p>
    <w:bookmarkEnd w:id="5"/>
    <w:p w14:paraId="568551C2" w14:textId="77777777" w:rsidR="00527E46" w:rsidRDefault="00527E46" w:rsidP="00527E46">
      <w:pPr>
        <w:pStyle w:val="01-Textonormal"/>
        <w:rPr>
          <w:lang w:val="en-US"/>
        </w:rPr>
      </w:pPr>
      <w:r>
        <w:rPr>
          <w:lang w:val="en-US"/>
        </w:rPr>
        <w:t>In 2024</w:t>
      </w:r>
      <w:r w:rsidRPr="00E8697F">
        <w:rPr>
          <w:lang w:val="en-US"/>
        </w:rPr>
        <w:t xml:space="preserve">, BB </w:t>
      </w:r>
      <w:proofErr w:type="spellStart"/>
      <w:r w:rsidRPr="00E8697F">
        <w:rPr>
          <w:lang w:val="en-US"/>
        </w:rPr>
        <w:t>Corretora's</w:t>
      </w:r>
      <w:proofErr w:type="spellEnd"/>
      <w:r w:rsidRPr="00E8697F">
        <w:rPr>
          <w:lang w:val="en-US"/>
        </w:rPr>
        <w:t xml:space="preserve"> net </w:t>
      </w:r>
      <w:r>
        <w:rPr>
          <w:lang w:val="en-US"/>
        </w:rPr>
        <w:t>income</w:t>
      </w:r>
      <w:r w:rsidRPr="00E8697F">
        <w:rPr>
          <w:lang w:val="en-US"/>
        </w:rPr>
        <w:t xml:space="preserve"> grew by 10.7%, with improvement in the operating margin due to a 10.0% increase in net </w:t>
      </w:r>
      <w:r>
        <w:rPr>
          <w:lang w:val="en-US"/>
        </w:rPr>
        <w:t xml:space="preserve">brokerage </w:t>
      </w:r>
      <w:r w:rsidRPr="00E8697F">
        <w:rPr>
          <w:lang w:val="en-US"/>
        </w:rPr>
        <w:t>revenues, as well as an expansion in financial results</w:t>
      </w:r>
      <w:r>
        <w:rPr>
          <w:lang w:val="en-US"/>
        </w:rPr>
        <w:t>,</w:t>
      </w:r>
      <w:r w:rsidRPr="00E8697F">
        <w:rPr>
          <w:lang w:val="en-US"/>
        </w:rPr>
        <w:t xml:space="preserve"> </w:t>
      </w:r>
      <w:r>
        <w:rPr>
          <w:lang w:val="en-US"/>
        </w:rPr>
        <w:t>driven by the expansion in the</w:t>
      </w:r>
      <w:r w:rsidRPr="00E8697F">
        <w:rPr>
          <w:lang w:val="en-US"/>
        </w:rPr>
        <w:t xml:space="preserve"> average balance of investments. The </w:t>
      </w:r>
      <w:r>
        <w:rPr>
          <w:lang w:val="en-US"/>
        </w:rPr>
        <w:t>increase in</w:t>
      </w:r>
      <w:r w:rsidRPr="00E8697F">
        <w:rPr>
          <w:lang w:val="en-US"/>
        </w:rPr>
        <w:t xml:space="preserve"> net </w:t>
      </w:r>
      <w:r>
        <w:rPr>
          <w:lang w:val="en-US"/>
        </w:rPr>
        <w:t>brokerage</w:t>
      </w:r>
      <w:r w:rsidRPr="00E8697F">
        <w:rPr>
          <w:lang w:val="en-US"/>
        </w:rPr>
        <w:t xml:space="preserve"> revenues is explained by strong commercial performance, especially in credit life (+7.9%), </w:t>
      </w:r>
      <w:r>
        <w:rPr>
          <w:lang w:val="en-US"/>
        </w:rPr>
        <w:t>credit life for farmers</w:t>
      </w:r>
      <w:r w:rsidRPr="00E8697F">
        <w:rPr>
          <w:lang w:val="en-US"/>
        </w:rPr>
        <w:t xml:space="preserve"> (+21.2%) and rural </w:t>
      </w:r>
      <w:r>
        <w:rPr>
          <w:lang w:val="en-US"/>
        </w:rPr>
        <w:t>lien</w:t>
      </w:r>
      <w:r w:rsidRPr="00E8697F">
        <w:rPr>
          <w:lang w:val="en-US"/>
        </w:rPr>
        <w:t xml:space="preserve"> (+28.1%)</w:t>
      </w:r>
      <w:r>
        <w:rPr>
          <w:lang w:val="en-US"/>
        </w:rPr>
        <w:t xml:space="preserve"> insurances</w:t>
      </w:r>
      <w:r w:rsidRPr="00E8697F">
        <w:rPr>
          <w:lang w:val="en-US"/>
        </w:rPr>
        <w:t xml:space="preserve">, as well as the recognition of deferred revenues related to sales </w:t>
      </w:r>
      <w:r>
        <w:rPr>
          <w:lang w:val="en-US"/>
        </w:rPr>
        <w:t xml:space="preserve">from </w:t>
      </w:r>
      <w:r w:rsidRPr="00E8697F">
        <w:rPr>
          <w:lang w:val="en-US"/>
        </w:rPr>
        <w:t>previous periods, particularly</w:t>
      </w:r>
      <w:r>
        <w:rPr>
          <w:lang w:val="en-US"/>
        </w:rPr>
        <w:t xml:space="preserve"> in</w:t>
      </w:r>
      <w:r w:rsidRPr="00E8697F">
        <w:rPr>
          <w:lang w:val="en-US"/>
        </w:rPr>
        <w:t xml:space="preserve"> credit life, which has a longer average policy duration. </w:t>
      </w:r>
    </w:p>
    <w:p w14:paraId="539E6EAB" w14:textId="77777777" w:rsidR="00527E46" w:rsidRDefault="00527E46" w:rsidP="00527E46">
      <w:pPr>
        <w:pStyle w:val="01-Textonormal"/>
        <w:rPr>
          <w:lang w:val="en-US"/>
        </w:rPr>
      </w:pPr>
      <w:r w:rsidRPr="00E8697F">
        <w:rPr>
          <w:lang w:val="en-US"/>
        </w:rPr>
        <w:t>The contribution of pension</w:t>
      </w:r>
      <w:r>
        <w:rPr>
          <w:lang w:val="en-US"/>
        </w:rPr>
        <w:t xml:space="preserve"> plans</w:t>
      </w:r>
      <w:r w:rsidRPr="00E8697F">
        <w:rPr>
          <w:lang w:val="en-US"/>
        </w:rPr>
        <w:t xml:space="preserve"> segment to </w:t>
      </w:r>
      <w:r>
        <w:rPr>
          <w:lang w:val="en-US"/>
        </w:rPr>
        <w:t>brokerage</w:t>
      </w:r>
      <w:r w:rsidRPr="00E8697F">
        <w:rPr>
          <w:lang w:val="en-US"/>
        </w:rPr>
        <w:t xml:space="preserve"> revenues grew by 7.0%, </w:t>
      </w:r>
      <w:r>
        <w:rPr>
          <w:lang w:val="en-US"/>
        </w:rPr>
        <w:t>outperforming the</w:t>
      </w:r>
      <w:r w:rsidRPr="00E8697F">
        <w:rPr>
          <w:lang w:val="en-US"/>
        </w:rPr>
        <w:t xml:space="preserve"> </w:t>
      </w:r>
      <w:r>
        <w:rPr>
          <w:lang w:val="en-US"/>
        </w:rPr>
        <w:t xml:space="preserve">gross inflow at </w:t>
      </w:r>
      <w:proofErr w:type="spellStart"/>
      <w:r>
        <w:rPr>
          <w:lang w:val="en-US"/>
        </w:rPr>
        <w:t>Brasilprev</w:t>
      </w:r>
      <w:proofErr w:type="spellEnd"/>
      <w:r>
        <w:rPr>
          <w:lang w:val="en-US"/>
        </w:rPr>
        <w:t xml:space="preserve"> </w:t>
      </w:r>
      <w:r w:rsidRPr="00E8697F">
        <w:rPr>
          <w:lang w:val="en-US"/>
        </w:rPr>
        <w:t xml:space="preserve">(+2.8%), justified by </w:t>
      </w:r>
      <w:r>
        <w:rPr>
          <w:lang w:val="en-US"/>
        </w:rPr>
        <w:t>the</w:t>
      </w:r>
      <w:r w:rsidRPr="00E8697F">
        <w:rPr>
          <w:lang w:val="en-US"/>
        </w:rPr>
        <w:t xml:space="preserve"> sales dynamic more concentrated in products with higher commission. Meanwhile, brokerage revenue </w:t>
      </w:r>
      <w:r>
        <w:rPr>
          <w:lang w:val="en-US"/>
        </w:rPr>
        <w:t xml:space="preserve">arising from premium bonds </w:t>
      </w:r>
      <w:r w:rsidRPr="00E8697F">
        <w:rPr>
          <w:lang w:val="en-US"/>
        </w:rPr>
        <w:t xml:space="preserve">segment rose by 5.9%, mainly </w:t>
      </w:r>
      <w:r>
        <w:rPr>
          <w:lang w:val="en-US"/>
        </w:rPr>
        <w:t>driven</w:t>
      </w:r>
      <w:r w:rsidRPr="00E8697F">
        <w:rPr>
          <w:lang w:val="en-US"/>
        </w:rPr>
        <w:t xml:space="preserve"> by higher collections (+5.1%). </w:t>
      </w:r>
    </w:p>
    <w:p w14:paraId="0008853E" w14:textId="77777777" w:rsidR="00527E46" w:rsidRPr="00E8697F" w:rsidRDefault="00527E46" w:rsidP="00527E46">
      <w:pPr>
        <w:pStyle w:val="01-Textonormal"/>
        <w:rPr>
          <w:lang w:val="en-US"/>
        </w:rPr>
      </w:pPr>
      <w:r w:rsidRPr="00E8697F">
        <w:rPr>
          <w:lang w:val="en-US"/>
        </w:rPr>
        <w:t>The negative balance of other revenues and expenses grew by 18.8%, mainly explained by:</w:t>
      </w:r>
    </w:p>
    <w:p w14:paraId="61EC5D4F" w14:textId="77777777" w:rsidR="00527E46" w:rsidRPr="00E8697F" w:rsidRDefault="00527E46" w:rsidP="00527E46">
      <w:pPr>
        <w:pStyle w:val="01-Textonormal"/>
        <w:numPr>
          <w:ilvl w:val="0"/>
          <w:numId w:val="55"/>
        </w:numPr>
        <w:rPr>
          <w:lang w:val="en-US"/>
        </w:rPr>
      </w:pPr>
      <w:r w:rsidRPr="00E8697F">
        <w:rPr>
          <w:lang w:val="en-US"/>
        </w:rPr>
        <w:t xml:space="preserve">higher administrative and sales expenses, with a larger volume of sponsorships and incentivized donations, and increased expenses with sales incentives, data processing, and digital communication. However, these effects were partially offset by a reduction in expenses with promotions and public </w:t>
      </w:r>
      <w:proofErr w:type="gramStart"/>
      <w:r w:rsidRPr="00E8697F">
        <w:rPr>
          <w:lang w:val="en-US"/>
        </w:rPr>
        <w:t>relations;</w:t>
      </w:r>
      <w:proofErr w:type="gramEnd"/>
    </w:p>
    <w:p w14:paraId="43C48BF9" w14:textId="77777777" w:rsidR="00527E46" w:rsidRPr="0094595F" w:rsidRDefault="00527E46" w:rsidP="00527E46">
      <w:pPr>
        <w:pStyle w:val="01-Textonormal"/>
        <w:numPr>
          <w:ilvl w:val="0"/>
          <w:numId w:val="55"/>
        </w:numPr>
        <w:rPr>
          <w:lang w:val="en-US"/>
        </w:rPr>
      </w:pPr>
      <w:r w:rsidRPr="0094595F">
        <w:rPr>
          <w:lang w:val="en-US"/>
        </w:rPr>
        <w:t xml:space="preserve">growth in personnel expenses, as a consequence of the collective bargaining agreement and the greater allocation to BB </w:t>
      </w:r>
      <w:proofErr w:type="spellStart"/>
      <w:r w:rsidRPr="0094595F">
        <w:rPr>
          <w:lang w:val="en-US"/>
        </w:rPr>
        <w:t>Corretora</w:t>
      </w:r>
      <w:proofErr w:type="spellEnd"/>
      <w:r w:rsidRPr="0094595F">
        <w:rPr>
          <w:lang w:val="en-US"/>
        </w:rPr>
        <w:t xml:space="preserve"> of cost sharing expenses with the holdings (BB </w:t>
      </w:r>
      <w:proofErr w:type="spellStart"/>
      <w:r w:rsidRPr="0094595F">
        <w:rPr>
          <w:lang w:val="en-US"/>
        </w:rPr>
        <w:t>Seguridade</w:t>
      </w:r>
      <w:proofErr w:type="spellEnd"/>
      <w:r w:rsidRPr="0094595F">
        <w:rPr>
          <w:lang w:val="en-US"/>
        </w:rPr>
        <w:t xml:space="preserve"> and BB </w:t>
      </w:r>
      <w:proofErr w:type="spellStart"/>
      <w:r w:rsidRPr="0094595F">
        <w:rPr>
          <w:lang w:val="en-US"/>
        </w:rPr>
        <w:t>Seguros</w:t>
      </w:r>
      <w:proofErr w:type="spellEnd"/>
      <w:proofErr w:type="gramStart"/>
      <w:r w:rsidRPr="0094595F">
        <w:rPr>
          <w:lang w:val="en-US"/>
        </w:rPr>
        <w:t>);</w:t>
      </w:r>
      <w:proofErr w:type="gramEnd"/>
    </w:p>
    <w:p w14:paraId="663AA2A0" w14:textId="77777777" w:rsidR="00527E46" w:rsidRPr="0094595F" w:rsidRDefault="00527E46" w:rsidP="00527E46">
      <w:pPr>
        <w:pStyle w:val="01-Textonormal"/>
        <w:numPr>
          <w:ilvl w:val="0"/>
          <w:numId w:val="55"/>
        </w:numPr>
        <w:rPr>
          <w:lang w:val="en-US"/>
        </w:rPr>
      </w:pPr>
      <w:r w:rsidRPr="0094595F">
        <w:rPr>
          <w:lang w:val="en-US"/>
        </w:rPr>
        <w:t>increase in the "other operating expenses" line, due to the higher provision for contingencies to address new demands and reclassification of the probability of loss of existing processes; and</w:t>
      </w:r>
    </w:p>
    <w:p w14:paraId="727DC5CA" w14:textId="77777777" w:rsidR="00527E46" w:rsidRPr="0094595F" w:rsidRDefault="00527E46" w:rsidP="00527E46">
      <w:pPr>
        <w:pStyle w:val="01-Textonormal"/>
        <w:numPr>
          <w:ilvl w:val="0"/>
          <w:numId w:val="55"/>
        </w:numPr>
        <w:rPr>
          <w:rFonts w:cs="Arial"/>
          <w:lang w:val="en-US"/>
        </w:rPr>
      </w:pPr>
      <w:r w:rsidRPr="0094595F">
        <w:rPr>
          <w:lang w:val="en-US"/>
        </w:rPr>
        <w:t>increase in tax expenses on financial revenues, due to the expansion of the average balance of financial investments.</w:t>
      </w:r>
    </w:p>
    <w:p w14:paraId="5E19C546" w14:textId="77777777" w:rsidR="00527E46" w:rsidRDefault="00527E46" w:rsidP="00527E46">
      <w:pPr>
        <w:pStyle w:val="01-Textonormal"/>
        <w:rPr>
          <w:lang w:val="en-US"/>
        </w:rPr>
      </w:pPr>
      <w:r w:rsidRPr="0094595F">
        <w:rPr>
          <w:lang w:val="en-US"/>
        </w:rPr>
        <w:t xml:space="preserve"> On the other hand, the above effects were partially offset by the improvement in the equity income of </w:t>
      </w:r>
      <w:proofErr w:type="spellStart"/>
      <w:r w:rsidRPr="0094595F">
        <w:rPr>
          <w:lang w:val="en-US"/>
        </w:rPr>
        <w:t>Ciclic</w:t>
      </w:r>
      <w:proofErr w:type="spellEnd"/>
      <w:r w:rsidRPr="0094595F">
        <w:rPr>
          <w:lang w:val="en-US"/>
        </w:rPr>
        <w:t>.</w:t>
      </w:r>
    </w:p>
    <w:p w14:paraId="1DB2080A" w14:textId="77777777" w:rsidR="00527E46" w:rsidRPr="0094595F" w:rsidRDefault="00527E46" w:rsidP="00527E46">
      <w:pPr>
        <w:pStyle w:val="01-Textonormal"/>
        <w:rPr>
          <w:rFonts w:cs="Arial"/>
          <w:lang w:val="en-US"/>
        </w:rPr>
      </w:pPr>
    </w:p>
    <w:p w14:paraId="51EB39E7" w14:textId="77777777" w:rsidR="00527E46" w:rsidRPr="00E55A3D" w:rsidRDefault="00527E46" w:rsidP="00C858CB">
      <w:pPr>
        <w:pStyle w:val="01-TtulodeNota"/>
        <w:pageBreakBefore/>
        <w:numPr>
          <w:ilvl w:val="0"/>
          <w:numId w:val="53"/>
        </w:numPr>
        <w:ind w:left="357" w:hanging="357"/>
        <w:rPr>
          <w:color w:val="1F3864" w:themeColor="accent1" w:themeShade="80"/>
          <w:lang w:val="en-US"/>
        </w:rPr>
      </w:pPr>
      <w:r>
        <w:rPr>
          <w:color w:val="1F3864" w:themeColor="accent1" w:themeShade="80"/>
          <w:lang w:val="en-US"/>
        </w:rPr>
        <w:lastRenderedPageBreak/>
        <w:t>SHARES PERFORMANCE AND MARKET RELATIONSHIP</w:t>
      </w:r>
    </w:p>
    <w:p w14:paraId="48193DB1" w14:textId="77777777" w:rsidR="00527E46" w:rsidRPr="00BC754A" w:rsidRDefault="00527E46" w:rsidP="00527E46">
      <w:pPr>
        <w:pStyle w:val="05-Textonormal"/>
        <w:rPr>
          <w:rFonts w:cs="Arial"/>
          <w:lang w:val="en-US"/>
        </w:rPr>
      </w:pPr>
      <w:r w:rsidRPr="0022722E">
        <w:rPr>
          <w:rFonts w:cs="Arial"/>
          <w:lang w:val="en-US"/>
        </w:rPr>
        <w:t xml:space="preserve">BB </w:t>
      </w:r>
      <w:proofErr w:type="spellStart"/>
      <w:r w:rsidRPr="0022722E">
        <w:rPr>
          <w:rFonts w:cs="Arial"/>
          <w:lang w:val="en-US"/>
        </w:rPr>
        <w:t>Seguridade</w:t>
      </w:r>
      <w:proofErr w:type="spellEnd"/>
      <w:r w:rsidRPr="0022722E">
        <w:rPr>
          <w:rFonts w:cs="Arial"/>
          <w:lang w:val="en-US"/>
        </w:rPr>
        <w:t xml:space="preserve"> shares, traded on B3 – </w:t>
      </w:r>
      <w:proofErr w:type="spellStart"/>
      <w:r w:rsidRPr="0022722E">
        <w:rPr>
          <w:rFonts w:cs="Arial"/>
          <w:lang w:val="en-US"/>
        </w:rPr>
        <w:t>Brasil</w:t>
      </w:r>
      <w:proofErr w:type="spellEnd"/>
      <w:r w:rsidRPr="0022722E">
        <w:rPr>
          <w:rFonts w:cs="Arial"/>
          <w:lang w:val="en-US"/>
        </w:rPr>
        <w:t xml:space="preserve">, Bolsa, </w:t>
      </w:r>
      <w:proofErr w:type="spellStart"/>
      <w:r w:rsidRPr="0022722E">
        <w:rPr>
          <w:rFonts w:cs="Arial"/>
          <w:lang w:val="en-US"/>
        </w:rPr>
        <w:t>Balcão</w:t>
      </w:r>
      <w:proofErr w:type="spellEnd"/>
      <w:r w:rsidRPr="0022722E">
        <w:rPr>
          <w:rFonts w:cs="Arial"/>
          <w:lang w:val="en-US"/>
        </w:rPr>
        <w:t xml:space="preserve"> (“B3”) under the ticker BBSE3, closed the year at R$</w:t>
      </w:r>
      <w:r>
        <w:rPr>
          <w:rFonts w:cs="Arial"/>
          <w:lang w:val="en-US"/>
        </w:rPr>
        <w:t>36,18</w:t>
      </w:r>
      <w:r w:rsidRPr="0022722E">
        <w:rPr>
          <w:rFonts w:cs="Arial"/>
          <w:lang w:val="en-US"/>
        </w:rPr>
        <w:t xml:space="preserve"> with a </w:t>
      </w:r>
      <w:r>
        <w:rPr>
          <w:rFonts w:cs="Arial"/>
          <w:lang w:val="en-US"/>
        </w:rPr>
        <w:t>15.9</w:t>
      </w:r>
      <w:r w:rsidRPr="0022722E">
        <w:rPr>
          <w:rFonts w:cs="Arial"/>
          <w:lang w:val="en-US"/>
        </w:rPr>
        <w:t>% appreciation YTD</w:t>
      </w:r>
      <w:r>
        <w:rPr>
          <w:rFonts w:cs="Arial"/>
          <w:lang w:val="en-US"/>
        </w:rPr>
        <w:t xml:space="preserve">. </w:t>
      </w:r>
      <w:r w:rsidRPr="0022722E">
        <w:rPr>
          <w:rFonts w:cs="Arial"/>
          <w:lang w:val="en-US"/>
        </w:rPr>
        <w:t xml:space="preserve">Based on the year-end </w:t>
      </w:r>
      <w:r>
        <w:rPr>
          <w:rFonts w:cs="Arial"/>
          <w:lang w:val="en-US"/>
        </w:rPr>
        <w:t>price</w:t>
      </w:r>
      <w:r w:rsidRPr="0022722E">
        <w:rPr>
          <w:rFonts w:cs="Arial"/>
          <w:lang w:val="en-US"/>
        </w:rPr>
        <w:t xml:space="preserve">, the market value of BB </w:t>
      </w:r>
      <w:proofErr w:type="spellStart"/>
      <w:r w:rsidRPr="0022722E">
        <w:rPr>
          <w:rFonts w:cs="Arial"/>
          <w:lang w:val="en-US"/>
        </w:rPr>
        <w:t>Seguridade</w:t>
      </w:r>
      <w:proofErr w:type="spellEnd"/>
      <w:r w:rsidRPr="0022722E">
        <w:rPr>
          <w:rFonts w:cs="Arial"/>
          <w:lang w:val="en-US"/>
        </w:rPr>
        <w:t xml:space="preserve"> reached R$</w:t>
      </w:r>
      <w:r>
        <w:rPr>
          <w:rFonts w:cs="Arial"/>
          <w:lang w:val="en-US"/>
        </w:rPr>
        <w:t>72.4</w:t>
      </w:r>
      <w:r w:rsidRPr="0022722E">
        <w:rPr>
          <w:rFonts w:cs="Arial"/>
          <w:lang w:val="en-US"/>
        </w:rPr>
        <w:t xml:space="preserve"> billion, positioning the Company as the 1</w:t>
      </w:r>
      <w:r>
        <w:rPr>
          <w:rFonts w:cs="Arial"/>
          <w:lang w:val="en-US"/>
        </w:rPr>
        <w:t>5</w:t>
      </w:r>
      <w:r w:rsidRPr="0022722E">
        <w:rPr>
          <w:rFonts w:cs="Arial"/>
          <w:lang w:val="en-US"/>
        </w:rPr>
        <w:t xml:space="preserve">th largest company listed on the Brazilian stock exchange according to the market value </w:t>
      </w:r>
      <w:r>
        <w:rPr>
          <w:rFonts w:cs="Arial"/>
          <w:lang w:val="en-US"/>
        </w:rPr>
        <w:t>metrics.</w:t>
      </w:r>
      <w:r w:rsidRPr="0022722E">
        <w:rPr>
          <w:rFonts w:cs="Arial"/>
          <w:lang w:val="en-US"/>
        </w:rPr>
        <w:t xml:space="preserve"> In 202</w:t>
      </w:r>
      <w:r>
        <w:rPr>
          <w:rFonts w:cs="Arial"/>
          <w:lang w:val="en-US"/>
        </w:rPr>
        <w:t>4</w:t>
      </w:r>
      <w:r w:rsidRPr="0022722E">
        <w:rPr>
          <w:rFonts w:cs="Arial"/>
          <w:lang w:val="en-US"/>
        </w:rPr>
        <w:t>, the average daily trading volume of the Company's shares was R$1</w:t>
      </w:r>
      <w:r>
        <w:rPr>
          <w:rFonts w:cs="Arial"/>
          <w:lang w:val="en-US"/>
        </w:rPr>
        <w:t>58</w:t>
      </w:r>
      <w:r w:rsidRPr="0022722E">
        <w:rPr>
          <w:rFonts w:cs="Arial"/>
          <w:lang w:val="en-US"/>
        </w:rPr>
        <w:t xml:space="preserve"> million</w:t>
      </w:r>
      <w:r>
        <w:rPr>
          <w:rFonts w:cs="Arial"/>
          <w:lang w:val="en-US"/>
        </w:rPr>
        <w:t>.</w:t>
      </w:r>
    </w:p>
    <w:p w14:paraId="0B6082ED" w14:textId="77777777" w:rsidR="00527E46" w:rsidRPr="00490E82" w:rsidRDefault="00527E46" w:rsidP="00527E46">
      <w:pPr>
        <w:pStyle w:val="05-Textonormal"/>
        <w:rPr>
          <w:rFonts w:cs="Arial"/>
          <w:lang w:val="en-US"/>
        </w:rPr>
      </w:pPr>
      <w:r w:rsidRPr="00490E82">
        <w:rPr>
          <w:rFonts w:cs="Arial"/>
          <w:lang w:val="en-US"/>
        </w:rPr>
        <w:t xml:space="preserve">BB </w:t>
      </w:r>
      <w:proofErr w:type="spellStart"/>
      <w:r w:rsidRPr="00490E82">
        <w:rPr>
          <w:rFonts w:cs="Arial"/>
          <w:lang w:val="en-US"/>
        </w:rPr>
        <w:t>Seguridade's</w:t>
      </w:r>
      <w:proofErr w:type="spellEnd"/>
      <w:r w:rsidRPr="00490E82">
        <w:rPr>
          <w:rFonts w:cs="Arial"/>
          <w:lang w:val="en-US"/>
        </w:rPr>
        <w:t xml:space="preserve"> shares closed the fiscal year integrating the theoretical portfolios of Ibovespa, </w:t>
      </w:r>
      <w:proofErr w:type="spellStart"/>
      <w:r w:rsidRPr="00490E82">
        <w:rPr>
          <w:rFonts w:cs="Arial"/>
          <w:lang w:val="en-US"/>
        </w:rPr>
        <w:t>IBrX</w:t>
      </w:r>
      <w:proofErr w:type="spellEnd"/>
      <w:r w:rsidRPr="00490E82">
        <w:rPr>
          <w:rFonts w:cs="Arial"/>
          <w:lang w:val="en-US"/>
        </w:rPr>
        <w:t xml:space="preserve"> 50, </w:t>
      </w:r>
      <w:proofErr w:type="spellStart"/>
      <w:r w:rsidRPr="00490E82">
        <w:rPr>
          <w:rFonts w:cs="Arial"/>
          <w:lang w:val="en-US"/>
        </w:rPr>
        <w:t>IBrX</w:t>
      </w:r>
      <w:proofErr w:type="spellEnd"/>
      <w:r w:rsidRPr="00490E82">
        <w:rPr>
          <w:rFonts w:cs="Arial"/>
          <w:lang w:val="en-US"/>
        </w:rPr>
        <w:t xml:space="preserve"> 100, </w:t>
      </w:r>
      <w:proofErr w:type="spellStart"/>
      <w:r w:rsidRPr="00490E82">
        <w:rPr>
          <w:rFonts w:cs="Arial"/>
          <w:lang w:val="en-US"/>
        </w:rPr>
        <w:t>IBrA</w:t>
      </w:r>
      <w:proofErr w:type="spellEnd"/>
      <w:r w:rsidRPr="00490E82">
        <w:rPr>
          <w:rFonts w:cs="Arial"/>
          <w:lang w:val="en-US"/>
        </w:rPr>
        <w:t xml:space="preserve">, BM&amp;FBOVESPA Financial Index (IFNC), </w:t>
      </w:r>
      <w:r w:rsidRPr="00490E82">
        <w:rPr>
          <w:rStyle w:val="nfase"/>
          <w:rFonts w:eastAsia="Calibri" w:cs="Arial"/>
          <w:bCs/>
          <w:color w:val="auto"/>
          <w:lang w:val="en-US"/>
        </w:rPr>
        <w:t>Differentiated Corporate Governance Stock Index (IGC)</w:t>
      </w:r>
      <w:r w:rsidRPr="00490E82">
        <w:rPr>
          <w:rFonts w:cs="Arial"/>
          <w:lang w:val="en-US"/>
        </w:rPr>
        <w:t xml:space="preserve">, Trade Corporate Governance Index (IGCT), Stock Index with Corporate Governance – Novo Mercado (IGC-NM), Differentiated Tag Along Stock Index (ITAG), </w:t>
      </w:r>
      <w:proofErr w:type="spellStart"/>
      <w:r w:rsidRPr="00490E82">
        <w:rPr>
          <w:rFonts w:cs="Arial"/>
          <w:lang w:val="en-US"/>
        </w:rPr>
        <w:t>BM&amp;FBovespa</w:t>
      </w:r>
      <w:proofErr w:type="spellEnd"/>
      <w:r w:rsidRPr="00490E82">
        <w:rPr>
          <w:rFonts w:cs="Arial"/>
          <w:lang w:val="en-US"/>
        </w:rPr>
        <w:t xml:space="preserve"> Dividends Index (IDIV), </w:t>
      </w:r>
      <w:proofErr w:type="spellStart"/>
      <w:r w:rsidRPr="00490E82">
        <w:rPr>
          <w:rFonts w:cs="Arial"/>
          <w:lang w:val="en-US"/>
        </w:rPr>
        <w:t>MidLarge</w:t>
      </w:r>
      <w:proofErr w:type="spellEnd"/>
      <w:r w:rsidRPr="00490E82">
        <w:rPr>
          <w:rFonts w:cs="Arial"/>
          <w:lang w:val="en-US"/>
        </w:rPr>
        <w:t xml:space="preserve"> Cap Index (MLCX), </w:t>
      </w:r>
      <w:proofErr w:type="spellStart"/>
      <w:r w:rsidRPr="00490E82">
        <w:rPr>
          <w:rFonts w:cs="Arial"/>
          <w:lang w:val="en-US"/>
        </w:rPr>
        <w:t>BM&amp;FBovespa</w:t>
      </w:r>
      <w:proofErr w:type="spellEnd"/>
      <w:r w:rsidRPr="00490E82">
        <w:rPr>
          <w:rFonts w:cs="Arial"/>
          <w:lang w:val="en-US"/>
        </w:rPr>
        <w:t xml:space="preserve"> Value Index (IVBX2), B3 Diversity Index (IDIVERSA B3), MSCI Brazil Index and FTSE4Good Index.</w:t>
      </w:r>
    </w:p>
    <w:p w14:paraId="108B667D" w14:textId="77777777" w:rsidR="00527E46" w:rsidRPr="00BC754A" w:rsidRDefault="00527E46" w:rsidP="00527E46">
      <w:pPr>
        <w:pStyle w:val="05-Textonormal"/>
        <w:rPr>
          <w:rFonts w:cs="Arial"/>
          <w:lang w:val="en-US"/>
        </w:rPr>
      </w:pPr>
      <w:r w:rsidRPr="00DC3779">
        <w:rPr>
          <w:rFonts w:cs="Arial"/>
          <w:lang w:val="en-US"/>
        </w:rPr>
        <w:t xml:space="preserve">Since March 2014, BB </w:t>
      </w:r>
      <w:proofErr w:type="spellStart"/>
      <w:r w:rsidRPr="00DC3779">
        <w:rPr>
          <w:rFonts w:cs="Arial"/>
          <w:lang w:val="en-US"/>
        </w:rPr>
        <w:t>Seguridade</w:t>
      </w:r>
      <w:proofErr w:type="spellEnd"/>
      <w:r w:rsidRPr="00DC3779">
        <w:rPr>
          <w:rFonts w:cs="Arial"/>
          <w:lang w:val="en-US"/>
        </w:rPr>
        <w:t xml:space="preserve"> has maintained a Level I </w:t>
      </w:r>
      <w:r w:rsidRPr="0041424D">
        <w:rPr>
          <w:rFonts w:cs="Arial"/>
          <w:iCs/>
          <w:lang w:val="en-US"/>
        </w:rPr>
        <w:t xml:space="preserve">American Depositary Receipts </w:t>
      </w:r>
      <w:r w:rsidRPr="00DC3779">
        <w:rPr>
          <w:rFonts w:cs="Arial"/>
          <w:lang w:val="en-US"/>
        </w:rPr>
        <w:t>(“ADR”) Program</w:t>
      </w:r>
      <w:r>
        <w:rPr>
          <w:rFonts w:cs="Arial"/>
          <w:lang w:val="en-US"/>
        </w:rPr>
        <w:t xml:space="preserve">. </w:t>
      </w:r>
      <w:r w:rsidRPr="0041424D">
        <w:rPr>
          <w:rFonts w:cs="Arial"/>
          <w:lang w:val="en-US"/>
        </w:rPr>
        <w:t>In October 2024, the financial institution managing the program was changed from Citibank to JP Morgan. The ADRs are backed by the company's common shares (ON) at a ratio of 1 ADR to 1 ON and are traded on the U.S. over-the-counter market. At the end of the fiscal year, the program had over 14.5 million ADRs issued, priced at $5.87 per depositary receipt.</w:t>
      </w:r>
    </w:p>
    <w:p w14:paraId="4EE77937" w14:textId="77777777" w:rsidR="00527E46" w:rsidRDefault="00527E46" w:rsidP="00527E46">
      <w:pPr>
        <w:pStyle w:val="05-Textonormal"/>
        <w:rPr>
          <w:rFonts w:cs="Arial"/>
          <w:lang w:val="en-US"/>
        </w:rPr>
      </w:pPr>
      <w:r w:rsidRPr="00FB2CA7">
        <w:rPr>
          <w:rFonts w:cs="Arial"/>
          <w:lang w:val="en-US"/>
        </w:rPr>
        <w:t xml:space="preserve">Below, we present the main indicators for the performance of BB </w:t>
      </w:r>
      <w:proofErr w:type="spellStart"/>
      <w:r w:rsidRPr="00FB2CA7">
        <w:rPr>
          <w:rFonts w:cs="Arial"/>
          <w:lang w:val="en-US"/>
        </w:rPr>
        <w:t>Seguridade's</w:t>
      </w:r>
      <w:proofErr w:type="spellEnd"/>
      <w:r w:rsidRPr="00FB2CA7">
        <w:rPr>
          <w:rFonts w:cs="Arial"/>
          <w:lang w:val="en-US"/>
        </w:rPr>
        <w:t xml:space="preserve"> shares in the last two fiscal years:</w:t>
      </w:r>
    </w:p>
    <w:p w14:paraId="2122087A" w14:textId="3043D497" w:rsidR="00527E46" w:rsidRPr="00860655" w:rsidRDefault="00527E46" w:rsidP="00527E46">
      <w:pPr>
        <w:pStyle w:val="01-TtulodeNota"/>
        <w:rPr>
          <w:b w:val="0"/>
          <w:sz w:val="14"/>
        </w:rPr>
      </w:pPr>
      <w:proofErr w:type="spellStart"/>
      <w:r w:rsidRPr="00860655">
        <w:rPr>
          <w:rFonts w:cs="Arial"/>
          <w:b w:val="0"/>
          <w:sz w:val="14"/>
          <w:szCs w:val="14"/>
        </w:rPr>
        <w:t>Tab</w:t>
      </w:r>
      <w:r>
        <w:rPr>
          <w:rFonts w:cs="Arial"/>
          <w:b w:val="0"/>
          <w:sz w:val="14"/>
          <w:szCs w:val="14"/>
        </w:rPr>
        <w:t>le</w:t>
      </w:r>
      <w:proofErr w:type="spellEnd"/>
      <w:r w:rsidRPr="00860655">
        <w:rPr>
          <w:rFonts w:cs="Arial"/>
          <w:b w:val="0"/>
          <w:sz w:val="14"/>
          <w:szCs w:val="14"/>
        </w:rPr>
        <w:t xml:space="preserve"> </w:t>
      </w:r>
      <w:r w:rsidRPr="00860655">
        <w:rPr>
          <w:rFonts w:cs="Arial"/>
          <w:b w:val="0"/>
          <w:sz w:val="14"/>
          <w:szCs w:val="14"/>
        </w:rPr>
        <w:fldChar w:fldCharType="begin"/>
      </w:r>
      <w:r w:rsidRPr="00860655">
        <w:rPr>
          <w:rFonts w:cs="Arial"/>
          <w:b w:val="0"/>
          <w:sz w:val="14"/>
          <w:szCs w:val="14"/>
        </w:rPr>
        <w:instrText xml:space="preserve"> SEQ Tabela \* ARABIC </w:instrText>
      </w:r>
      <w:r w:rsidRPr="00860655">
        <w:rPr>
          <w:rFonts w:cs="Arial"/>
          <w:b w:val="0"/>
          <w:sz w:val="14"/>
          <w:szCs w:val="14"/>
        </w:rPr>
        <w:fldChar w:fldCharType="separate"/>
      </w:r>
      <w:r w:rsidR="00D05F8E">
        <w:rPr>
          <w:rFonts w:cs="Arial"/>
          <w:b w:val="0"/>
          <w:noProof/>
          <w:sz w:val="14"/>
          <w:szCs w:val="14"/>
        </w:rPr>
        <w:t>2</w:t>
      </w:r>
      <w:r w:rsidRPr="00860655">
        <w:rPr>
          <w:rFonts w:cs="Arial"/>
          <w:b w:val="0"/>
          <w:noProof/>
          <w:sz w:val="14"/>
          <w:szCs w:val="14"/>
        </w:rPr>
        <w:fldChar w:fldCharType="end"/>
      </w:r>
      <w:r w:rsidRPr="00860655">
        <w:rPr>
          <w:b w:val="0"/>
          <w:sz w:val="14"/>
        </w:rPr>
        <w:t xml:space="preserve"> – </w:t>
      </w:r>
      <w:proofErr w:type="spellStart"/>
      <w:r>
        <w:rPr>
          <w:b w:val="0"/>
          <w:sz w:val="14"/>
        </w:rPr>
        <w:t>Share’s</w:t>
      </w:r>
      <w:proofErr w:type="spellEnd"/>
      <w:r>
        <w:rPr>
          <w:b w:val="0"/>
          <w:sz w:val="14"/>
        </w:rPr>
        <w:t xml:space="preserve"> performance</w:t>
      </w:r>
    </w:p>
    <w:tbl>
      <w:tblPr>
        <w:tblStyle w:val="TabeladeLista6Colorida-nfase5"/>
        <w:tblW w:w="9639" w:type="dxa"/>
        <w:tblLook w:val="04A0" w:firstRow="1" w:lastRow="0" w:firstColumn="1" w:lastColumn="0" w:noHBand="0" w:noVBand="1"/>
      </w:tblPr>
      <w:tblGrid>
        <w:gridCol w:w="3828"/>
        <w:gridCol w:w="281"/>
        <w:gridCol w:w="1843"/>
        <w:gridCol w:w="1843"/>
        <w:gridCol w:w="1844"/>
      </w:tblGrid>
      <w:tr w:rsidR="00527E46" w:rsidRPr="00860655" w14:paraId="30F75FCC" w14:textId="77777777">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9CC2E5" w:themeColor="accent5" w:themeTint="99"/>
              <w:right w:val="nil"/>
            </w:tcBorders>
            <w:shd w:val="clear" w:color="auto" w:fill="auto"/>
            <w:vAlign w:val="center"/>
          </w:tcPr>
          <w:p w14:paraId="31ABED77" w14:textId="77777777" w:rsidR="00527E46" w:rsidRPr="00860655" w:rsidRDefault="00527E46">
            <w:pPr>
              <w:pStyle w:val="08-Tabelageral"/>
              <w:jc w:val="left"/>
              <w:rPr>
                <w:rFonts w:cs="Arial"/>
                <w:bCs w:val="0"/>
                <w:szCs w:val="14"/>
                <w:lang w:eastAsia="en-US"/>
              </w:rPr>
            </w:pPr>
          </w:p>
        </w:tc>
        <w:tc>
          <w:tcPr>
            <w:tcW w:w="281" w:type="dxa"/>
            <w:tcBorders>
              <w:top w:val="nil"/>
              <w:left w:val="nil"/>
              <w:bottom w:val="single" w:sz="2" w:space="0" w:color="9CC2E5" w:themeColor="accent5" w:themeTint="99"/>
              <w:right w:val="nil"/>
            </w:tcBorders>
            <w:shd w:val="clear" w:color="auto" w:fill="auto"/>
            <w:vAlign w:val="center"/>
          </w:tcPr>
          <w:p w14:paraId="2BC1AA1A" w14:textId="77777777" w:rsidR="00527E46" w:rsidRPr="00860655" w:rsidRDefault="00527E4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843" w:type="dxa"/>
            <w:tcBorders>
              <w:top w:val="nil"/>
              <w:left w:val="nil"/>
              <w:bottom w:val="single" w:sz="2" w:space="0" w:color="9CC2E5" w:themeColor="accent5" w:themeTint="99"/>
              <w:right w:val="nil"/>
            </w:tcBorders>
            <w:shd w:val="clear" w:color="auto" w:fill="auto"/>
            <w:vAlign w:val="center"/>
          </w:tcPr>
          <w:p w14:paraId="3FA75FF1" w14:textId="77777777" w:rsidR="00527E46" w:rsidRPr="00860655" w:rsidRDefault="00527E4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843" w:type="dxa"/>
            <w:tcBorders>
              <w:top w:val="nil"/>
              <w:left w:val="nil"/>
              <w:bottom w:val="single" w:sz="2" w:space="0" w:color="9CC2E5" w:themeColor="accent5" w:themeTint="99"/>
              <w:right w:val="nil"/>
            </w:tcBorders>
            <w:shd w:val="clear" w:color="auto" w:fill="auto"/>
            <w:vAlign w:val="center"/>
          </w:tcPr>
          <w:p w14:paraId="131878BF" w14:textId="77777777" w:rsidR="00527E46" w:rsidRPr="00860655" w:rsidRDefault="00527E4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844" w:type="dxa"/>
            <w:tcBorders>
              <w:top w:val="nil"/>
              <w:left w:val="nil"/>
              <w:bottom w:val="single" w:sz="2" w:space="0" w:color="9CC2E5" w:themeColor="accent5" w:themeTint="99"/>
              <w:right w:val="nil"/>
            </w:tcBorders>
            <w:shd w:val="clear" w:color="auto" w:fill="auto"/>
            <w:vAlign w:val="center"/>
          </w:tcPr>
          <w:p w14:paraId="2CDCE2D9" w14:textId="77777777" w:rsidR="00527E46" w:rsidRPr="00860655" w:rsidRDefault="00527E46">
            <w:pPr>
              <w:pStyle w:val="08-Tabelageral"/>
              <w:cnfStyle w:val="100000000000" w:firstRow="1" w:lastRow="0" w:firstColumn="0" w:lastColumn="0" w:oddVBand="0" w:evenVBand="0" w:oddHBand="0" w:evenHBand="0" w:firstRowFirstColumn="0" w:firstRowLastColumn="0" w:lastRowFirstColumn="0" w:lastRowLastColumn="0"/>
              <w:rPr>
                <w:rFonts w:cs="Arial"/>
                <w:b w:val="0"/>
                <w:lang w:eastAsia="en-US"/>
              </w:rPr>
            </w:pPr>
          </w:p>
        </w:tc>
      </w:tr>
      <w:tr w:rsidR="00527E46" w:rsidRPr="00860655" w14:paraId="287C5DC4" w14:textId="77777777">
        <w:trPr>
          <w:cnfStyle w:val="000000100000" w:firstRow="0" w:lastRow="0" w:firstColumn="0" w:lastColumn="0" w:oddVBand="0" w:evenVBand="0" w:oddHBand="1" w:evenHBand="0" w:firstRowFirstColumn="0" w:firstRowLastColumn="0" w:lastRowFirstColumn="0" w:lastRowLastColumn="0"/>
          <w:trHeight w:hRule="exact" w:val="517"/>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9CC2E5" w:themeColor="accent5" w:themeTint="99"/>
              <w:left w:val="nil"/>
              <w:bottom w:val="single" w:sz="4" w:space="0" w:color="9CC2E5" w:themeColor="accent5" w:themeTint="99"/>
              <w:right w:val="nil"/>
            </w:tcBorders>
            <w:shd w:val="clear" w:color="auto" w:fill="auto"/>
            <w:vAlign w:val="center"/>
          </w:tcPr>
          <w:p w14:paraId="1D22DB18" w14:textId="77777777" w:rsidR="00527E46" w:rsidRPr="00860655" w:rsidRDefault="00527E46">
            <w:pPr>
              <w:pStyle w:val="08-Tabelageral"/>
              <w:jc w:val="left"/>
              <w:rPr>
                <w:rFonts w:cs="Arial"/>
                <w:b w:val="0"/>
                <w:snapToGrid w:val="0"/>
                <w:lang w:eastAsia="en-US"/>
              </w:rPr>
            </w:pPr>
          </w:p>
        </w:tc>
        <w:tc>
          <w:tcPr>
            <w:tcW w:w="281" w:type="dxa"/>
            <w:tcBorders>
              <w:top w:val="single" w:sz="2" w:space="0" w:color="9CC2E5" w:themeColor="accent5" w:themeTint="99"/>
              <w:left w:val="nil"/>
              <w:bottom w:val="single" w:sz="4" w:space="0" w:color="9CC2E5" w:themeColor="accent5" w:themeTint="99"/>
              <w:right w:val="nil"/>
            </w:tcBorders>
            <w:shd w:val="clear" w:color="auto" w:fill="auto"/>
            <w:vAlign w:val="center"/>
          </w:tcPr>
          <w:p w14:paraId="5D3BF438" w14:textId="77777777" w:rsidR="00527E46" w:rsidRPr="00860655"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Cs/>
                <w:color w:val="FF0000"/>
                <w:szCs w:val="14"/>
                <w:lang w:eastAsia="en-US"/>
              </w:rPr>
            </w:pPr>
          </w:p>
        </w:tc>
        <w:tc>
          <w:tcPr>
            <w:tcW w:w="1843" w:type="dxa"/>
            <w:tcBorders>
              <w:top w:val="single" w:sz="2" w:space="0" w:color="9CC2E5" w:themeColor="accent5" w:themeTint="99"/>
              <w:left w:val="nil"/>
              <w:bottom w:val="single" w:sz="4" w:space="0" w:color="9CC2E5" w:themeColor="accent5" w:themeTint="99"/>
              <w:right w:val="nil"/>
            </w:tcBorders>
            <w:shd w:val="clear" w:color="auto" w:fill="auto"/>
            <w:hideMark/>
          </w:tcPr>
          <w:p w14:paraId="6014F3A4" w14:textId="77777777" w:rsidR="00527E46" w:rsidRPr="0041424D"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41424D">
              <w:rPr>
                <w:b/>
                <w:bCs/>
              </w:rPr>
              <w:t>Unit</w:t>
            </w:r>
          </w:p>
        </w:tc>
        <w:tc>
          <w:tcPr>
            <w:tcW w:w="1843" w:type="dxa"/>
            <w:tcBorders>
              <w:top w:val="single" w:sz="2" w:space="0" w:color="9CC2E5" w:themeColor="accent5" w:themeTint="99"/>
              <w:left w:val="nil"/>
              <w:bottom w:val="single" w:sz="4" w:space="0" w:color="9CC2E5" w:themeColor="accent5" w:themeTint="99"/>
              <w:right w:val="nil"/>
            </w:tcBorders>
            <w:shd w:val="clear" w:color="auto" w:fill="auto"/>
            <w:hideMark/>
          </w:tcPr>
          <w:p w14:paraId="1ED3B89E" w14:textId="77777777" w:rsidR="00527E46" w:rsidRPr="0041424D"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41424D">
              <w:rPr>
                <w:b/>
                <w:bCs/>
              </w:rPr>
              <w:t>FY2024</w:t>
            </w:r>
          </w:p>
        </w:tc>
        <w:tc>
          <w:tcPr>
            <w:tcW w:w="1844" w:type="dxa"/>
            <w:tcBorders>
              <w:top w:val="single" w:sz="2" w:space="0" w:color="9CC2E5" w:themeColor="accent5" w:themeTint="99"/>
              <w:left w:val="nil"/>
              <w:bottom w:val="single" w:sz="4" w:space="0" w:color="9CC2E5" w:themeColor="accent5" w:themeTint="99"/>
              <w:right w:val="nil"/>
            </w:tcBorders>
            <w:shd w:val="clear" w:color="auto" w:fill="auto"/>
            <w:hideMark/>
          </w:tcPr>
          <w:p w14:paraId="3B5E374D" w14:textId="77777777" w:rsidR="00527E46" w:rsidRPr="0041424D" w:rsidRDefault="00527E46">
            <w:pPr>
              <w:pStyle w:val="08-Tabelageral"/>
              <w:cnfStyle w:val="000000100000" w:firstRow="0" w:lastRow="0" w:firstColumn="0" w:lastColumn="0" w:oddVBand="0" w:evenVBand="0" w:oddHBand="1" w:evenHBand="0" w:firstRowFirstColumn="0" w:firstRowLastColumn="0" w:lastRowFirstColumn="0" w:lastRowLastColumn="0"/>
              <w:rPr>
                <w:b/>
                <w:bCs/>
              </w:rPr>
            </w:pPr>
            <w:r w:rsidRPr="0041424D">
              <w:rPr>
                <w:b/>
                <w:bCs/>
              </w:rPr>
              <w:t>FY2023</w:t>
            </w:r>
          </w:p>
        </w:tc>
      </w:tr>
      <w:tr w:rsidR="00527E46" w:rsidRPr="00FA31E9" w14:paraId="73EEDF65"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4625E50B" w14:textId="77777777" w:rsidR="00527E46" w:rsidRPr="00575640" w:rsidRDefault="00527E46">
            <w:pPr>
              <w:pStyle w:val="08-Tabelageral"/>
              <w:jc w:val="left"/>
              <w:rPr>
                <w:rFonts w:cs="Arial"/>
                <w:b w:val="0"/>
                <w:bCs w:val="0"/>
                <w:snapToGrid w:val="0"/>
                <w:lang w:eastAsia="en-US"/>
              </w:rPr>
            </w:pPr>
            <w:proofErr w:type="spellStart"/>
            <w:r w:rsidRPr="00575640">
              <w:rPr>
                <w:b w:val="0"/>
                <w:bCs w:val="0"/>
              </w:rPr>
              <w:t>Earnings</w:t>
            </w:r>
            <w:proofErr w:type="spellEnd"/>
            <w:r w:rsidRPr="00575640">
              <w:rPr>
                <w:b w:val="0"/>
                <w:bCs w:val="0"/>
              </w:rPr>
              <w:t xml:space="preserve"> per </w:t>
            </w:r>
            <w:proofErr w:type="spellStart"/>
            <w:r w:rsidRPr="00575640">
              <w:rPr>
                <w:b w:val="0"/>
                <w:bCs w:val="0"/>
              </w:rPr>
              <w:t>share</w:t>
            </w:r>
            <w:proofErr w:type="spellEnd"/>
          </w:p>
        </w:tc>
        <w:tc>
          <w:tcPr>
            <w:tcW w:w="281" w:type="dxa"/>
            <w:tcBorders>
              <w:top w:val="nil"/>
              <w:left w:val="nil"/>
              <w:bottom w:val="nil"/>
              <w:right w:val="nil"/>
            </w:tcBorders>
            <w:shd w:val="clear" w:color="auto" w:fill="auto"/>
            <w:vAlign w:val="center"/>
          </w:tcPr>
          <w:p w14:paraId="36D0C3B8" w14:textId="77777777" w:rsidR="00527E46" w:rsidRPr="0086065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tcBorders>
              <w:top w:val="nil"/>
              <w:left w:val="nil"/>
              <w:bottom w:val="nil"/>
              <w:right w:val="nil"/>
            </w:tcBorders>
            <w:shd w:val="clear" w:color="auto" w:fill="auto"/>
            <w:hideMark/>
          </w:tcPr>
          <w:p w14:paraId="01F132D4" w14:textId="77777777" w:rsidR="00527E46" w:rsidRPr="00860655"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1A5CC9">
              <w:t>BRL</w:t>
            </w:r>
          </w:p>
        </w:tc>
        <w:tc>
          <w:tcPr>
            <w:tcW w:w="1843" w:type="dxa"/>
            <w:tcBorders>
              <w:top w:val="nil"/>
              <w:left w:val="nil"/>
              <w:bottom w:val="nil"/>
              <w:right w:val="nil"/>
            </w:tcBorders>
            <w:shd w:val="clear" w:color="auto" w:fill="auto"/>
            <w:hideMark/>
          </w:tcPr>
          <w:p w14:paraId="1D379F59" w14:textId="77777777" w:rsidR="00527E46" w:rsidRPr="004929A9"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4.35</w:t>
            </w:r>
          </w:p>
        </w:tc>
        <w:tc>
          <w:tcPr>
            <w:tcW w:w="1844" w:type="dxa"/>
            <w:tcBorders>
              <w:top w:val="nil"/>
              <w:left w:val="nil"/>
              <w:bottom w:val="nil"/>
              <w:right w:val="nil"/>
            </w:tcBorders>
            <w:shd w:val="clear" w:color="auto" w:fill="auto"/>
            <w:hideMark/>
          </w:tcPr>
          <w:p w14:paraId="79E8D2E0" w14:textId="77777777" w:rsidR="00527E46" w:rsidRPr="004929A9"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1A5CC9">
              <w:t>3</w:t>
            </w:r>
            <w:r>
              <w:t>.</w:t>
            </w:r>
            <w:r w:rsidRPr="001A5CC9">
              <w:t>97</w:t>
            </w:r>
          </w:p>
        </w:tc>
      </w:tr>
      <w:tr w:rsidR="00527E46" w:rsidRPr="00DC3779" w14:paraId="31025EC2"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2DFD27FE" w14:textId="77777777" w:rsidR="00527E46" w:rsidRPr="00575640" w:rsidRDefault="00527E46">
            <w:pPr>
              <w:pStyle w:val="08-Tabelageral"/>
              <w:jc w:val="left"/>
              <w:rPr>
                <w:rFonts w:cs="Arial"/>
                <w:b w:val="0"/>
                <w:bCs w:val="0"/>
                <w:snapToGrid w:val="0"/>
                <w:lang w:val="en-US" w:eastAsia="en-US"/>
              </w:rPr>
            </w:pPr>
            <w:r w:rsidRPr="00575640">
              <w:rPr>
                <w:b w:val="0"/>
                <w:bCs w:val="0"/>
              </w:rPr>
              <w:t xml:space="preserve">Book </w:t>
            </w:r>
            <w:proofErr w:type="spellStart"/>
            <w:r w:rsidRPr="00575640">
              <w:rPr>
                <w:b w:val="0"/>
                <w:bCs w:val="0"/>
              </w:rPr>
              <w:t>value</w:t>
            </w:r>
            <w:proofErr w:type="spellEnd"/>
            <w:r w:rsidRPr="00575640">
              <w:rPr>
                <w:b w:val="0"/>
                <w:bCs w:val="0"/>
              </w:rPr>
              <w:t xml:space="preserve"> per </w:t>
            </w:r>
            <w:proofErr w:type="spellStart"/>
            <w:r w:rsidRPr="00575640">
              <w:rPr>
                <w:b w:val="0"/>
                <w:bCs w:val="0"/>
              </w:rPr>
              <w:t>share</w:t>
            </w:r>
            <w:proofErr w:type="spellEnd"/>
          </w:p>
        </w:tc>
        <w:tc>
          <w:tcPr>
            <w:tcW w:w="281" w:type="dxa"/>
            <w:tcBorders>
              <w:top w:val="nil"/>
              <w:left w:val="nil"/>
              <w:bottom w:val="nil"/>
              <w:right w:val="nil"/>
            </w:tcBorders>
            <w:shd w:val="clear" w:color="auto" w:fill="auto"/>
            <w:vAlign w:val="center"/>
          </w:tcPr>
          <w:p w14:paraId="63F41051" w14:textId="77777777" w:rsidR="00527E46" w:rsidRPr="00575640"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lang w:val="en-US" w:eastAsia="en-US"/>
              </w:rPr>
            </w:pPr>
          </w:p>
        </w:tc>
        <w:tc>
          <w:tcPr>
            <w:tcW w:w="1843" w:type="dxa"/>
            <w:tcBorders>
              <w:top w:val="nil"/>
              <w:left w:val="nil"/>
              <w:bottom w:val="nil"/>
              <w:right w:val="nil"/>
            </w:tcBorders>
            <w:shd w:val="clear" w:color="auto" w:fill="auto"/>
            <w:hideMark/>
          </w:tcPr>
          <w:p w14:paraId="2522D37C" w14:textId="77777777" w:rsidR="00527E46" w:rsidRPr="00DC3779"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1A5CC9">
              <w:t>BRL</w:t>
            </w:r>
          </w:p>
        </w:tc>
        <w:tc>
          <w:tcPr>
            <w:tcW w:w="1843" w:type="dxa"/>
            <w:tcBorders>
              <w:top w:val="nil"/>
              <w:left w:val="nil"/>
              <w:bottom w:val="nil"/>
              <w:right w:val="nil"/>
            </w:tcBorders>
            <w:shd w:val="clear" w:color="auto" w:fill="auto"/>
            <w:hideMark/>
          </w:tcPr>
          <w:p w14:paraId="441810A4" w14:textId="77777777" w:rsidR="00527E46" w:rsidRPr="00F4280B"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4.85</w:t>
            </w:r>
          </w:p>
        </w:tc>
        <w:tc>
          <w:tcPr>
            <w:tcW w:w="1844" w:type="dxa"/>
            <w:tcBorders>
              <w:top w:val="nil"/>
              <w:left w:val="nil"/>
              <w:bottom w:val="nil"/>
              <w:right w:val="nil"/>
            </w:tcBorders>
            <w:shd w:val="clear" w:color="auto" w:fill="auto"/>
            <w:hideMark/>
          </w:tcPr>
          <w:p w14:paraId="6A434030" w14:textId="77777777" w:rsidR="00527E46" w:rsidRPr="00F4280B"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1A5CC9">
              <w:t>4</w:t>
            </w:r>
            <w:r>
              <w:t>.</w:t>
            </w:r>
            <w:r w:rsidRPr="001A5CC9">
              <w:t>91</w:t>
            </w:r>
          </w:p>
        </w:tc>
      </w:tr>
      <w:tr w:rsidR="00527E46" w:rsidRPr="00DC3779" w14:paraId="032C3A7E"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42FA12D7" w14:textId="77777777" w:rsidR="00527E46" w:rsidRPr="00575640" w:rsidRDefault="00527E46">
            <w:pPr>
              <w:pStyle w:val="08-Tabelageral"/>
              <w:jc w:val="left"/>
              <w:rPr>
                <w:rFonts w:cs="Arial"/>
                <w:b w:val="0"/>
                <w:bCs w:val="0"/>
                <w:snapToGrid w:val="0"/>
                <w:lang w:val="en-US" w:eastAsia="en-US"/>
              </w:rPr>
            </w:pPr>
            <w:r w:rsidRPr="00575640">
              <w:rPr>
                <w:b w:val="0"/>
                <w:bCs w:val="0"/>
                <w:lang w:val="en-US"/>
              </w:rPr>
              <w:t>Year-end price per share</w:t>
            </w:r>
          </w:p>
        </w:tc>
        <w:tc>
          <w:tcPr>
            <w:tcW w:w="281" w:type="dxa"/>
            <w:tcBorders>
              <w:top w:val="nil"/>
              <w:left w:val="nil"/>
              <w:bottom w:val="nil"/>
              <w:right w:val="nil"/>
            </w:tcBorders>
            <w:shd w:val="clear" w:color="auto" w:fill="auto"/>
            <w:vAlign w:val="center"/>
          </w:tcPr>
          <w:p w14:paraId="0EB19E32" w14:textId="77777777" w:rsidR="00527E46" w:rsidRPr="00575640"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val="en-US" w:eastAsia="en-US"/>
              </w:rPr>
            </w:pPr>
          </w:p>
        </w:tc>
        <w:tc>
          <w:tcPr>
            <w:tcW w:w="1843" w:type="dxa"/>
            <w:tcBorders>
              <w:top w:val="nil"/>
              <w:left w:val="nil"/>
              <w:bottom w:val="nil"/>
              <w:right w:val="nil"/>
            </w:tcBorders>
            <w:shd w:val="clear" w:color="auto" w:fill="auto"/>
            <w:hideMark/>
          </w:tcPr>
          <w:p w14:paraId="4F0EA0B5" w14:textId="77777777" w:rsidR="00527E46" w:rsidRPr="00DC3779"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1A5CC9">
              <w:t>BRL</w:t>
            </w:r>
          </w:p>
        </w:tc>
        <w:tc>
          <w:tcPr>
            <w:tcW w:w="1843" w:type="dxa"/>
            <w:tcBorders>
              <w:top w:val="nil"/>
              <w:left w:val="nil"/>
              <w:bottom w:val="nil"/>
              <w:right w:val="nil"/>
            </w:tcBorders>
            <w:shd w:val="clear" w:color="auto" w:fill="auto"/>
            <w:hideMark/>
          </w:tcPr>
          <w:p w14:paraId="7F381099" w14:textId="77777777" w:rsidR="00527E46" w:rsidRPr="00F4280B"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36.18</w:t>
            </w:r>
          </w:p>
        </w:tc>
        <w:tc>
          <w:tcPr>
            <w:tcW w:w="1844" w:type="dxa"/>
            <w:tcBorders>
              <w:top w:val="nil"/>
              <w:left w:val="nil"/>
              <w:bottom w:val="nil"/>
              <w:right w:val="nil"/>
            </w:tcBorders>
            <w:shd w:val="clear" w:color="auto" w:fill="auto"/>
            <w:hideMark/>
          </w:tcPr>
          <w:p w14:paraId="24E1BD69" w14:textId="77777777" w:rsidR="00527E46" w:rsidRPr="00F4280B"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1A5CC9">
              <w:t>33</w:t>
            </w:r>
            <w:r>
              <w:t>.</w:t>
            </w:r>
            <w:r w:rsidRPr="001A5CC9">
              <w:t>65</w:t>
            </w:r>
          </w:p>
        </w:tc>
      </w:tr>
      <w:tr w:rsidR="00527E46" w:rsidRPr="00DC3779" w14:paraId="12EAD3A8"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52CCA2FA" w14:textId="77777777" w:rsidR="00527E46" w:rsidRPr="00575640" w:rsidRDefault="00527E46">
            <w:pPr>
              <w:pStyle w:val="08-Tabelageral"/>
              <w:jc w:val="left"/>
              <w:rPr>
                <w:rFonts w:cs="Arial"/>
                <w:b w:val="0"/>
                <w:bCs w:val="0"/>
                <w:snapToGrid w:val="0"/>
                <w:lang w:eastAsia="en-US"/>
              </w:rPr>
            </w:pPr>
            <w:r w:rsidRPr="00575640">
              <w:rPr>
                <w:b w:val="0"/>
                <w:bCs w:val="0"/>
              </w:rPr>
              <w:t>Market cap</w:t>
            </w:r>
          </w:p>
        </w:tc>
        <w:tc>
          <w:tcPr>
            <w:tcW w:w="281" w:type="dxa"/>
            <w:tcBorders>
              <w:top w:val="nil"/>
              <w:left w:val="nil"/>
              <w:bottom w:val="nil"/>
              <w:right w:val="nil"/>
            </w:tcBorders>
            <w:shd w:val="clear" w:color="auto" w:fill="auto"/>
            <w:vAlign w:val="center"/>
          </w:tcPr>
          <w:p w14:paraId="0F953B4D" w14:textId="77777777" w:rsidR="00527E46" w:rsidRPr="00DC3779"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tcBorders>
              <w:top w:val="nil"/>
              <w:left w:val="nil"/>
              <w:bottom w:val="nil"/>
              <w:right w:val="nil"/>
            </w:tcBorders>
            <w:shd w:val="clear" w:color="auto" w:fill="auto"/>
            <w:hideMark/>
          </w:tcPr>
          <w:p w14:paraId="6B10A15B" w14:textId="77777777" w:rsidR="00527E46" w:rsidRPr="00DC3779"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1A5CC9">
              <w:t xml:space="preserve">BRL </w:t>
            </w:r>
            <w:proofErr w:type="spellStart"/>
            <w:r w:rsidRPr="001A5CC9">
              <w:t>billion</w:t>
            </w:r>
            <w:proofErr w:type="spellEnd"/>
          </w:p>
        </w:tc>
        <w:tc>
          <w:tcPr>
            <w:tcW w:w="1843" w:type="dxa"/>
            <w:tcBorders>
              <w:top w:val="nil"/>
              <w:left w:val="nil"/>
              <w:bottom w:val="nil"/>
              <w:right w:val="nil"/>
            </w:tcBorders>
            <w:shd w:val="clear" w:color="auto" w:fill="auto"/>
            <w:hideMark/>
          </w:tcPr>
          <w:p w14:paraId="780B1C96" w14:textId="77777777" w:rsidR="00527E46" w:rsidRPr="00F4280B"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72.4</w:t>
            </w:r>
          </w:p>
        </w:tc>
        <w:tc>
          <w:tcPr>
            <w:tcW w:w="1844" w:type="dxa"/>
            <w:tcBorders>
              <w:top w:val="nil"/>
              <w:left w:val="nil"/>
              <w:bottom w:val="nil"/>
              <w:right w:val="nil"/>
            </w:tcBorders>
            <w:shd w:val="clear" w:color="auto" w:fill="auto"/>
            <w:hideMark/>
          </w:tcPr>
          <w:p w14:paraId="5D54A27F" w14:textId="77777777" w:rsidR="00527E46" w:rsidRPr="00F4280B"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1A5CC9">
              <w:t>67</w:t>
            </w:r>
            <w:r>
              <w:t>.</w:t>
            </w:r>
            <w:r w:rsidRPr="001A5CC9">
              <w:t>3</w:t>
            </w:r>
          </w:p>
        </w:tc>
      </w:tr>
      <w:tr w:rsidR="00527E46" w:rsidRPr="00DC3779" w14:paraId="0BF9B479"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55C68EA0" w14:textId="77777777" w:rsidR="00527E46" w:rsidRPr="00575640" w:rsidRDefault="00527E46">
            <w:pPr>
              <w:pStyle w:val="08-Tabelageral"/>
              <w:jc w:val="left"/>
              <w:rPr>
                <w:rFonts w:cs="Arial"/>
                <w:b w:val="0"/>
                <w:bCs w:val="0"/>
                <w:snapToGrid w:val="0"/>
                <w:vertAlign w:val="superscript"/>
                <w:lang w:eastAsia="en-US"/>
              </w:rPr>
            </w:pPr>
            <w:proofErr w:type="spellStart"/>
            <w:r w:rsidRPr="00575640">
              <w:rPr>
                <w:b w:val="0"/>
                <w:bCs w:val="0"/>
              </w:rPr>
              <w:t>Number</w:t>
            </w:r>
            <w:proofErr w:type="spellEnd"/>
            <w:r w:rsidRPr="00575640">
              <w:rPr>
                <w:b w:val="0"/>
                <w:bCs w:val="0"/>
              </w:rPr>
              <w:t xml:space="preserve"> </w:t>
            </w:r>
            <w:proofErr w:type="spellStart"/>
            <w:r w:rsidRPr="00575640">
              <w:rPr>
                <w:b w:val="0"/>
                <w:bCs w:val="0"/>
              </w:rPr>
              <w:t>of</w:t>
            </w:r>
            <w:proofErr w:type="spellEnd"/>
            <w:r w:rsidRPr="00575640">
              <w:rPr>
                <w:b w:val="0"/>
                <w:bCs w:val="0"/>
              </w:rPr>
              <w:t xml:space="preserve"> tradings held¹</w:t>
            </w:r>
          </w:p>
        </w:tc>
        <w:tc>
          <w:tcPr>
            <w:tcW w:w="281" w:type="dxa"/>
            <w:tcBorders>
              <w:top w:val="nil"/>
              <w:left w:val="nil"/>
              <w:bottom w:val="nil"/>
              <w:right w:val="nil"/>
            </w:tcBorders>
            <w:shd w:val="clear" w:color="auto" w:fill="auto"/>
            <w:vAlign w:val="center"/>
          </w:tcPr>
          <w:p w14:paraId="3D5A6B9D" w14:textId="77777777" w:rsidR="00527E46" w:rsidRPr="00DC3779"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tcBorders>
              <w:top w:val="nil"/>
              <w:left w:val="nil"/>
              <w:bottom w:val="nil"/>
              <w:right w:val="nil"/>
            </w:tcBorders>
            <w:shd w:val="clear" w:color="auto" w:fill="auto"/>
            <w:hideMark/>
          </w:tcPr>
          <w:p w14:paraId="50DF378E" w14:textId="77777777" w:rsidR="00527E46" w:rsidRPr="00DC3779"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1A5CC9">
              <w:t>-</w:t>
            </w:r>
          </w:p>
        </w:tc>
        <w:tc>
          <w:tcPr>
            <w:tcW w:w="1843" w:type="dxa"/>
            <w:tcBorders>
              <w:top w:val="nil"/>
              <w:left w:val="nil"/>
              <w:bottom w:val="nil"/>
              <w:right w:val="nil"/>
            </w:tcBorders>
            <w:shd w:val="clear" w:color="auto" w:fill="auto"/>
            <w:hideMark/>
          </w:tcPr>
          <w:p w14:paraId="1E633468" w14:textId="77777777" w:rsidR="00527E46" w:rsidRPr="00F4280B"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3,464,030</w:t>
            </w:r>
          </w:p>
        </w:tc>
        <w:tc>
          <w:tcPr>
            <w:tcW w:w="1844" w:type="dxa"/>
            <w:tcBorders>
              <w:top w:val="nil"/>
              <w:left w:val="nil"/>
              <w:bottom w:val="nil"/>
              <w:right w:val="nil"/>
            </w:tcBorders>
            <w:shd w:val="clear" w:color="auto" w:fill="auto"/>
            <w:hideMark/>
          </w:tcPr>
          <w:p w14:paraId="5EDE29E2" w14:textId="77777777" w:rsidR="00527E46" w:rsidRPr="00F4280B"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1A5CC9">
              <w:t>4,426,591</w:t>
            </w:r>
          </w:p>
        </w:tc>
      </w:tr>
      <w:tr w:rsidR="00527E46" w:rsidRPr="00DC3779" w14:paraId="335FDC48" w14:textId="77777777">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058D329E" w14:textId="77777777" w:rsidR="00527E46" w:rsidRPr="00575640" w:rsidRDefault="00527E46">
            <w:pPr>
              <w:pStyle w:val="08-Tabelageral"/>
              <w:jc w:val="left"/>
              <w:rPr>
                <w:rFonts w:cs="Arial"/>
                <w:b w:val="0"/>
                <w:bCs w:val="0"/>
                <w:snapToGrid w:val="0"/>
                <w:lang w:eastAsia="en-US"/>
              </w:rPr>
            </w:pPr>
            <w:proofErr w:type="spellStart"/>
            <w:r w:rsidRPr="00575640">
              <w:rPr>
                <w:b w:val="0"/>
                <w:bCs w:val="0"/>
              </w:rPr>
              <w:t>Average</w:t>
            </w:r>
            <w:proofErr w:type="spellEnd"/>
            <w:r w:rsidRPr="00575640">
              <w:rPr>
                <w:b w:val="0"/>
                <w:bCs w:val="0"/>
              </w:rPr>
              <w:t xml:space="preserve"> </w:t>
            </w:r>
            <w:proofErr w:type="spellStart"/>
            <w:r w:rsidRPr="00575640">
              <w:rPr>
                <w:b w:val="0"/>
                <w:bCs w:val="0"/>
              </w:rPr>
              <w:t>daily</w:t>
            </w:r>
            <w:proofErr w:type="spellEnd"/>
            <w:r w:rsidRPr="00575640">
              <w:rPr>
                <w:b w:val="0"/>
                <w:bCs w:val="0"/>
              </w:rPr>
              <w:t xml:space="preserve"> trading volume¹</w:t>
            </w:r>
          </w:p>
        </w:tc>
        <w:tc>
          <w:tcPr>
            <w:tcW w:w="281" w:type="dxa"/>
            <w:tcBorders>
              <w:top w:val="nil"/>
              <w:left w:val="nil"/>
              <w:bottom w:val="nil"/>
              <w:right w:val="nil"/>
            </w:tcBorders>
            <w:shd w:val="clear" w:color="auto" w:fill="auto"/>
            <w:vAlign w:val="center"/>
          </w:tcPr>
          <w:p w14:paraId="14DB94C5" w14:textId="77777777" w:rsidR="00527E46" w:rsidRPr="00DC3779"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tcBorders>
              <w:top w:val="nil"/>
              <w:left w:val="nil"/>
              <w:bottom w:val="nil"/>
              <w:right w:val="nil"/>
            </w:tcBorders>
            <w:shd w:val="clear" w:color="auto" w:fill="auto"/>
            <w:hideMark/>
          </w:tcPr>
          <w:p w14:paraId="46E6F3FA" w14:textId="77777777" w:rsidR="00527E46" w:rsidRPr="00DC3779"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1A5CC9">
              <w:t xml:space="preserve">BRL </w:t>
            </w:r>
            <w:proofErr w:type="spellStart"/>
            <w:r w:rsidRPr="001A5CC9">
              <w:t>million</w:t>
            </w:r>
            <w:proofErr w:type="spellEnd"/>
          </w:p>
        </w:tc>
        <w:tc>
          <w:tcPr>
            <w:tcW w:w="1843" w:type="dxa"/>
            <w:tcBorders>
              <w:top w:val="nil"/>
              <w:left w:val="nil"/>
              <w:bottom w:val="nil"/>
              <w:right w:val="nil"/>
            </w:tcBorders>
            <w:shd w:val="clear" w:color="auto" w:fill="auto"/>
            <w:hideMark/>
          </w:tcPr>
          <w:p w14:paraId="252A9051" w14:textId="77777777" w:rsidR="00527E46" w:rsidRPr="00F4280B"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157.6</w:t>
            </w:r>
          </w:p>
        </w:tc>
        <w:tc>
          <w:tcPr>
            <w:tcW w:w="1844" w:type="dxa"/>
            <w:tcBorders>
              <w:top w:val="nil"/>
              <w:left w:val="nil"/>
              <w:bottom w:val="nil"/>
              <w:right w:val="nil"/>
            </w:tcBorders>
            <w:shd w:val="clear" w:color="auto" w:fill="auto"/>
            <w:hideMark/>
          </w:tcPr>
          <w:p w14:paraId="6CEF4CBD" w14:textId="77777777" w:rsidR="00527E46" w:rsidRPr="00F4280B" w:rsidRDefault="00527E4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1A5CC9">
              <w:t>179</w:t>
            </w:r>
            <w:r>
              <w:t>.</w:t>
            </w:r>
            <w:r w:rsidRPr="001A5CC9">
              <w:t>8</w:t>
            </w:r>
          </w:p>
        </w:tc>
      </w:tr>
      <w:tr w:rsidR="00527E46" w:rsidRPr="00DC3779" w14:paraId="69FAA8D5" w14:textId="77777777">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8EAADB" w:themeColor="accent1" w:themeTint="99"/>
              <w:right w:val="nil"/>
            </w:tcBorders>
            <w:shd w:val="clear" w:color="auto" w:fill="auto"/>
          </w:tcPr>
          <w:p w14:paraId="7F92861A" w14:textId="77777777" w:rsidR="00527E46" w:rsidRPr="00575640" w:rsidRDefault="00527E46">
            <w:pPr>
              <w:pStyle w:val="08-Tabelageral"/>
              <w:jc w:val="left"/>
              <w:rPr>
                <w:rFonts w:cs="Arial"/>
                <w:b w:val="0"/>
                <w:bCs w:val="0"/>
                <w:lang w:eastAsia="en-US"/>
              </w:rPr>
            </w:pPr>
            <w:r w:rsidRPr="00575640">
              <w:rPr>
                <w:b w:val="0"/>
                <w:bCs w:val="0"/>
              </w:rPr>
              <w:t xml:space="preserve">% </w:t>
            </w:r>
            <w:proofErr w:type="spellStart"/>
            <w:r w:rsidRPr="00575640">
              <w:rPr>
                <w:b w:val="0"/>
                <w:bCs w:val="0"/>
              </w:rPr>
              <w:t>of</w:t>
            </w:r>
            <w:proofErr w:type="spellEnd"/>
            <w:r w:rsidRPr="00575640">
              <w:rPr>
                <w:b w:val="0"/>
                <w:bCs w:val="0"/>
              </w:rPr>
              <w:t xml:space="preserve"> B3 ADTV</w:t>
            </w:r>
          </w:p>
        </w:tc>
        <w:tc>
          <w:tcPr>
            <w:tcW w:w="281" w:type="dxa"/>
            <w:tcBorders>
              <w:top w:val="nil"/>
              <w:left w:val="nil"/>
              <w:bottom w:val="single" w:sz="2" w:space="0" w:color="8EAADB" w:themeColor="accent1" w:themeTint="99"/>
              <w:right w:val="nil"/>
            </w:tcBorders>
            <w:shd w:val="clear" w:color="auto" w:fill="auto"/>
            <w:vAlign w:val="center"/>
          </w:tcPr>
          <w:p w14:paraId="332F8C61" w14:textId="77777777" w:rsidR="00527E46" w:rsidRPr="00DC3779" w:rsidRDefault="00527E4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tcBorders>
              <w:top w:val="nil"/>
              <w:left w:val="nil"/>
              <w:bottom w:val="single" w:sz="2" w:space="0" w:color="8EAADB" w:themeColor="accent1" w:themeTint="99"/>
              <w:right w:val="nil"/>
            </w:tcBorders>
            <w:shd w:val="clear" w:color="auto" w:fill="auto"/>
          </w:tcPr>
          <w:p w14:paraId="422945AC" w14:textId="77777777" w:rsidR="00527E46" w:rsidRPr="001A5CC9" w:rsidRDefault="00527E46">
            <w:pPr>
              <w:pStyle w:val="08-Tabelageral"/>
              <w:cnfStyle w:val="000000010000" w:firstRow="0" w:lastRow="0" w:firstColumn="0" w:lastColumn="0" w:oddVBand="0" w:evenVBand="0" w:oddHBand="0" w:evenHBand="1" w:firstRowFirstColumn="0" w:firstRowLastColumn="0" w:lastRowFirstColumn="0" w:lastRowLastColumn="0"/>
            </w:pPr>
            <w:r>
              <w:t>%</w:t>
            </w:r>
          </w:p>
        </w:tc>
        <w:tc>
          <w:tcPr>
            <w:tcW w:w="1843" w:type="dxa"/>
            <w:tcBorders>
              <w:top w:val="nil"/>
              <w:left w:val="nil"/>
              <w:bottom w:val="single" w:sz="2" w:space="0" w:color="8EAADB" w:themeColor="accent1" w:themeTint="99"/>
              <w:right w:val="nil"/>
            </w:tcBorders>
            <w:shd w:val="clear" w:color="auto" w:fill="auto"/>
          </w:tcPr>
          <w:p w14:paraId="4462A88F" w14:textId="77777777" w:rsidR="00527E46" w:rsidRPr="001A5CC9" w:rsidRDefault="00527E46">
            <w:pPr>
              <w:pStyle w:val="08-Tabelageral"/>
              <w:cnfStyle w:val="000000010000" w:firstRow="0" w:lastRow="0" w:firstColumn="0" w:lastColumn="0" w:oddVBand="0" w:evenVBand="0" w:oddHBand="0" w:evenHBand="1" w:firstRowFirstColumn="0" w:firstRowLastColumn="0" w:lastRowFirstColumn="0" w:lastRowLastColumn="0"/>
            </w:pPr>
            <w:r>
              <w:t>0.81</w:t>
            </w:r>
          </w:p>
        </w:tc>
        <w:tc>
          <w:tcPr>
            <w:tcW w:w="1844" w:type="dxa"/>
            <w:tcBorders>
              <w:top w:val="nil"/>
              <w:left w:val="nil"/>
              <w:bottom w:val="single" w:sz="2" w:space="0" w:color="8EAADB" w:themeColor="accent1" w:themeTint="99"/>
              <w:right w:val="nil"/>
            </w:tcBorders>
            <w:shd w:val="clear" w:color="auto" w:fill="auto"/>
          </w:tcPr>
          <w:p w14:paraId="17E93DF5" w14:textId="77777777" w:rsidR="00527E46" w:rsidRPr="001A5CC9" w:rsidRDefault="00527E46">
            <w:pPr>
              <w:pStyle w:val="08-Tabelageral"/>
              <w:cnfStyle w:val="000000010000" w:firstRow="0" w:lastRow="0" w:firstColumn="0" w:lastColumn="0" w:oddVBand="0" w:evenVBand="0" w:oddHBand="0" w:evenHBand="1" w:firstRowFirstColumn="0" w:firstRowLastColumn="0" w:lastRowFirstColumn="0" w:lastRowLastColumn="0"/>
            </w:pPr>
            <w:r>
              <w:t>0.87</w:t>
            </w:r>
          </w:p>
        </w:tc>
      </w:tr>
    </w:tbl>
    <w:p w14:paraId="502BE27F" w14:textId="77777777" w:rsidR="00527E46" w:rsidRPr="00575640" w:rsidRDefault="00527E46" w:rsidP="00527E46">
      <w:pPr>
        <w:pStyle w:val="07-Legenda"/>
        <w:rPr>
          <w:rFonts w:cs="Arial"/>
          <w:lang w:val="en-US"/>
        </w:rPr>
      </w:pPr>
      <w:r w:rsidRPr="00575640">
        <w:rPr>
          <w:rFonts w:cs="Arial"/>
          <w:lang w:val="en-US"/>
        </w:rPr>
        <w:t>(1) Based on the standard batch</w:t>
      </w:r>
    </w:p>
    <w:p w14:paraId="3E9D0A4A" w14:textId="77777777" w:rsidR="00527E46" w:rsidRPr="00BC754A" w:rsidRDefault="00527E46" w:rsidP="00527E46">
      <w:pPr>
        <w:pStyle w:val="05-Textonormal"/>
        <w:rPr>
          <w:rFonts w:cs="Arial"/>
          <w:lang w:val="en-US"/>
        </w:rPr>
      </w:pPr>
    </w:p>
    <w:p w14:paraId="29A07ECB" w14:textId="77777777" w:rsidR="00527E46" w:rsidRPr="00BC754A" w:rsidRDefault="00527E46" w:rsidP="00527E46">
      <w:pPr>
        <w:pStyle w:val="03-SubttulodeNota"/>
        <w:spacing w:line="276" w:lineRule="auto"/>
        <w:rPr>
          <w:color w:val="1F3864" w:themeColor="accent1" w:themeShade="80"/>
          <w:lang w:val="en-US"/>
        </w:rPr>
      </w:pPr>
      <w:r w:rsidRPr="00860655">
        <w:rPr>
          <w:color w:val="1F3864" w:themeColor="accent1" w:themeShade="80"/>
          <w:lang w:val="en-US"/>
        </w:rPr>
        <w:t>Shareholders’ Compensation</w:t>
      </w:r>
    </w:p>
    <w:p w14:paraId="0D2CF748" w14:textId="77777777" w:rsidR="00527E46" w:rsidRPr="00BC754A" w:rsidRDefault="00527E46" w:rsidP="00527E46">
      <w:pPr>
        <w:pStyle w:val="01-Textonormal"/>
        <w:rPr>
          <w:rFonts w:cs="Arial"/>
          <w:lang w:val="en-US"/>
        </w:rPr>
      </w:pPr>
      <w:r w:rsidRPr="008F6730">
        <w:rPr>
          <w:rFonts w:cs="Arial"/>
          <w:lang w:val="en-US"/>
        </w:rPr>
        <w:t xml:space="preserve">BB </w:t>
      </w:r>
      <w:proofErr w:type="spellStart"/>
      <w:r w:rsidRPr="008F6730">
        <w:rPr>
          <w:rFonts w:cs="Arial"/>
          <w:lang w:val="en-US"/>
        </w:rPr>
        <w:t>Seguridade</w:t>
      </w:r>
      <w:proofErr w:type="spellEnd"/>
      <w:r w:rsidRPr="008F6730">
        <w:rPr>
          <w:rFonts w:cs="Arial"/>
          <w:lang w:val="en-US"/>
        </w:rPr>
        <w:t xml:space="preserve"> allocated approximately </w:t>
      </w:r>
      <w:r>
        <w:rPr>
          <w:rFonts w:cs="Arial"/>
          <w:lang w:val="en-US"/>
        </w:rPr>
        <w:t>81.7</w:t>
      </w:r>
      <w:r w:rsidRPr="008F6730">
        <w:rPr>
          <w:rFonts w:cs="Arial"/>
          <w:lang w:val="en-US"/>
        </w:rPr>
        <w:t xml:space="preserve">% of the net </w:t>
      </w:r>
      <w:r>
        <w:rPr>
          <w:rFonts w:cs="Arial"/>
          <w:lang w:val="en-US"/>
        </w:rPr>
        <w:t>income</w:t>
      </w:r>
      <w:r w:rsidRPr="008F6730">
        <w:rPr>
          <w:rFonts w:cs="Arial"/>
          <w:lang w:val="en-US"/>
        </w:rPr>
        <w:t xml:space="preserve"> to shareholders as dividends in 202</w:t>
      </w:r>
      <w:r>
        <w:rPr>
          <w:rFonts w:cs="Arial"/>
          <w:lang w:val="en-US"/>
        </w:rPr>
        <w:t>4</w:t>
      </w:r>
      <w:r w:rsidRPr="008F6730">
        <w:rPr>
          <w:rFonts w:cs="Arial"/>
          <w:lang w:val="en-US"/>
        </w:rPr>
        <w:t>, totaling R$</w:t>
      </w:r>
      <w:r>
        <w:rPr>
          <w:rFonts w:cs="Arial"/>
          <w:lang w:val="en-US"/>
        </w:rPr>
        <w:t>7.1</w:t>
      </w:r>
      <w:r w:rsidRPr="008F6730">
        <w:rPr>
          <w:rFonts w:cs="Arial"/>
          <w:lang w:val="en-US"/>
        </w:rPr>
        <w:t xml:space="preserve"> billion, equivalent to </w:t>
      </w:r>
      <w:r w:rsidRPr="00A12A48">
        <w:rPr>
          <w:rFonts w:cs="Arial"/>
          <w:lang w:val="en-US"/>
        </w:rPr>
        <w:t>R$3</w:t>
      </w:r>
      <w:r>
        <w:rPr>
          <w:rFonts w:cs="Arial"/>
          <w:lang w:val="en-US"/>
        </w:rPr>
        <w:t>.</w:t>
      </w:r>
      <w:r w:rsidRPr="00A12A48">
        <w:rPr>
          <w:rFonts w:cs="Arial"/>
          <w:lang w:val="en-US"/>
        </w:rPr>
        <w:t>66</w:t>
      </w:r>
      <w:r w:rsidRPr="00B03EE6">
        <w:rPr>
          <w:rStyle w:val="Refdenotaderodap"/>
          <w:rFonts w:cs="Arial"/>
        </w:rPr>
        <w:footnoteReference w:id="2"/>
      </w:r>
      <w:r w:rsidRPr="00A12A48">
        <w:rPr>
          <w:rFonts w:cs="Arial"/>
          <w:lang w:val="en-US"/>
        </w:rPr>
        <w:t xml:space="preserve"> </w:t>
      </w:r>
      <w:r>
        <w:rPr>
          <w:rFonts w:cs="Arial"/>
          <w:lang w:val="en-US"/>
        </w:rPr>
        <w:t>dividend</w:t>
      </w:r>
      <w:r w:rsidRPr="008F6730">
        <w:rPr>
          <w:rFonts w:cs="Arial"/>
          <w:lang w:val="en-US"/>
        </w:rPr>
        <w:t xml:space="preserve"> per share</w:t>
      </w:r>
      <w:r>
        <w:rPr>
          <w:rFonts w:cs="Arial"/>
          <w:lang w:val="en-US"/>
        </w:rPr>
        <w:t>.</w:t>
      </w:r>
      <w:r w:rsidRPr="008F6730">
        <w:rPr>
          <w:rFonts w:cs="Arial"/>
          <w:lang w:val="en-US"/>
        </w:rPr>
        <w:t xml:space="preserve"> In 202</w:t>
      </w:r>
      <w:r>
        <w:rPr>
          <w:rFonts w:cs="Arial"/>
          <w:lang w:val="en-US"/>
        </w:rPr>
        <w:t>3</w:t>
      </w:r>
      <w:r w:rsidRPr="008F6730">
        <w:rPr>
          <w:rFonts w:cs="Arial"/>
          <w:lang w:val="en-US"/>
        </w:rPr>
        <w:t xml:space="preserve">, the dividend for the fiscal year </w:t>
      </w:r>
      <w:r>
        <w:rPr>
          <w:rFonts w:cs="Arial"/>
          <w:lang w:val="en-US"/>
        </w:rPr>
        <w:t>totaled</w:t>
      </w:r>
      <w:r w:rsidRPr="008F6730">
        <w:rPr>
          <w:rFonts w:cs="Arial"/>
          <w:lang w:val="en-US"/>
        </w:rPr>
        <w:t xml:space="preserve"> R$2</w:t>
      </w:r>
      <w:r>
        <w:rPr>
          <w:rFonts w:cs="Arial"/>
          <w:lang w:val="en-US"/>
        </w:rPr>
        <w:t>,</w:t>
      </w:r>
      <w:r w:rsidRPr="008F6730">
        <w:rPr>
          <w:rFonts w:cs="Arial"/>
          <w:lang w:val="en-US"/>
        </w:rPr>
        <w:t>8</w:t>
      </w:r>
      <w:r>
        <w:rPr>
          <w:rFonts w:cs="Arial"/>
          <w:lang w:val="en-US"/>
        </w:rPr>
        <w:t>3</w:t>
      </w:r>
      <w:r w:rsidRPr="008F6730">
        <w:rPr>
          <w:rFonts w:cs="Arial"/>
          <w:lang w:val="en-US"/>
        </w:rPr>
        <w:t xml:space="preserve"> per share</w:t>
      </w:r>
      <w:r>
        <w:rPr>
          <w:rFonts w:cs="Arial"/>
          <w:lang w:val="en-US"/>
        </w:rPr>
        <w:t>.</w:t>
      </w:r>
    </w:p>
    <w:p w14:paraId="11174E37" w14:textId="77777777" w:rsidR="00527E46" w:rsidRDefault="00527E46" w:rsidP="00527E46">
      <w:pPr>
        <w:pStyle w:val="01-Textonormal"/>
        <w:rPr>
          <w:rFonts w:cs="Arial"/>
          <w:lang w:val="en-US"/>
        </w:rPr>
      </w:pPr>
      <w:r>
        <w:rPr>
          <w:rFonts w:cs="Arial"/>
          <w:lang w:val="en-US"/>
        </w:rPr>
        <w:t xml:space="preserve">In August 2023, the Board of Directors approved the creation of a Company's Share Buyback Program. The program includes the purchase of up to 64.2 million shares, to be held in treasury and subsequently sold or canceled, with an execution period of 18 months. During 2024, 35.7 million shares were acquired, totaling 55.6 million shares repurchased since the program was launched. On February 4, 2025, the program was terminated after reaching the maximum execution period. </w:t>
      </w:r>
    </w:p>
    <w:p w14:paraId="46204B47" w14:textId="77777777" w:rsidR="00527E46" w:rsidRDefault="00527E46" w:rsidP="00527E46">
      <w:pPr>
        <w:pStyle w:val="05-Textonormal"/>
        <w:rPr>
          <w:rFonts w:cs="Arial"/>
          <w:lang w:val="en-US"/>
        </w:rPr>
      </w:pPr>
      <w:r w:rsidRPr="00096A6B">
        <w:rPr>
          <w:rFonts w:cs="Arial"/>
          <w:lang w:val="en-US"/>
        </w:rPr>
        <w:t>Adding the year's dividend to the amount spent on share repurchases, R$8.3 billion was allocated to shareholder remuneration, equivalent to 95.1% of the year's profit.</w:t>
      </w:r>
    </w:p>
    <w:p w14:paraId="5FF4BE94" w14:textId="77777777" w:rsidR="00527E46" w:rsidRPr="00BC754A" w:rsidRDefault="00527E46" w:rsidP="00527E46">
      <w:pPr>
        <w:pStyle w:val="05-Textonormal"/>
        <w:rPr>
          <w:rFonts w:cs="Arial"/>
          <w:lang w:val="en-US"/>
        </w:rPr>
      </w:pPr>
    </w:p>
    <w:p w14:paraId="4B402129" w14:textId="77777777" w:rsidR="00527E46" w:rsidRPr="00BC754A" w:rsidRDefault="00527E46" w:rsidP="00527E46">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r>
        <w:rPr>
          <w:rFonts w:ascii="Arial" w:eastAsia="Times New Roman" w:hAnsi="Arial" w:cs="Times New Roman"/>
          <w:b/>
          <w:color w:val="1F3864" w:themeColor="accent1" w:themeShade="80"/>
          <w:spacing w:val="-2"/>
          <w:sz w:val="20"/>
          <w:szCs w:val="20"/>
          <w:lang w:val="en-US" w:eastAsia="pt-BR"/>
        </w:rPr>
        <w:t>Acknowledgments</w:t>
      </w:r>
    </w:p>
    <w:p w14:paraId="76450339" w14:textId="77777777" w:rsidR="00527E46" w:rsidRPr="00BC754A" w:rsidRDefault="00527E46" w:rsidP="00527E46">
      <w:pPr>
        <w:pStyle w:val="05-Textonormal"/>
        <w:rPr>
          <w:rFonts w:cs="Arial"/>
          <w:lang w:val="en-US"/>
        </w:rPr>
      </w:pPr>
      <w:r w:rsidRPr="00DE647D">
        <w:rPr>
          <w:rFonts w:cs="Arial"/>
          <w:lang w:val="en-US"/>
        </w:rPr>
        <w:t xml:space="preserve">We would like to thank our employees and associates for their dedication and commitment, as well as the Banco do </w:t>
      </w:r>
      <w:proofErr w:type="spellStart"/>
      <w:r w:rsidRPr="00DE647D">
        <w:rPr>
          <w:rFonts w:cs="Arial"/>
          <w:lang w:val="en-US"/>
        </w:rPr>
        <w:t>Brasil</w:t>
      </w:r>
      <w:proofErr w:type="spellEnd"/>
      <w:r w:rsidRPr="00DE647D">
        <w:rPr>
          <w:rFonts w:cs="Arial"/>
          <w:lang w:val="en-US"/>
        </w:rPr>
        <w:t xml:space="preserve"> distribution network and other partners, who are essential for maintaining quality customer service and process compliance in 202</w:t>
      </w:r>
      <w:r>
        <w:rPr>
          <w:rFonts w:cs="Arial"/>
          <w:lang w:val="en-US"/>
        </w:rPr>
        <w:t>4</w:t>
      </w:r>
      <w:r w:rsidRPr="00DE647D">
        <w:rPr>
          <w:rFonts w:cs="Arial"/>
          <w:lang w:val="en-US"/>
        </w:rPr>
        <w:t>, as well as the trust placed in us by shareholders, customers, and society in general</w:t>
      </w:r>
      <w:r>
        <w:rPr>
          <w:rFonts w:cs="Arial"/>
          <w:lang w:val="en-US"/>
        </w:rPr>
        <w:t>.</w:t>
      </w:r>
    </w:p>
    <w:p w14:paraId="5099A009" w14:textId="77777777" w:rsidR="00527E46" w:rsidRPr="00BC754A" w:rsidRDefault="00527E46" w:rsidP="00527E46">
      <w:pPr>
        <w:pStyle w:val="05-Textonormal"/>
        <w:rPr>
          <w:rFonts w:cs="Arial"/>
          <w:lang w:val="en-US"/>
        </w:rPr>
      </w:pPr>
    </w:p>
    <w:p w14:paraId="309D5CB3" w14:textId="77777777" w:rsidR="00527E46" w:rsidRPr="00265187" w:rsidRDefault="00527E46" w:rsidP="00527E46">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r w:rsidRPr="00265187">
        <w:rPr>
          <w:rFonts w:ascii="Arial" w:eastAsia="Times New Roman" w:hAnsi="Arial" w:cs="Times New Roman"/>
          <w:b/>
          <w:color w:val="1F3864" w:themeColor="accent1" w:themeShade="80"/>
          <w:spacing w:val="-2"/>
          <w:sz w:val="20"/>
          <w:szCs w:val="20"/>
          <w:lang w:val="en-US" w:eastAsia="pt-BR"/>
        </w:rPr>
        <w:t>Brasília, 2025</w:t>
      </w:r>
    </w:p>
    <w:p w14:paraId="1FFA1A4B" w14:textId="77777777" w:rsidR="00527E46" w:rsidRPr="00265187" w:rsidRDefault="00527E46" w:rsidP="00527E46">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p>
    <w:p w14:paraId="58CF6BDD" w14:textId="77777777" w:rsidR="00527E46" w:rsidRPr="00265187" w:rsidRDefault="00527E46" w:rsidP="00527E46">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r w:rsidRPr="00265187">
        <w:rPr>
          <w:rFonts w:ascii="Arial" w:eastAsia="Times New Roman" w:hAnsi="Arial" w:cs="Times New Roman"/>
          <w:b/>
          <w:color w:val="1F3864" w:themeColor="accent1" w:themeShade="80"/>
          <w:spacing w:val="-2"/>
          <w:sz w:val="20"/>
          <w:szCs w:val="20"/>
          <w:lang w:val="en-US" w:eastAsia="pt-BR"/>
        </w:rPr>
        <w:t>The Management</w:t>
      </w:r>
    </w:p>
    <w:p w14:paraId="00943FC6" w14:textId="77777777" w:rsidR="00F80BEF" w:rsidRPr="007D023E" w:rsidRDefault="00F80BEF" w:rsidP="00F80BEF">
      <w:pPr>
        <w:rPr>
          <w:lang w:val="en-US"/>
        </w:rPr>
      </w:pPr>
    </w:p>
    <w:p w14:paraId="01931163" w14:textId="71446A36" w:rsidR="007D4AB0" w:rsidRDefault="008E65B8" w:rsidP="00F660A7">
      <w:pPr>
        <w:pStyle w:val="Ttulo1"/>
        <w:pageBreakBefore/>
        <w:spacing w:line="259" w:lineRule="auto"/>
        <w:jc w:val="both"/>
        <w:rPr>
          <w:rFonts w:ascii="Arial" w:hAnsi="Arial" w:cs="Arial"/>
          <w:b/>
          <w:color w:val="1F3864" w:themeColor="accent1" w:themeShade="80"/>
          <w:sz w:val="20"/>
          <w:lang w:val="en-US"/>
        </w:rPr>
      </w:pPr>
      <w:bookmarkStart w:id="6" w:name="_Toc149573378"/>
      <w:bookmarkStart w:id="7" w:name="_Toc157446706"/>
      <w:bookmarkStart w:id="8" w:name="_Toc190680615"/>
      <w:r w:rsidRPr="00432934">
        <w:rPr>
          <w:rFonts w:ascii="Arial" w:hAnsi="Arial" w:cs="Arial"/>
          <w:b/>
          <w:color w:val="1F3864" w:themeColor="accent1" w:themeShade="80"/>
          <w:sz w:val="20"/>
          <w:lang w:val="en-US"/>
        </w:rPr>
        <w:lastRenderedPageBreak/>
        <w:t>STATEMENT OF INCOME</w:t>
      </w:r>
      <w:bookmarkEnd w:id="6"/>
      <w:bookmarkEnd w:id="7"/>
      <w:bookmarkEnd w:id="8"/>
    </w:p>
    <w:p w14:paraId="30DE5442" w14:textId="77777777" w:rsidR="008D7327" w:rsidRPr="00432934" w:rsidRDefault="008D7327" w:rsidP="008D7327">
      <w:pPr>
        <w:pStyle w:val="06-Rmil"/>
        <w:rPr>
          <w:rFonts w:cs="Arial"/>
          <w:sz w:val="12"/>
          <w:szCs w:val="12"/>
          <w:lang w:val="en-US"/>
        </w:rPr>
      </w:pPr>
      <w:r w:rsidRPr="00432934">
        <w:rPr>
          <w:rFonts w:cs="Arial"/>
          <w:lang w:val="en-US"/>
        </w:rPr>
        <w:t xml:space="preserve">R$ </w:t>
      </w:r>
      <w:proofErr w:type="spellStart"/>
      <w:r w:rsidRPr="00432934">
        <w:rPr>
          <w:rFonts w:cs="Arial"/>
          <w:lang w:val="en-US"/>
        </w:rPr>
        <w:t>thousand</w:t>
      </w:r>
      <w:proofErr w:type="spellEnd"/>
      <w:r w:rsidRPr="00432934">
        <w:rPr>
          <w:rFonts w:cs="Arial"/>
          <w:lang w:val="en-US"/>
        </w:rPr>
        <w:t xml:space="preserve"> (except earnings per share)</w:t>
      </w:r>
    </w:p>
    <w:tbl>
      <w:tblPr>
        <w:tblStyle w:val="TabeladeLista6Colorida-nfase5"/>
        <w:tblW w:w="9639" w:type="dxa"/>
        <w:jc w:val="center"/>
        <w:tblLayout w:type="fixed"/>
        <w:tblLook w:val="04A0" w:firstRow="1" w:lastRow="0" w:firstColumn="1" w:lastColumn="0" w:noHBand="0" w:noVBand="1"/>
      </w:tblPr>
      <w:tblGrid>
        <w:gridCol w:w="2158"/>
        <w:gridCol w:w="1166"/>
        <w:gridCol w:w="1136"/>
        <w:gridCol w:w="1870"/>
        <w:gridCol w:w="110"/>
        <w:gridCol w:w="281"/>
        <w:gridCol w:w="1305"/>
        <w:gridCol w:w="1613"/>
      </w:tblGrid>
      <w:tr w:rsidR="008D7327" w14:paraId="119D81E0" w14:textId="77777777" w:rsidTr="00D6364A">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single" w:sz="2" w:space="0" w:color="1F3864" w:themeColor="accent1" w:themeShade="80"/>
              <w:bottom w:val="nil"/>
            </w:tcBorders>
            <w:shd w:val="clear" w:color="auto" w:fill="auto"/>
            <w:vAlign w:val="center"/>
          </w:tcPr>
          <w:p w14:paraId="5C53444A" w14:textId="77777777" w:rsidR="008D7327" w:rsidRPr="0038283D" w:rsidRDefault="008D7327">
            <w:pPr>
              <w:jc w:val="center"/>
              <w:rPr>
                <w:rFonts w:ascii="Arial" w:hAnsi="Arial" w:cs="Arial"/>
                <w:b w:val="0"/>
                <w:sz w:val="18"/>
                <w:szCs w:val="18"/>
                <w:lang w:val="en-US"/>
              </w:rPr>
            </w:pPr>
          </w:p>
        </w:tc>
        <w:tc>
          <w:tcPr>
            <w:tcW w:w="1166" w:type="dxa"/>
            <w:tcBorders>
              <w:top w:val="single" w:sz="2" w:space="0" w:color="1F3864" w:themeColor="accent1" w:themeShade="80"/>
              <w:bottom w:val="nil"/>
            </w:tcBorders>
            <w:shd w:val="clear" w:color="auto" w:fill="auto"/>
            <w:vAlign w:val="center"/>
          </w:tcPr>
          <w:p w14:paraId="016FB356" w14:textId="77777777" w:rsidR="008D7327" w:rsidRPr="0038283D" w:rsidRDefault="008D732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116" w:type="dxa"/>
            <w:gridSpan w:val="3"/>
            <w:tcBorders>
              <w:top w:val="single" w:sz="2" w:space="0" w:color="1F3864" w:themeColor="accent1" w:themeShade="80"/>
              <w:bottom w:val="single" w:sz="2" w:space="0" w:color="1F3864" w:themeColor="accent1" w:themeShade="80"/>
            </w:tcBorders>
            <w:shd w:val="clear" w:color="auto" w:fill="auto"/>
            <w:vAlign w:val="center"/>
          </w:tcPr>
          <w:p w14:paraId="353FA5A9" w14:textId="77777777" w:rsidR="008D7327" w:rsidRPr="001D6BE8" w:rsidRDefault="008D732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9768B6">
              <w:rPr>
                <w:rFonts w:ascii="Arial" w:hAnsi="Arial" w:cs="Arial"/>
                <w:sz w:val="14"/>
                <w:szCs w:val="18"/>
              </w:rPr>
              <w:t>Parent</w:t>
            </w:r>
            <w:proofErr w:type="spellEnd"/>
          </w:p>
        </w:tc>
        <w:tc>
          <w:tcPr>
            <w:tcW w:w="281" w:type="dxa"/>
            <w:tcBorders>
              <w:top w:val="single" w:sz="2" w:space="0" w:color="1F3864" w:themeColor="accent1" w:themeShade="80"/>
              <w:bottom w:val="nil"/>
            </w:tcBorders>
            <w:shd w:val="clear" w:color="auto" w:fill="auto"/>
            <w:vAlign w:val="center"/>
          </w:tcPr>
          <w:p w14:paraId="65C31FCE" w14:textId="77777777" w:rsidR="008D7327" w:rsidRPr="009F7421" w:rsidRDefault="008D732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91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09A81E42" w14:textId="77777777" w:rsidR="008D7327" w:rsidRPr="0038031F" w:rsidRDefault="008D73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9768B6">
              <w:rPr>
                <w:rFonts w:ascii="Arial" w:hAnsi="Arial" w:cs="Arial"/>
                <w:sz w:val="14"/>
                <w:szCs w:val="18"/>
              </w:rPr>
              <w:t>Consolidated</w:t>
            </w:r>
            <w:proofErr w:type="spellEnd"/>
          </w:p>
        </w:tc>
      </w:tr>
      <w:tr w:rsidR="008D7327" w:rsidRPr="001D6BE8" w14:paraId="06066D2B" w14:textId="77777777" w:rsidTr="00D6364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single" w:sz="2" w:space="0" w:color="1F3864" w:themeColor="accent1" w:themeShade="80"/>
            </w:tcBorders>
            <w:shd w:val="clear" w:color="auto" w:fill="auto"/>
            <w:vAlign w:val="center"/>
          </w:tcPr>
          <w:p w14:paraId="628C352E" w14:textId="77777777" w:rsidR="008D7327" w:rsidRPr="001D6BE8" w:rsidRDefault="008D7327">
            <w:pPr>
              <w:pStyle w:val="08-Tabelageral"/>
              <w:jc w:val="left"/>
              <w:rPr>
                <w:rFonts w:cs="Arial"/>
                <w:b w:val="0"/>
              </w:rPr>
            </w:pPr>
          </w:p>
        </w:tc>
        <w:tc>
          <w:tcPr>
            <w:tcW w:w="1166" w:type="dxa"/>
            <w:tcBorders>
              <w:top w:val="nil"/>
              <w:bottom w:val="single" w:sz="2" w:space="0" w:color="1F3864" w:themeColor="accent1" w:themeShade="80"/>
            </w:tcBorders>
            <w:shd w:val="clear" w:color="auto" w:fill="auto"/>
            <w:vAlign w:val="center"/>
          </w:tcPr>
          <w:p w14:paraId="37E11880" w14:textId="77777777" w:rsidR="008D7327" w:rsidRPr="001D6BE8" w:rsidRDefault="008D7327">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136" w:type="dxa"/>
            <w:tcBorders>
              <w:top w:val="single" w:sz="2" w:space="0" w:color="1F3864" w:themeColor="accent1" w:themeShade="80"/>
              <w:bottom w:val="single" w:sz="2" w:space="0" w:color="1F3864" w:themeColor="accent1" w:themeShade="80"/>
            </w:tcBorders>
            <w:shd w:val="clear" w:color="auto" w:fill="auto"/>
            <w:vAlign w:val="center"/>
          </w:tcPr>
          <w:p w14:paraId="5175CAD4" w14:textId="21AD0A0E" w:rsidR="008D7327" w:rsidRPr="00CF21E0" w:rsidRDefault="008D732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811E8">
              <w:rPr>
                <w:rFonts w:cs="Arial"/>
                <w:b/>
              </w:rPr>
              <w:t>202</w:t>
            </w:r>
            <w:r w:rsidR="003A23C1">
              <w:rPr>
                <w:rFonts w:cs="Arial"/>
                <w:b/>
              </w:rPr>
              <w:t>4</w:t>
            </w:r>
          </w:p>
        </w:tc>
        <w:tc>
          <w:tcPr>
            <w:tcW w:w="1870" w:type="dxa"/>
            <w:tcBorders>
              <w:top w:val="single" w:sz="2" w:space="0" w:color="1F3864" w:themeColor="accent1" w:themeShade="80"/>
              <w:bottom w:val="single" w:sz="2" w:space="0" w:color="1F3864" w:themeColor="accent1" w:themeShade="80"/>
            </w:tcBorders>
            <w:shd w:val="clear" w:color="auto" w:fill="auto"/>
            <w:vAlign w:val="center"/>
          </w:tcPr>
          <w:p w14:paraId="3CB3B4E0" w14:textId="771F5A0D" w:rsidR="008D7327" w:rsidRPr="00CF21E0" w:rsidRDefault="003A23C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811E8">
              <w:rPr>
                <w:rFonts w:cs="Arial"/>
                <w:b/>
              </w:rPr>
              <w:t>202</w:t>
            </w:r>
            <w:r>
              <w:rPr>
                <w:rFonts w:cs="Arial"/>
                <w:b/>
              </w:rPr>
              <w:t>3</w:t>
            </w:r>
          </w:p>
        </w:tc>
        <w:tc>
          <w:tcPr>
            <w:tcW w:w="391" w:type="dxa"/>
            <w:gridSpan w:val="2"/>
            <w:tcBorders>
              <w:top w:val="nil"/>
              <w:bottom w:val="single" w:sz="2" w:space="0" w:color="1F3864" w:themeColor="accent1" w:themeShade="80"/>
            </w:tcBorders>
            <w:shd w:val="clear" w:color="auto" w:fill="auto"/>
            <w:vAlign w:val="center"/>
          </w:tcPr>
          <w:p w14:paraId="552ED1B0" w14:textId="77777777" w:rsidR="008D7327" w:rsidRPr="001D6BE8" w:rsidRDefault="008D7327">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305" w:type="dxa"/>
            <w:tcBorders>
              <w:top w:val="single" w:sz="2" w:space="0" w:color="1F3864" w:themeColor="accent1" w:themeShade="80"/>
              <w:bottom w:val="single" w:sz="2" w:space="0" w:color="1F3864" w:themeColor="accent1" w:themeShade="80"/>
            </w:tcBorders>
            <w:shd w:val="clear" w:color="auto" w:fill="auto"/>
            <w:vAlign w:val="center"/>
          </w:tcPr>
          <w:p w14:paraId="002F1E64" w14:textId="6D29506E" w:rsidR="008D7327" w:rsidRPr="00C04909" w:rsidRDefault="008D7327">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F7421">
              <w:rPr>
                <w:rFonts w:cs="Arial"/>
                <w:b/>
                <w:bCs/>
              </w:rPr>
              <w:t>202</w:t>
            </w:r>
            <w:r w:rsidR="000F3517">
              <w:rPr>
                <w:rFonts w:cs="Arial"/>
                <w:b/>
                <w:bCs/>
              </w:rPr>
              <w:t>4</w:t>
            </w:r>
          </w:p>
        </w:tc>
        <w:tc>
          <w:tcPr>
            <w:tcW w:w="1613" w:type="dxa"/>
            <w:tcBorders>
              <w:top w:val="single" w:sz="2" w:space="0" w:color="1F3864" w:themeColor="accent1" w:themeShade="80"/>
              <w:bottom w:val="single" w:sz="2" w:space="0" w:color="1F3864" w:themeColor="accent1" w:themeShade="80"/>
            </w:tcBorders>
            <w:shd w:val="clear" w:color="auto" w:fill="auto"/>
            <w:vAlign w:val="center"/>
          </w:tcPr>
          <w:p w14:paraId="5D25965E" w14:textId="39932AC7" w:rsidR="008D7327" w:rsidRPr="00CF21E0" w:rsidRDefault="003A23C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811E8">
              <w:rPr>
                <w:rFonts w:cs="Arial"/>
                <w:b/>
              </w:rPr>
              <w:t>202</w:t>
            </w:r>
            <w:r>
              <w:rPr>
                <w:rFonts w:cs="Arial"/>
                <w:b/>
              </w:rPr>
              <w:t>3</w:t>
            </w:r>
          </w:p>
        </w:tc>
      </w:tr>
      <w:tr w:rsidR="0057754C" w:rsidRPr="00C570E8" w14:paraId="78DA88D5"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single" w:sz="2" w:space="0" w:color="1F3864" w:themeColor="accent1" w:themeShade="80"/>
              <w:bottom w:val="nil"/>
            </w:tcBorders>
            <w:shd w:val="clear" w:color="auto" w:fill="auto"/>
            <w:vAlign w:val="center"/>
          </w:tcPr>
          <w:p w14:paraId="3F96B601" w14:textId="77777777" w:rsidR="0057754C" w:rsidRPr="00C570E8" w:rsidRDefault="0057754C" w:rsidP="0057754C">
            <w:pPr>
              <w:pStyle w:val="08-Tabelageral"/>
              <w:jc w:val="left"/>
              <w:rPr>
                <w:rFonts w:cs="Arial"/>
                <w:bCs w:val="0"/>
                <w:szCs w:val="14"/>
              </w:rPr>
            </w:pPr>
            <w:proofErr w:type="spellStart"/>
            <w:r w:rsidRPr="00C570E8">
              <w:rPr>
                <w:rFonts w:cs="Arial"/>
                <w:szCs w:val="14"/>
              </w:rPr>
              <w:t>Operating</w:t>
            </w:r>
            <w:proofErr w:type="spellEnd"/>
            <w:r w:rsidRPr="00C570E8">
              <w:rPr>
                <w:rFonts w:cs="Arial"/>
                <w:szCs w:val="14"/>
              </w:rPr>
              <w:t xml:space="preserve"> Income</w:t>
            </w:r>
          </w:p>
        </w:tc>
        <w:tc>
          <w:tcPr>
            <w:tcW w:w="1166" w:type="dxa"/>
            <w:tcBorders>
              <w:top w:val="single" w:sz="2" w:space="0" w:color="1F3864" w:themeColor="accent1" w:themeShade="80"/>
              <w:bottom w:val="nil"/>
            </w:tcBorders>
            <w:shd w:val="clear" w:color="auto" w:fill="auto"/>
            <w:vAlign w:val="center"/>
          </w:tcPr>
          <w:p w14:paraId="13D124B9"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136" w:type="dxa"/>
            <w:tcBorders>
              <w:top w:val="nil"/>
              <w:left w:val="nil"/>
              <w:bottom w:val="nil"/>
              <w:right w:val="nil"/>
            </w:tcBorders>
            <w:shd w:val="clear" w:color="auto" w:fill="auto"/>
            <w:vAlign w:val="center"/>
          </w:tcPr>
          <w:p w14:paraId="597A974F" w14:textId="429D2E54"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w:t>
            </w:r>
            <w:r w:rsidR="007F4DBC">
              <w:rPr>
                <w:rFonts w:cs="Arial"/>
                <w:b/>
                <w:bCs/>
                <w:color w:val="000000"/>
                <w:szCs w:val="14"/>
              </w:rPr>
              <w:t>,</w:t>
            </w:r>
            <w:r>
              <w:rPr>
                <w:rFonts w:cs="Arial"/>
                <w:b/>
                <w:bCs/>
                <w:color w:val="000000"/>
                <w:szCs w:val="14"/>
              </w:rPr>
              <w:t>683</w:t>
            </w:r>
            <w:r w:rsidR="007F4DBC">
              <w:rPr>
                <w:rFonts w:cs="Arial"/>
                <w:b/>
                <w:bCs/>
                <w:color w:val="000000"/>
                <w:szCs w:val="14"/>
              </w:rPr>
              <w:t>,</w:t>
            </w:r>
            <w:r>
              <w:rPr>
                <w:rFonts w:cs="Arial"/>
                <w:b/>
                <w:bCs/>
                <w:color w:val="000000"/>
                <w:szCs w:val="14"/>
              </w:rPr>
              <w:t>817</w:t>
            </w:r>
          </w:p>
        </w:tc>
        <w:tc>
          <w:tcPr>
            <w:tcW w:w="1870" w:type="dxa"/>
            <w:tcBorders>
              <w:top w:val="single" w:sz="2" w:space="0" w:color="1F3864" w:themeColor="accent1" w:themeShade="80"/>
              <w:bottom w:val="nil"/>
            </w:tcBorders>
            <w:shd w:val="clear" w:color="auto" w:fill="auto"/>
            <w:vAlign w:val="center"/>
          </w:tcPr>
          <w:p w14:paraId="4F0BA430" w14:textId="5F3A7975"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F2AAF">
              <w:rPr>
                <w:rFonts w:cs="Arial"/>
                <w:b/>
                <w:bCs/>
                <w:color w:val="000000"/>
                <w:szCs w:val="14"/>
              </w:rPr>
              <w:t>7</w:t>
            </w:r>
            <w:r w:rsidR="007F4DBC">
              <w:rPr>
                <w:rFonts w:cs="Arial"/>
                <w:b/>
                <w:bCs/>
                <w:color w:val="000000"/>
                <w:szCs w:val="14"/>
              </w:rPr>
              <w:t>,</w:t>
            </w:r>
            <w:r w:rsidRPr="00BF2AAF">
              <w:rPr>
                <w:rFonts w:cs="Arial"/>
                <w:b/>
                <w:bCs/>
                <w:color w:val="000000"/>
                <w:szCs w:val="14"/>
              </w:rPr>
              <w:t>925</w:t>
            </w:r>
            <w:r w:rsidR="007F4DBC">
              <w:rPr>
                <w:rFonts w:cs="Arial"/>
                <w:b/>
                <w:bCs/>
                <w:color w:val="000000"/>
                <w:szCs w:val="14"/>
              </w:rPr>
              <w:t>,</w:t>
            </w:r>
            <w:r w:rsidRPr="00BF2AAF">
              <w:rPr>
                <w:rFonts w:cs="Arial"/>
                <w:b/>
                <w:bCs/>
                <w:color w:val="000000"/>
                <w:szCs w:val="14"/>
              </w:rPr>
              <w:t>902</w:t>
            </w:r>
          </w:p>
        </w:tc>
        <w:tc>
          <w:tcPr>
            <w:tcW w:w="391" w:type="dxa"/>
            <w:gridSpan w:val="2"/>
            <w:tcBorders>
              <w:top w:val="single" w:sz="2" w:space="0" w:color="1F3864" w:themeColor="accent1" w:themeShade="80"/>
              <w:bottom w:val="nil"/>
            </w:tcBorders>
            <w:shd w:val="clear" w:color="auto" w:fill="auto"/>
            <w:vAlign w:val="center"/>
          </w:tcPr>
          <w:p w14:paraId="0CA6B443"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305" w:type="dxa"/>
            <w:tcBorders>
              <w:top w:val="single" w:sz="2" w:space="0" w:color="1F3864" w:themeColor="accent1" w:themeShade="80"/>
              <w:bottom w:val="nil"/>
            </w:tcBorders>
            <w:shd w:val="clear" w:color="auto" w:fill="auto"/>
            <w:vAlign w:val="center"/>
          </w:tcPr>
          <w:p w14:paraId="725E1440" w14:textId="014B4BF9"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10</w:t>
            </w:r>
            <w:r w:rsidR="007F4DBC">
              <w:rPr>
                <w:rFonts w:cs="Arial"/>
                <w:b/>
                <w:bCs/>
                <w:color w:val="000000"/>
                <w:szCs w:val="14"/>
              </w:rPr>
              <w:t>,</w:t>
            </w:r>
            <w:r>
              <w:rPr>
                <w:rFonts w:cs="Arial"/>
                <w:b/>
                <w:bCs/>
                <w:color w:val="000000"/>
                <w:szCs w:val="14"/>
              </w:rPr>
              <w:t>180</w:t>
            </w:r>
            <w:r w:rsidR="007F4DBC">
              <w:rPr>
                <w:rFonts w:cs="Arial"/>
                <w:b/>
                <w:bCs/>
                <w:color w:val="000000"/>
                <w:szCs w:val="14"/>
              </w:rPr>
              <w:t>,</w:t>
            </w:r>
            <w:r>
              <w:rPr>
                <w:rFonts w:cs="Arial"/>
                <w:b/>
                <w:bCs/>
                <w:color w:val="000000"/>
                <w:szCs w:val="14"/>
              </w:rPr>
              <w:t>016</w:t>
            </w:r>
          </w:p>
        </w:tc>
        <w:tc>
          <w:tcPr>
            <w:tcW w:w="1613" w:type="dxa"/>
            <w:tcBorders>
              <w:top w:val="single" w:sz="2" w:space="0" w:color="1F3864" w:themeColor="accent1" w:themeShade="80"/>
              <w:bottom w:val="nil"/>
            </w:tcBorders>
            <w:shd w:val="clear" w:color="auto" w:fill="auto"/>
            <w:vAlign w:val="center"/>
          </w:tcPr>
          <w:p w14:paraId="1E3BD802" w14:textId="0C0A9D3C"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F2AAF">
              <w:rPr>
                <w:rFonts w:cs="Arial"/>
                <w:b/>
                <w:bCs/>
                <w:color w:val="000000"/>
                <w:szCs w:val="14"/>
              </w:rPr>
              <w:t>9</w:t>
            </w:r>
            <w:r w:rsidR="007F4DBC">
              <w:rPr>
                <w:rFonts w:cs="Arial"/>
                <w:b/>
                <w:bCs/>
                <w:color w:val="000000"/>
                <w:szCs w:val="14"/>
              </w:rPr>
              <w:t>,</w:t>
            </w:r>
            <w:r w:rsidRPr="00BF2AAF">
              <w:rPr>
                <w:rFonts w:cs="Arial"/>
                <w:b/>
                <w:bCs/>
                <w:color w:val="000000"/>
                <w:szCs w:val="14"/>
              </w:rPr>
              <w:t>314</w:t>
            </w:r>
            <w:r w:rsidR="007F4DBC">
              <w:rPr>
                <w:rFonts w:cs="Arial"/>
                <w:b/>
                <w:bCs/>
                <w:color w:val="000000"/>
                <w:szCs w:val="14"/>
              </w:rPr>
              <w:t>,</w:t>
            </w:r>
            <w:r w:rsidRPr="00BF2AAF">
              <w:rPr>
                <w:rFonts w:cs="Arial"/>
                <w:b/>
                <w:bCs/>
                <w:color w:val="000000"/>
                <w:szCs w:val="14"/>
              </w:rPr>
              <w:t>860</w:t>
            </w:r>
          </w:p>
        </w:tc>
      </w:tr>
      <w:tr w:rsidR="0057754C" w:rsidRPr="00C570E8" w14:paraId="322C310B"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72C057D9" w14:textId="77777777" w:rsidR="0057754C" w:rsidRPr="00C570E8" w:rsidRDefault="0057754C" w:rsidP="0057754C">
            <w:pPr>
              <w:pStyle w:val="08-Tabelageral"/>
              <w:ind w:left="113"/>
              <w:jc w:val="left"/>
              <w:rPr>
                <w:rFonts w:cs="Arial"/>
                <w:b w:val="0"/>
                <w:szCs w:val="14"/>
              </w:rPr>
            </w:pPr>
            <w:proofErr w:type="spellStart"/>
            <w:r w:rsidRPr="00C570E8">
              <w:rPr>
                <w:rFonts w:cs="Arial"/>
                <w:b w:val="0"/>
                <w:szCs w:val="14"/>
              </w:rPr>
              <w:t>Equity</w:t>
            </w:r>
            <w:proofErr w:type="spellEnd"/>
            <w:r w:rsidRPr="00C570E8">
              <w:rPr>
                <w:rFonts w:cs="Arial"/>
                <w:b w:val="0"/>
                <w:szCs w:val="14"/>
              </w:rPr>
              <w:t xml:space="preserve"> income</w:t>
            </w:r>
          </w:p>
        </w:tc>
        <w:tc>
          <w:tcPr>
            <w:tcW w:w="1166" w:type="dxa"/>
            <w:tcBorders>
              <w:top w:val="nil"/>
              <w:bottom w:val="nil"/>
            </w:tcBorders>
            <w:shd w:val="clear" w:color="auto" w:fill="auto"/>
            <w:vAlign w:val="center"/>
          </w:tcPr>
          <w:p w14:paraId="57F7256E" w14:textId="77777777" w:rsidR="0057754C" w:rsidRPr="00C570E8" w:rsidRDefault="0057754C" w:rsidP="0057754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C570E8">
              <w:rPr>
                <w:rFonts w:cs="Arial"/>
                <w:bCs/>
                <w:szCs w:val="14"/>
              </w:rPr>
              <w:t>[7.b]</w:t>
            </w:r>
          </w:p>
        </w:tc>
        <w:tc>
          <w:tcPr>
            <w:tcW w:w="1136" w:type="dxa"/>
            <w:tcBorders>
              <w:top w:val="nil"/>
              <w:left w:val="nil"/>
              <w:bottom w:val="nil"/>
              <w:right w:val="nil"/>
            </w:tcBorders>
            <w:shd w:val="clear" w:color="auto" w:fill="auto"/>
            <w:vAlign w:val="center"/>
          </w:tcPr>
          <w:p w14:paraId="3F63C1B5" w14:textId="1C2BB9E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8</w:t>
            </w:r>
            <w:r w:rsidR="007F4DBC">
              <w:rPr>
                <w:rFonts w:cs="Arial"/>
                <w:color w:val="000000"/>
                <w:szCs w:val="14"/>
              </w:rPr>
              <w:t>,</w:t>
            </w:r>
            <w:r>
              <w:rPr>
                <w:rFonts w:cs="Arial"/>
                <w:color w:val="000000"/>
                <w:szCs w:val="14"/>
              </w:rPr>
              <w:t>683</w:t>
            </w:r>
            <w:r w:rsidR="007F4DBC">
              <w:rPr>
                <w:rFonts w:cs="Arial"/>
                <w:color w:val="000000"/>
                <w:szCs w:val="14"/>
              </w:rPr>
              <w:t>,</w:t>
            </w:r>
            <w:r>
              <w:rPr>
                <w:rFonts w:cs="Arial"/>
                <w:color w:val="000000"/>
                <w:szCs w:val="14"/>
              </w:rPr>
              <w:t>817</w:t>
            </w:r>
          </w:p>
        </w:tc>
        <w:tc>
          <w:tcPr>
            <w:tcW w:w="1870" w:type="dxa"/>
            <w:tcBorders>
              <w:top w:val="nil"/>
              <w:bottom w:val="nil"/>
            </w:tcBorders>
            <w:shd w:val="clear" w:color="auto" w:fill="auto"/>
            <w:vAlign w:val="center"/>
          </w:tcPr>
          <w:p w14:paraId="710B00F0" w14:textId="65092C12"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BF2AAF">
              <w:rPr>
                <w:rFonts w:cs="Arial"/>
                <w:color w:val="000000"/>
                <w:szCs w:val="14"/>
              </w:rPr>
              <w:t>7</w:t>
            </w:r>
            <w:r w:rsidR="007F4DBC">
              <w:rPr>
                <w:rFonts w:cs="Arial"/>
                <w:color w:val="000000"/>
                <w:szCs w:val="14"/>
              </w:rPr>
              <w:t>,</w:t>
            </w:r>
            <w:r w:rsidRPr="00BF2AAF">
              <w:rPr>
                <w:rFonts w:cs="Arial"/>
                <w:color w:val="000000"/>
                <w:szCs w:val="14"/>
              </w:rPr>
              <w:t>925</w:t>
            </w:r>
            <w:r w:rsidR="007F4DBC">
              <w:rPr>
                <w:rFonts w:cs="Arial"/>
                <w:color w:val="000000"/>
                <w:szCs w:val="14"/>
              </w:rPr>
              <w:t>,</w:t>
            </w:r>
            <w:r w:rsidRPr="00BF2AAF">
              <w:rPr>
                <w:rFonts w:cs="Arial"/>
                <w:color w:val="000000"/>
                <w:szCs w:val="14"/>
              </w:rPr>
              <w:t>902</w:t>
            </w:r>
          </w:p>
        </w:tc>
        <w:tc>
          <w:tcPr>
            <w:tcW w:w="391" w:type="dxa"/>
            <w:gridSpan w:val="2"/>
            <w:tcBorders>
              <w:top w:val="nil"/>
              <w:bottom w:val="nil"/>
            </w:tcBorders>
            <w:shd w:val="clear" w:color="auto" w:fill="auto"/>
            <w:vAlign w:val="center"/>
          </w:tcPr>
          <w:p w14:paraId="4E2FDC44"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305" w:type="dxa"/>
            <w:tcBorders>
              <w:top w:val="nil"/>
              <w:bottom w:val="nil"/>
            </w:tcBorders>
            <w:shd w:val="clear" w:color="auto" w:fill="auto"/>
            <w:vAlign w:val="center"/>
          </w:tcPr>
          <w:p w14:paraId="1D21F7E5" w14:textId="21C3608A"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5</w:t>
            </w:r>
            <w:r w:rsidR="007F4DBC">
              <w:rPr>
                <w:rFonts w:cs="Arial"/>
                <w:color w:val="000000"/>
                <w:szCs w:val="14"/>
              </w:rPr>
              <w:t>,</w:t>
            </w:r>
            <w:r>
              <w:rPr>
                <w:rFonts w:cs="Arial"/>
                <w:color w:val="000000"/>
                <w:szCs w:val="14"/>
              </w:rPr>
              <w:t>311</w:t>
            </w:r>
            <w:r w:rsidR="007F4DBC">
              <w:rPr>
                <w:rFonts w:cs="Arial"/>
                <w:color w:val="000000"/>
                <w:szCs w:val="14"/>
              </w:rPr>
              <w:t>,</w:t>
            </w:r>
            <w:r>
              <w:rPr>
                <w:rFonts w:cs="Arial"/>
                <w:color w:val="000000"/>
                <w:szCs w:val="14"/>
              </w:rPr>
              <w:t>964</w:t>
            </w:r>
          </w:p>
        </w:tc>
        <w:tc>
          <w:tcPr>
            <w:tcW w:w="1613" w:type="dxa"/>
            <w:tcBorders>
              <w:top w:val="nil"/>
              <w:bottom w:val="nil"/>
            </w:tcBorders>
            <w:shd w:val="clear" w:color="auto" w:fill="auto"/>
            <w:vAlign w:val="center"/>
          </w:tcPr>
          <w:p w14:paraId="3B2FC1D7" w14:textId="11D86E36"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BF2AAF">
              <w:rPr>
                <w:rFonts w:cs="Arial"/>
                <w:color w:val="000000"/>
                <w:szCs w:val="14"/>
              </w:rPr>
              <w:t>4</w:t>
            </w:r>
            <w:r w:rsidR="007F4DBC">
              <w:rPr>
                <w:rFonts w:cs="Arial"/>
                <w:color w:val="000000"/>
                <w:szCs w:val="14"/>
              </w:rPr>
              <w:t>,</w:t>
            </w:r>
            <w:r w:rsidRPr="00BF2AAF">
              <w:rPr>
                <w:rFonts w:cs="Arial"/>
                <w:color w:val="000000"/>
                <w:szCs w:val="14"/>
              </w:rPr>
              <w:t>890</w:t>
            </w:r>
            <w:r w:rsidR="007F4DBC">
              <w:rPr>
                <w:rFonts w:cs="Arial"/>
                <w:color w:val="000000"/>
                <w:szCs w:val="14"/>
              </w:rPr>
              <w:t>,</w:t>
            </w:r>
            <w:r w:rsidRPr="00BF2AAF">
              <w:rPr>
                <w:rFonts w:cs="Arial"/>
                <w:color w:val="000000"/>
                <w:szCs w:val="14"/>
              </w:rPr>
              <w:t>458</w:t>
            </w:r>
          </w:p>
        </w:tc>
      </w:tr>
      <w:tr w:rsidR="0057754C" w:rsidRPr="00C570E8" w14:paraId="0DBB9CF6"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646247F6" w14:textId="396E6631" w:rsidR="0057754C" w:rsidRPr="00C570E8" w:rsidRDefault="0057754C" w:rsidP="0057754C">
            <w:pPr>
              <w:pStyle w:val="08-Tabelageral"/>
              <w:ind w:left="113"/>
              <w:jc w:val="left"/>
              <w:rPr>
                <w:rFonts w:cs="Arial"/>
                <w:b w:val="0"/>
                <w:szCs w:val="14"/>
              </w:rPr>
            </w:pPr>
            <w:proofErr w:type="spellStart"/>
            <w:r>
              <w:rPr>
                <w:rFonts w:cs="Arial"/>
                <w:b w:val="0"/>
                <w:szCs w:val="14"/>
              </w:rPr>
              <w:t>C</w:t>
            </w:r>
            <w:r w:rsidRPr="00C570E8">
              <w:rPr>
                <w:rFonts w:cs="Arial"/>
                <w:b w:val="0"/>
                <w:szCs w:val="14"/>
              </w:rPr>
              <w:t>ommissions</w:t>
            </w:r>
            <w:proofErr w:type="spellEnd"/>
            <w:r w:rsidRPr="00C570E8">
              <w:rPr>
                <w:rFonts w:cs="Arial"/>
                <w:b w:val="0"/>
                <w:szCs w:val="14"/>
              </w:rPr>
              <w:t xml:space="preserve"> income</w:t>
            </w:r>
          </w:p>
        </w:tc>
        <w:tc>
          <w:tcPr>
            <w:tcW w:w="1166" w:type="dxa"/>
            <w:tcBorders>
              <w:top w:val="nil"/>
              <w:bottom w:val="nil"/>
            </w:tcBorders>
            <w:shd w:val="clear" w:color="auto" w:fill="auto"/>
            <w:vAlign w:val="center"/>
          </w:tcPr>
          <w:p w14:paraId="296FA7D2" w14:textId="77777777" w:rsidR="0057754C" w:rsidRPr="00C570E8" w:rsidRDefault="0057754C" w:rsidP="0057754C">
            <w:pPr>
              <w:pStyle w:val="08-Tabelageral"/>
              <w:ind w:left="113"/>
              <w:cnfStyle w:val="000000010000" w:firstRow="0" w:lastRow="0" w:firstColumn="0" w:lastColumn="0" w:oddVBand="0" w:evenVBand="0" w:oddHBand="0" w:evenHBand="1" w:firstRowFirstColumn="0" w:firstRowLastColumn="0" w:lastRowFirstColumn="0" w:lastRowLastColumn="0"/>
              <w:rPr>
                <w:rFonts w:cs="Arial"/>
                <w:bCs/>
                <w:szCs w:val="14"/>
              </w:rPr>
            </w:pPr>
            <w:r w:rsidRPr="00C570E8">
              <w:rPr>
                <w:rFonts w:cs="Arial"/>
                <w:bCs/>
                <w:szCs w:val="14"/>
              </w:rPr>
              <w:t>[8]</w:t>
            </w:r>
          </w:p>
        </w:tc>
        <w:tc>
          <w:tcPr>
            <w:tcW w:w="1136" w:type="dxa"/>
            <w:tcBorders>
              <w:top w:val="nil"/>
              <w:left w:val="nil"/>
              <w:bottom w:val="nil"/>
              <w:right w:val="nil"/>
            </w:tcBorders>
            <w:shd w:val="clear" w:color="auto" w:fill="auto"/>
            <w:vAlign w:val="center"/>
          </w:tcPr>
          <w:p w14:paraId="3B85FC01" w14:textId="6C088A80"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w:t>
            </w:r>
          </w:p>
        </w:tc>
        <w:tc>
          <w:tcPr>
            <w:tcW w:w="1870" w:type="dxa"/>
            <w:tcBorders>
              <w:top w:val="nil"/>
              <w:bottom w:val="nil"/>
            </w:tcBorders>
            <w:shd w:val="clear" w:color="auto" w:fill="auto"/>
            <w:vAlign w:val="center"/>
          </w:tcPr>
          <w:p w14:paraId="1E218E9A" w14:textId="53513A6A"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BF2AAF">
              <w:rPr>
                <w:rFonts w:cs="Arial"/>
                <w:szCs w:val="14"/>
              </w:rPr>
              <w:t>--</w:t>
            </w:r>
          </w:p>
        </w:tc>
        <w:tc>
          <w:tcPr>
            <w:tcW w:w="391" w:type="dxa"/>
            <w:gridSpan w:val="2"/>
            <w:tcBorders>
              <w:top w:val="nil"/>
              <w:bottom w:val="nil"/>
            </w:tcBorders>
            <w:shd w:val="clear" w:color="auto" w:fill="auto"/>
            <w:vAlign w:val="center"/>
          </w:tcPr>
          <w:p w14:paraId="0868746E"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305" w:type="dxa"/>
            <w:tcBorders>
              <w:top w:val="nil"/>
              <w:bottom w:val="nil"/>
            </w:tcBorders>
            <w:shd w:val="clear" w:color="auto" w:fill="auto"/>
            <w:vAlign w:val="center"/>
          </w:tcPr>
          <w:p w14:paraId="2A474234" w14:textId="27EB1E48"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4</w:t>
            </w:r>
            <w:r w:rsidR="007F4DBC">
              <w:rPr>
                <w:rFonts w:cs="Arial"/>
                <w:color w:val="000000"/>
                <w:szCs w:val="14"/>
              </w:rPr>
              <w:t>,</w:t>
            </w:r>
            <w:r>
              <w:rPr>
                <w:rFonts w:cs="Arial"/>
                <w:color w:val="000000"/>
                <w:szCs w:val="14"/>
              </w:rPr>
              <w:t>868</w:t>
            </w:r>
            <w:r w:rsidR="007F4DBC">
              <w:rPr>
                <w:rFonts w:cs="Arial"/>
                <w:color w:val="000000"/>
                <w:szCs w:val="14"/>
              </w:rPr>
              <w:t>,</w:t>
            </w:r>
            <w:r>
              <w:rPr>
                <w:rFonts w:cs="Arial"/>
                <w:color w:val="000000"/>
                <w:szCs w:val="14"/>
              </w:rPr>
              <w:t>052</w:t>
            </w:r>
          </w:p>
        </w:tc>
        <w:tc>
          <w:tcPr>
            <w:tcW w:w="1613" w:type="dxa"/>
            <w:tcBorders>
              <w:top w:val="nil"/>
              <w:bottom w:val="nil"/>
            </w:tcBorders>
            <w:shd w:val="clear" w:color="auto" w:fill="auto"/>
            <w:vAlign w:val="center"/>
          </w:tcPr>
          <w:p w14:paraId="0AC39F1C" w14:textId="166DEFA1"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BF2AAF">
              <w:rPr>
                <w:rFonts w:cs="Arial"/>
                <w:color w:val="000000"/>
                <w:szCs w:val="14"/>
              </w:rPr>
              <w:t>4</w:t>
            </w:r>
            <w:r w:rsidR="007F4DBC">
              <w:rPr>
                <w:rFonts w:cs="Arial"/>
                <w:color w:val="000000"/>
                <w:szCs w:val="14"/>
              </w:rPr>
              <w:t>,</w:t>
            </w:r>
            <w:r w:rsidRPr="00BF2AAF">
              <w:rPr>
                <w:rFonts w:cs="Arial"/>
                <w:color w:val="000000"/>
                <w:szCs w:val="14"/>
              </w:rPr>
              <w:t>424</w:t>
            </w:r>
            <w:r w:rsidR="007F4DBC">
              <w:rPr>
                <w:rFonts w:cs="Arial"/>
                <w:color w:val="000000"/>
                <w:szCs w:val="14"/>
              </w:rPr>
              <w:t>,</w:t>
            </w:r>
            <w:r w:rsidRPr="00BF2AAF">
              <w:rPr>
                <w:rFonts w:cs="Arial"/>
                <w:color w:val="000000"/>
                <w:szCs w:val="14"/>
              </w:rPr>
              <w:t>402</w:t>
            </w:r>
          </w:p>
        </w:tc>
      </w:tr>
      <w:tr w:rsidR="0057754C" w:rsidRPr="00C570E8" w14:paraId="12E1DF03"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71814E26" w14:textId="77777777" w:rsidR="0057754C" w:rsidRPr="00C570E8" w:rsidRDefault="0057754C" w:rsidP="0057754C">
            <w:pPr>
              <w:pStyle w:val="08-Tabelageral"/>
              <w:jc w:val="left"/>
              <w:rPr>
                <w:rFonts w:cs="Arial"/>
                <w:bCs w:val="0"/>
                <w:szCs w:val="14"/>
              </w:rPr>
            </w:pPr>
            <w:proofErr w:type="spellStart"/>
            <w:r w:rsidRPr="00C570E8">
              <w:rPr>
                <w:rFonts w:cs="Arial"/>
                <w:szCs w:val="14"/>
              </w:rPr>
              <w:t>Cost</w:t>
            </w:r>
            <w:proofErr w:type="spellEnd"/>
            <w:r w:rsidRPr="00C570E8">
              <w:rPr>
                <w:rFonts w:cs="Arial"/>
                <w:szCs w:val="14"/>
              </w:rPr>
              <w:t xml:space="preserve"> </w:t>
            </w:r>
            <w:proofErr w:type="spellStart"/>
            <w:r w:rsidRPr="00C570E8">
              <w:rPr>
                <w:rFonts w:cs="Arial"/>
                <w:szCs w:val="14"/>
              </w:rPr>
              <w:t>of</w:t>
            </w:r>
            <w:proofErr w:type="spellEnd"/>
            <w:r w:rsidRPr="00C570E8">
              <w:rPr>
                <w:rFonts w:cs="Arial"/>
                <w:szCs w:val="14"/>
              </w:rPr>
              <w:t xml:space="preserve"> Services </w:t>
            </w:r>
            <w:proofErr w:type="spellStart"/>
            <w:r w:rsidRPr="00C570E8">
              <w:rPr>
                <w:rFonts w:cs="Arial"/>
                <w:szCs w:val="14"/>
              </w:rPr>
              <w:t>Provided</w:t>
            </w:r>
            <w:proofErr w:type="spellEnd"/>
          </w:p>
        </w:tc>
        <w:tc>
          <w:tcPr>
            <w:tcW w:w="1166" w:type="dxa"/>
            <w:tcBorders>
              <w:top w:val="nil"/>
              <w:bottom w:val="nil"/>
            </w:tcBorders>
            <w:shd w:val="clear" w:color="auto" w:fill="auto"/>
            <w:vAlign w:val="center"/>
          </w:tcPr>
          <w:p w14:paraId="089FFE45"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C570E8">
              <w:rPr>
                <w:rFonts w:cs="Arial"/>
                <w:b/>
                <w:szCs w:val="14"/>
              </w:rPr>
              <w:t>[9]</w:t>
            </w:r>
          </w:p>
        </w:tc>
        <w:tc>
          <w:tcPr>
            <w:tcW w:w="1136" w:type="dxa"/>
            <w:tcBorders>
              <w:top w:val="nil"/>
              <w:left w:val="nil"/>
              <w:bottom w:val="nil"/>
              <w:right w:val="nil"/>
            </w:tcBorders>
            <w:shd w:val="clear" w:color="auto" w:fill="auto"/>
            <w:vAlign w:val="center"/>
          </w:tcPr>
          <w:p w14:paraId="7CEA5748" w14:textId="63A30021"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w:t>
            </w:r>
          </w:p>
        </w:tc>
        <w:tc>
          <w:tcPr>
            <w:tcW w:w="1870" w:type="dxa"/>
            <w:tcBorders>
              <w:top w:val="nil"/>
              <w:bottom w:val="nil"/>
            </w:tcBorders>
            <w:shd w:val="clear" w:color="auto" w:fill="auto"/>
            <w:vAlign w:val="center"/>
          </w:tcPr>
          <w:p w14:paraId="45236A87" w14:textId="27C30A0D"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szCs w:val="14"/>
              </w:rPr>
              <w:t>--</w:t>
            </w:r>
          </w:p>
        </w:tc>
        <w:tc>
          <w:tcPr>
            <w:tcW w:w="391" w:type="dxa"/>
            <w:gridSpan w:val="2"/>
            <w:tcBorders>
              <w:top w:val="nil"/>
              <w:bottom w:val="nil"/>
            </w:tcBorders>
            <w:shd w:val="clear" w:color="auto" w:fill="auto"/>
            <w:vAlign w:val="center"/>
          </w:tcPr>
          <w:p w14:paraId="7ABAA32B"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65129890" w14:textId="05C4E21D"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(172</w:t>
            </w:r>
            <w:r w:rsidR="007F4DBC">
              <w:rPr>
                <w:rFonts w:cs="Arial"/>
                <w:b/>
                <w:bCs/>
                <w:color w:val="000000"/>
                <w:szCs w:val="14"/>
              </w:rPr>
              <w:t>,</w:t>
            </w:r>
            <w:r>
              <w:rPr>
                <w:rFonts w:cs="Arial"/>
                <w:b/>
                <w:bCs/>
                <w:color w:val="000000"/>
                <w:szCs w:val="14"/>
              </w:rPr>
              <w:t>198)</w:t>
            </w:r>
          </w:p>
        </w:tc>
        <w:tc>
          <w:tcPr>
            <w:tcW w:w="1613" w:type="dxa"/>
            <w:tcBorders>
              <w:top w:val="nil"/>
              <w:bottom w:val="nil"/>
            </w:tcBorders>
            <w:shd w:val="clear" w:color="auto" w:fill="auto"/>
            <w:vAlign w:val="center"/>
          </w:tcPr>
          <w:p w14:paraId="1573B48A" w14:textId="77F79873"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(188</w:t>
            </w:r>
            <w:r w:rsidR="007F4DBC">
              <w:rPr>
                <w:rFonts w:cs="Arial"/>
                <w:b/>
                <w:bCs/>
                <w:color w:val="000000"/>
                <w:szCs w:val="14"/>
              </w:rPr>
              <w:t>,</w:t>
            </w:r>
            <w:r w:rsidRPr="00BF2AAF">
              <w:rPr>
                <w:rFonts w:cs="Arial"/>
                <w:b/>
                <w:bCs/>
                <w:color w:val="000000"/>
                <w:szCs w:val="14"/>
              </w:rPr>
              <w:t>792)</w:t>
            </w:r>
          </w:p>
        </w:tc>
      </w:tr>
      <w:tr w:rsidR="0057754C" w:rsidRPr="00C570E8" w14:paraId="2703F913"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7E353780" w14:textId="77777777" w:rsidR="0057754C" w:rsidRPr="00C570E8" w:rsidRDefault="0057754C" w:rsidP="0057754C">
            <w:pPr>
              <w:pStyle w:val="08-Tabelageral"/>
              <w:jc w:val="left"/>
              <w:rPr>
                <w:rFonts w:cs="Arial"/>
                <w:szCs w:val="14"/>
              </w:rPr>
            </w:pPr>
            <w:r w:rsidRPr="00C570E8">
              <w:rPr>
                <w:rFonts w:cs="Arial"/>
                <w:szCs w:val="14"/>
              </w:rPr>
              <w:t>Gross Profit</w:t>
            </w:r>
          </w:p>
        </w:tc>
        <w:tc>
          <w:tcPr>
            <w:tcW w:w="1166" w:type="dxa"/>
            <w:tcBorders>
              <w:top w:val="nil"/>
              <w:bottom w:val="nil"/>
            </w:tcBorders>
            <w:shd w:val="clear" w:color="auto" w:fill="auto"/>
            <w:vAlign w:val="center"/>
          </w:tcPr>
          <w:p w14:paraId="5A9F194B"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136" w:type="dxa"/>
            <w:tcBorders>
              <w:top w:val="nil"/>
              <w:left w:val="nil"/>
              <w:bottom w:val="nil"/>
              <w:right w:val="nil"/>
            </w:tcBorders>
            <w:shd w:val="clear" w:color="auto" w:fill="auto"/>
            <w:vAlign w:val="center"/>
          </w:tcPr>
          <w:p w14:paraId="249A2C63" w14:textId="5328C411"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8</w:t>
            </w:r>
            <w:r w:rsidR="007F4DBC">
              <w:rPr>
                <w:rFonts w:cs="Arial"/>
                <w:b/>
                <w:bCs/>
                <w:color w:val="000000"/>
                <w:szCs w:val="14"/>
              </w:rPr>
              <w:t>,</w:t>
            </w:r>
            <w:r>
              <w:rPr>
                <w:rFonts w:cs="Arial"/>
                <w:b/>
                <w:bCs/>
                <w:color w:val="000000"/>
                <w:szCs w:val="14"/>
              </w:rPr>
              <w:t>683</w:t>
            </w:r>
            <w:r w:rsidR="007F4DBC">
              <w:rPr>
                <w:rFonts w:cs="Arial"/>
                <w:b/>
                <w:bCs/>
                <w:color w:val="000000"/>
                <w:szCs w:val="14"/>
              </w:rPr>
              <w:t>,</w:t>
            </w:r>
            <w:r>
              <w:rPr>
                <w:rFonts w:cs="Arial"/>
                <w:b/>
                <w:bCs/>
                <w:color w:val="000000"/>
                <w:szCs w:val="14"/>
              </w:rPr>
              <w:t>817</w:t>
            </w:r>
          </w:p>
        </w:tc>
        <w:tc>
          <w:tcPr>
            <w:tcW w:w="1870" w:type="dxa"/>
            <w:tcBorders>
              <w:top w:val="nil"/>
              <w:bottom w:val="nil"/>
            </w:tcBorders>
            <w:shd w:val="clear" w:color="auto" w:fill="auto"/>
            <w:vAlign w:val="center"/>
          </w:tcPr>
          <w:p w14:paraId="49A59925" w14:textId="560DE421"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F2AAF">
              <w:rPr>
                <w:rFonts w:cs="Arial"/>
                <w:b/>
                <w:bCs/>
                <w:color w:val="000000"/>
                <w:szCs w:val="14"/>
              </w:rPr>
              <w:t>7</w:t>
            </w:r>
            <w:r w:rsidR="007F4DBC">
              <w:rPr>
                <w:rFonts w:cs="Arial"/>
                <w:b/>
                <w:bCs/>
                <w:color w:val="000000"/>
                <w:szCs w:val="14"/>
              </w:rPr>
              <w:t>,</w:t>
            </w:r>
            <w:r w:rsidRPr="00BF2AAF">
              <w:rPr>
                <w:rFonts w:cs="Arial"/>
                <w:b/>
                <w:bCs/>
                <w:color w:val="000000"/>
                <w:szCs w:val="14"/>
              </w:rPr>
              <w:t>925</w:t>
            </w:r>
            <w:r w:rsidR="007F4DBC">
              <w:rPr>
                <w:rFonts w:cs="Arial"/>
                <w:b/>
                <w:bCs/>
                <w:color w:val="000000"/>
                <w:szCs w:val="14"/>
              </w:rPr>
              <w:t>,</w:t>
            </w:r>
            <w:r w:rsidRPr="00BF2AAF">
              <w:rPr>
                <w:rFonts w:cs="Arial"/>
                <w:b/>
                <w:bCs/>
                <w:color w:val="000000"/>
                <w:szCs w:val="14"/>
              </w:rPr>
              <w:t>902</w:t>
            </w:r>
          </w:p>
        </w:tc>
        <w:tc>
          <w:tcPr>
            <w:tcW w:w="391" w:type="dxa"/>
            <w:gridSpan w:val="2"/>
            <w:tcBorders>
              <w:top w:val="nil"/>
              <w:bottom w:val="nil"/>
            </w:tcBorders>
            <w:shd w:val="clear" w:color="auto" w:fill="auto"/>
            <w:vAlign w:val="center"/>
          </w:tcPr>
          <w:p w14:paraId="70F10FB5"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6AF488D7" w14:textId="5CFAEF6C"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10</w:t>
            </w:r>
            <w:r w:rsidR="007F4DBC">
              <w:rPr>
                <w:rFonts w:cs="Arial"/>
                <w:b/>
                <w:bCs/>
                <w:color w:val="000000"/>
                <w:szCs w:val="14"/>
              </w:rPr>
              <w:t>,</w:t>
            </w:r>
            <w:r>
              <w:rPr>
                <w:rFonts w:cs="Arial"/>
                <w:b/>
                <w:bCs/>
                <w:color w:val="000000"/>
                <w:szCs w:val="14"/>
              </w:rPr>
              <w:t>007</w:t>
            </w:r>
            <w:r w:rsidR="007F4DBC">
              <w:rPr>
                <w:rFonts w:cs="Arial"/>
                <w:b/>
                <w:bCs/>
                <w:color w:val="000000"/>
                <w:szCs w:val="14"/>
              </w:rPr>
              <w:t>,</w:t>
            </w:r>
            <w:r>
              <w:rPr>
                <w:rFonts w:cs="Arial"/>
                <w:b/>
                <w:bCs/>
                <w:color w:val="000000"/>
                <w:szCs w:val="14"/>
              </w:rPr>
              <w:t>818</w:t>
            </w:r>
          </w:p>
        </w:tc>
        <w:tc>
          <w:tcPr>
            <w:tcW w:w="1613" w:type="dxa"/>
            <w:tcBorders>
              <w:top w:val="nil"/>
              <w:bottom w:val="nil"/>
            </w:tcBorders>
            <w:shd w:val="clear" w:color="auto" w:fill="auto"/>
            <w:vAlign w:val="center"/>
          </w:tcPr>
          <w:p w14:paraId="42328423" w14:textId="71A79BF3"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F2AAF">
              <w:rPr>
                <w:rFonts w:cs="Arial"/>
                <w:b/>
                <w:bCs/>
                <w:color w:val="000000"/>
                <w:szCs w:val="14"/>
              </w:rPr>
              <w:t>9</w:t>
            </w:r>
            <w:r w:rsidR="007F4DBC">
              <w:rPr>
                <w:rFonts w:cs="Arial"/>
                <w:b/>
                <w:bCs/>
                <w:color w:val="000000"/>
                <w:szCs w:val="14"/>
              </w:rPr>
              <w:t>,</w:t>
            </w:r>
            <w:r w:rsidRPr="00BF2AAF">
              <w:rPr>
                <w:rFonts w:cs="Arial"/>
                <w:b/>
                <w:bCs/>
                <w:color w:val="000000"/>
                <w:szCs w:val="14"/>
              </w:rPr>
              <w:t>126</w:t>
            </w:r>
            <w:r w:rsidR="007F4DBC">
              <w:rPr>
                <w:rFonts w:cs="Arial"/>
                <w:b/>
                <w:bCs/>
                <w:color w:val="000000"/>
                <w:szCs w:val="14"/>
              </w:rPr>
              <w:t>,</w:t>
            </w:r>
            <w:r w:rsidRPr="00BF2AAF">
              <w:rPr>
                <w:rFonts w:cs="Arial"/>
                <w:b/>
                <w:bCs/>
                <w:color w:val="000000"/>
                <w:szCs w:val="14"/>
              </w:rPr>
              <w:t>068</w:t>
            </w:r>
          </w:p>
        </w:tc>
      </w:tr>
      <w:tr w:rsidR="0057754C" w:rsidRPr="00C570E8" w14:paraId="3333164B"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5E7716E2" w14:textId="77777777" w:rsidR="0057754C" w:rsidRPr="00C570E8" w:rsidRDefault="0057754C" w:rsidP="0057754C">
            <w:pPr>
              <w:pStyle w:val="08-Tabelageral"/>
              <w:jc w:val="left"/>
              <w:rPr>
                <w:rFonts w:cs="Arial"/>
                <w:bCs w:val="0"/>
                <w:szCs w:val="14"/>
              </w:rPr>
            </w:pPr>
            <w:r w:rsidRPr="00C570E8">
              <w:rPr>
                <w:rFonts w:cs="Arial"/>
                <w:szCs w:val="14"/>
              </w:rPr>
              <w:t xml:space="preserve">Other Income </w:t>
            </w:r>
            <w:proofErr w:type="spellStart"/>
            <w:r w:rsidRPr="00C570E8">
              <w:rPr>
                <w:rFonts w:cs="Arial"/>
                <w:szCs w:val="14"/>
              </w:rPr>
              <w:t>and</w:t>
            </w:r>
            <w:proofErr w:type="spellEnd"/>
            <w:r w:rsidRPr="00C570E8">
              <w:rPr>
                <w:rFonts w:cs="Arial"/>
                <w:szCs w:val="14"/>
              </w:rPr>
              <w:t xml:space="preserve"> </w:t>
            </w:r>
            <w:proofErr w:type="spellStart"/>
            <w:r w:rsidRPr="00C570E8">
              <w:rPr>
                <w:rFonts w:cs="Arial"/>
                <w:szCs w:val="14"/>
              </w:rPr>
              <w:t>Expenses</w:t>
            </w:r>
            <w:proofErr w:type="spellEnd"/>
          </w:p>
        </w:tc>
        <w:tc>
          <w:tcPr>
            <w:tcW w:w="1166" w:type="dxa"/>
            <w:tcBorders>
              <w:top w:val="nil"/>
              <w:bottom w:val="nil"/>
            </w:tcBorders>
            <w:shd w:val="clear" w:color="auto" w:fill="auto"/>
            <w:vAlign w:val="center"/>
          </w:tcPr>
          <w:p w14:paraId="19B5B2CC"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136" w:type="dxa"/>
            <w:tcBorders>
              <w:top w:val="nil"/>
              <w:left w:val="nil"/>
              <w:bottom w:val="nil"/>
              <w:right w:val="nil"/>
            </w:tcBorders>
            <w:shd w:val="clear" w:color="auto" w:fill="auto"/>
            <w:vAlign w:val="center"/>
          </w:tcPr>
          <w:p w14:paraId="6A98F5A7" w14:textId="70A8777F"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(18</w:t>
            </w:r>
            <w:r w:rsidR="007F4DBC">
              <w:rPr>
                <w:rFonts w:cs="Arial"/>
                <w:b/>
                <w:bCs/>
                <w:color w:val="000000"/>
                <w:szCs w:val="14"/>
              </w:rPr>
              <w:t>,</w:t>
            </w:r>
            <w:r>
              <w:rPr>
                <w:rFonts w:cs="Arial"/>
                <w:b/>
                <w:bCs/>
                <w:color w:val="000000"/>
                <w:szCs w:val="14"/>
              </w:rPr>
              <w:t>972)</w:t>
            </w:r>
          </w:p>
        </w:tc>
        <w:tc>
          <w:tcPr>
            <w:tcW w:w="1870" w:type="dxa"/>
            <w:tcBorders>
              <w:top w:val="nil"/>
              <w:bottom w:val="nil"/>
            </w:tcBorders>
            <w:shd w:val="clear" w:color="auto" w:fill="auto"/>
            <w:vAlign w:val="center"/>
          </w:tcPr>
          <w:p w14:paraId="0914F4B1" w14:textId="536959CC"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(18</w:t>
            </w:r>
            <w:r w:rsidR="007F4DBC">
              <w:rPr>
                <w:rFonts w:cs="Arial"/>
                <w:b/>
                <w:bCs/>
                <w:color w:val="000000"/>
                <w:szCs w:val="14"/>
              </w:rPr>
              <w:t>,</w:t>
            </w:r>
            <w:r w:rsidRPr="00BF2AAF">
              <w:rPr>
                <w:rFonts w:cs="Arial"/>
                <w:b/>
                <w:bCs/>
                <w:color w:val="000000"/>
                <w:szCs w:val="14"/>
              </w:rPr>
              <w:t>117)</w:t>
            </w:r>
          </w:p>
        </w:tc>
        <w:tc>
          <w:tcPr>
            <w:tcW w:w="391" w:type="dxa"/>
            <w:gridSpan w:val="2"/>
            <w:tcBorders>
              <w:top w:val="nil"/>
              <w:bottom w:val="nil"/>
            </w:tcBorders>
            <w:shd w:val="clear" w:color="auto" w:fill="auto"/>
            <w:vAlign w:val="center"/>
          </w:tcPr>
          <w:p w14:paraId="03FBE8CC"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721E79F4" w14:textId="19FF7C8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(250</w:t>
            </w:r>
            <w:r w:rsidR="007F4DBC">
              <w:rPr>
                <w:rFonts w:cs="Arial"/>
                <w:b/>
                <w:bCs/>
                <w:color w:val="000000"/>
                <w:szCs w:val="14"/>
              </w:rPr>
              <w:t>,</w:t>
            </w:r>
            <w:r>
              <w:rPr>
                <w:rFonts w:cs="Arial"/>
                <w:b/>
                <w:bCs/>
                <w:color w:val="000000"/>
                <w:szCs w:val="14"/>
              </w:rPr>
              <w:t>551)</w:t>
            </w:r>
          </w:p>
        </w:tc>
        <w:tc>
          <w:tcPr>
            <w:tcW w:w="1613" w:type="dxa"/>
            <w:tcBorders>
              <w:top w:val="nil"/>
              <w:bottom w:val="nil"/>
            </w:tcBorders>
            <w:shd w:val="clear" w:color="auto" w:fill="auto"/>
            <w:vAlign w:val="center"/>
          </w:tcPr>
          <w:p w14:paraId="1639670D" w14:textId="64E5F99E"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(220</w:t>
            </w:r>
            <w:r w:rsidR="007F4DBC">
              <w:rPr>
                <w:rFonts w:cs="Arial"/>
                <w:b/>
                <w:bCs/>
                <w:color w:val="000000"/>
                <w:szCs w:val="14"/>
              </w:rPr>
              <w:t>,</w:t>
            </w:r>
            <w:r w:rsidRPr="00BF2AAF">
              <w:rPr>
                <w:rFonts w:cs="Arial"/>
                <w:b/>
                <w:bCs/>
                <w:color w:val="000000"/>
                <w:szCs w:val="14"/>
              </w:rPr>
              <w:t>301)</w:t>
            </w:r>
          </w:p>
        </w:tc>
      </w:tr>
      <w:tr w:rsidR="0057754C" w:rsidRPr="00C570E8" w14:paraId="5813A7C0"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49EB1A68" w14:textId="77777777" w:rsidR="0057754C" w:rsidRPr="00C570E8" w:rsidRDefault="0057754C" w:rsidP="0057754C">
            <w:pPr>
              <w:pStyle w:val="08-Tabelageral"/>
              <w:ind w:left="113"/>
              <w:jc w:val="left"/>
              <w:rPr>
                <w:rFonts w:cs="Arial"/>
                <w:b w:val="0"/>
                <w:szCs w:val="14"/>
              </w:rPr>
            </w:pPr>
            <w:proofErr w:type="spellStart"/>
            <w:r w:rsidRPr="00C570E8">
              <w:rPr>
                <w:rFonts w:cs="Arial"/>
                <w:b w:val="0"/>
                <w:szCs w:val="14"/>
              </w:rPr>
              <w:t>Personnel</w:t>
            </w:r>
            <w:proofErr w:type="spellEnd"/>
            <w:r w:rsidRPr="00C570E8">
              <w:rPr>
                <w:rFonts w:cs="Arial"/>
                <w:b w:val="0"/>
                <w:szCs w:val="14"/>
              </w:rPr>
              <w:t xml:space="preserve"> </w:t>
            </w:r>
            <w:proofErr w:type="spellStart"/>
            <w:r w:rsidRPr="00C570E8">
              <w:rPr>
                <w:rFonts w:cs="Arial"/>
                <w:b w:val="0"/>
                <w:szCs w:val="14"/>
              </w:rPr>
              <w:t>expenses</w:t>
            </w:r>
            <w:proofErr w:type="spellEnd"/>
          </w:p>
        </w:tc>
        <w:tc>
          <w:tcPr>
            <w:tcW w:w="1166" w:type="dxa"/>
            <w:tcBorders>
              <w:top w:val="nil"/>
              <w:bottom w:val="nil"/>
            </w:tcBorders>
            <w:shd w:val="clear" w:color="auto" w:fill="auto"/>
            <w:vAlign w:val="center"/>
          </w:tcPr>
          <w:p w14:paraId="5B60D57B" w14:textId="77777777" w:rsidR="0057754C" w:rsidRPr="00C570E8" w:rsidRDefault="0057754C" w:rsidP="0057754C">
            <w:pPr>
              <w:pStyle w:val="08-Tabelageral"/>
              <w:ind w:left="113"/>
              <w:cnfStyle w:val="000000010000" w:firstRow="0" w:lastRow="0" w:firstColumn="0" w:lastColumn="0" w:oddVBand="0" w:evenVBand="0" w:oddHBand="0" w:evenHBand="1" w:firstRowFirstColumn="0" w:firstRowLastColumn="0" w:lastRowFirstColumn="0" w:lastRowLastColumn="0"/>
              <w:rPr>
                <w:rFonts w:cs="Arial"/>
                <w:bCs/>
                <w:szCs w:val="14"/>
              </w:rPr>
            </w:pPr>
            <w:r w:rsidRPr="00C570E8">
              <w:rPr>
                <w:rFonts w:cs="Arial"/>
                <w:bCs/>
                <w:szCs w:val="14"/>
              </w:rPr>
              <w:t>[10]</w:t>
            </w:r>
          </w:p>
        </w:tc>
        <w:tc>
          <w:tcPr>
            <w:tcW w:w="1136" w:type="dxa"/>
            <w:tcBorders>
              <w:top w:val="nil"/>
              <w:left w:val="nil"/>
              <w:bottom w:val="nil"/>
              <w:right w:val="nil"/>
            </w:tcBorders>
            <w:shd w:val="clear" w:color="auto" w:fill="auto"/>
            <w:vAlign w:val="center"/>
          </w:tcPr>
          <w:p w14:paraId="2CEAB763" w14:textId="2DAD6C1B"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(11</w:t>
            </w:r>
            <w:r w:rsidR="007F4DBC">
              <w:rPr>
                <w:rFonts w:cs="Arial"/>
                <w:color w:val="000000"/>
                <w:szCs w:val="14"/>
              </w:rPr>
              <w:t>,</w:t>
            </w:r>
            <w:r>
              <w:rPr>
                <w:rFonts w:cs="Arial"/>
                <w:color w:val="000000"/>
                <w:szCs w:val="14"/>
              </w:rPr>
              <w:t>853)</w:t>
            </w:r>
          </w:p>
        </w:tc>
        <w:tc>
          <w:tcPr>
            <w:tcW w:w="1870" w:type="dxa"/>
            <w:tcBorders>
              <w:top w:val="nil"/>
              <w:bottom w:val="nil"/>
            </w:tcBorders>
            <w:shd w:val="clear" w:color="auto" w:fill="auto"/>
            <w:vAlign w:val="center"/>
          </w:tcPr>
          <w:p w14:paraId="438A136D" w14:textId="6BD672DB"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BF2AAF">
              <w:rPr>
                <w:rFonts w:cs="Arial"/>
                <w:color w:val="000000"/>
                <w:szCs w:val="14"/>
              </w:rPr>
              <w:t>(13</w:t>
            </w:r>
            <w:r w:rsidR="007F4DBC">
              <w:rPr>
                <w:rFonts w:cs="Arial"/>
                <w:color w:val="000000"/>
                <w:szCs w:val="14"/>
              </w:rPr>
              <w:t>,</w:t>
            </w:r>
            <w:r w:rsidRPr="00BF2AAF">
              <w:rPr>
                <w:rFonts w:cs="Arial"/>
                <w:color w:val="000000"/>
                <w:szCs w:val="14"/>
              </w:rPr>
              <w:t>129)</w:t>
            </w:r>
          </w:p>
        </w:tc>
        <w:tc>
          <w:tcPr>
            <w:tcW w:w="391" w:type="dxa"/>
            <w:gridSpan w:val="2"/>
            <w:tcBorders>
              <w:top w:val="nil"/>
              <w:bottom w:val="nil"/>
            </w:tcBorders>
            <w:shd w:val="clear" w:color="auto" w:fill="auto"/>
            <w:vAlign w:val="center"/>
          </w:tcPr>
          <w:p w14:paraId="23181ADC"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305" w:type="dxa"/>
            <w:tcBorders>
              <w:top w:val="nil"/>
              <w:bottom w:val="nil"/>
            </w:tcBorders>
            <w:shd w:val="clear" w:color="auto" w:fill="auto"/>
            <w:vAlign w:val="center"/>
          </w:tcPr>
          <w:p w14:paraId="6ECB30BA" w14:textId="4ED52DD5"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(89</w:t>
            </w:r>
            <w:r w:rsidR="007F4DBC">
              <w:rPr>
                <w:rFonts w:cs="Arial"/>
                <w:color w:val="000000"/>
                <w:szCs w:val="14"/>
              </w:rPr>
              <w:t>,</w:t>
            </w:r>
            <w:r>
              <w:rPr>
                <w:rFonts w:cs="Arial"/>
                <w:color w:val="000000"/>
                <w:szCs w:val="14"/>
              </w:rPr>
              <w:t>665)</w:t>
            </w:r>
          </w:p>
        </w:tc>
        <w:tc>
          <w:tcPr>
            <w:tcW w:w="1613" w:type="dxa"/>
            <w:tcBorders>
              <w:top w:val="nil"/>
              <w:bottom w:val="nil"/>
            </w:tcBorders>
            <w:shd w:val="clear" w:color="auto" w:fill="auto"/>
            <w:vAlign w:val="center"/>
          </w:tcPr>
          <w:p w14:paraId="0419425D" w14:textId="7D749661"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BF2AAF">
              <w:rPr>
                <w:rFonts w:cs="Arial"/>
                <w:color w:val="000000"/>
                <w:szCs w:val="14"/>
              </w:rPr>
              <w:t>(86</w:t>
            </w:r>
            <w:r w:rsidR="007F4DBC">
              <w:rPr>
                <w:rFonts w:cs="Arial"/>
                <w:color w:val="000000"/>
                <w:szCs w:val="14"/>
              </w:rPr>
              <w:t>,</w:t>
            </w:r>
            <w:r w:rsidRPr="00BF2AAF">
              <w:rPr>
                <w:rFonts w:cs="Arial"/>
                <w:color w:val="000000"/>
                <w:szCs w:val="14"/>
              </w:rPr>
              <w:t>122)</w:t>
            </w:r>
          </w:p>
        </w:tc>
      </w:tr>
      <w:tr w:rsidR="0057754C" w:rsidRPr="00C570E8" w14:paraId="7E762F75"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051752E9" w14:textId="77777777" w:rsidR="0057754C" w:rsidRPr="00C570E8" w:rsidRDefault="0057754C" w:rsidP="0057754C">
            <w:pPr>
              <w:pStyle w:val="08-Tabelageral"/>
              <w:ind w:left="113"/>
              <w:jc w:val="left"/>
              <w:rPr>
                <w:rFonts w:cs="Arial"/>
                <w:b w:val="0"/>
                <w:szCs w:val="14"/>
              </w:rPr>
            </w:pPr>
            <w:proofErr w:type="spellStart"/>
            <w:r w:rsidRPr="00C570E8">
              <w:rPr>
                <w:rFonts w:cs="Arial"/>
                <w:b w:val="0"/>
                <w:szCs w:val="14"/>
              </w:rPr>
              <w:t>Administratives</w:t>
            </w:r>
            <w:proofErr w:type="spellEnd"/>
            <w:r w:rsidRPr="00C570E8">
              <w:rPr>
                <w:rFonts w:cs="Arial"/>
                <w:b w:val="0"/>
                <w:szCs w:val="14"/>
              </w:rPr>
              <w:t xml:space="preserve"> </w:t>
            </w:r>
            <w:proofErr w:type="spellStart"/>
            <w:r w:rsidRPr="00C570E8">
              <w:rPr>
                <w:rFonts w:cs="Arial"/>
                <w:b w:val="0"/>
                <w:szCs w:val="14"/>
              </w:rPr>
              <w:t>and</w:t>
            </w:r>
            <w:proofErr w:type="spellEnd"/>
            <w:r w:rsidRPr="00C570E8">
              <w:rPr>
                <w:rFonts w:cs="Arial"/>
                <w:b w:val="0"/>
                <w:szCs w:val="14"/>
              </w:rPr>
              <w:t xml:space="preserve"> </w:t>
            </w:r>
            <w:proofErr w:type="spellStart"/>
            <w:r w:rsidRPr="00C570E8">
              <w:rPr>
                <w:rFonts w:cs="Arial"/>
                <w:b w:val="0"/>
                <w:szCs w:val="14"/>
              </w:rPr>
              <w:t>sales</w:t>
            </w:r>
            <w:proofErr w:type="spellEnd"/>
            <w:r w:rsidRPr="00C570E8">
              <w:rPr>
                <w:rFonts w:cs="Arial"/>
                <w:b w:val="0"/>
                <w:szCs w:val="14"/>
              </w:rPr>
              <w:t xml:space="preserve"> </w:t>
            </w:r>
            <w:proofErr w:type="spellStart"/>
            <w:r w:rsidRPr="00C570E8">
              <w:rPr>
                <w:rFonts w:cs="Arial"/>
                <w:b w:val="0"/>
                <w:szCs w:val="14"/>
              </w:rPr>
              <w:t>expenses</w:t>
            </w:r>
            <w:proofErr w:type="spellEnd"/>
          </w:p>
        </w:tc>
        <w:tc>
          <w:tcPr>
            <w:tcW w:w="1166" w:type="dxa"/>
            <w:tcBorders>
              <w:top w:val="nil"/>
              <w:bottom w:val="nil"/>
            </w:tcBorders>
            <w:shd w:val="clear" w:color="auto" w:fill="auto"/>
            <w:vAlign w:val="center"/>
          </w:tcPr>
          <w:p w14:paraId="6AD4662B" w14:textId="77777777" w:rsidR="0057754C" w:rsidRPr="00C570E8" w:rsidRDefault="0057754C" w:rsidP="0057754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C570E8">
              <w:rPr>
                <w:rFonts w:cs="Arial"/>
                <w:bCs/>
                <w:szCs w:val="14"/>
              </w:rPr>
              <w:t>[11]</w:t>
            </w:r>
          </w:p>
        </w:tc>
        <w:tc>
          <w:tcPr>
            <w:tcW w:w="1136" w:type="dxa"/>
            <w:tcBorders>
              <w:top w:val="nil"/>
              <w:left w:val="nil"/>
              <w:bottom w:val="nil"/>
              <w:right w:val="nil"/>
            </w:tcBorders>
            <w:shd w:val="clear" w:color="auto" w:fill="auto"/>
            <w:vAlign w:val="center"/>
          </w:tcPr>
          <w:p w14:paraId="7160824B" w14:textId="062CBDB4"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(3</w:t>
            </w:r>
            <w:r w:rsidR="007F4DBC">
              <w:rPr>
                <w:rFonts w:cs="Arial"/>
                <w:color w:val="000000"/>
                <w:szCs w:val="14"/>
              </w:rPr>
              <w:t>,</w:t>
            </w:r>
            <w:r>
              <w:rPr>
                <w:rFonts w:cs="Arial"/>
                <w:color w:val="000000"/>
                <w:szCs w:val="14"/>
              </w:rPr>
              <w:t>890)</w:t>
            </w:r>
          </w:p>
        </w:tc>
        <w:tc>
          <w:tcPr>
            <w:tcW w:w="1870" w:type="dxa"/>
            <w:tcBorders>
              <w:top w:val="nil"/>
              <w:bottom w:val="nil"/>
            </w:tcBorders>
            <w:shd w:val="clear" w:color="auto" w:fill="auto"/>
            <w:vAlign w:val="center"/>
          </w:tcPr>
          <w:p w14:paraId="1E736F0F" w14:textId="3F55FC7E"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BF2AAF">
              <w:rPr>
                <w:rFonts w:cs="Arial"/>
                <w:color w:val="000000"/>
                <w:szCs w:val="14"/>
              </w:rPr>
              <w:t>(3</w:t>
            </w:r>
            <w:r w:rsidR="007F4DBC">
              <w:rPr>
                <w:rFonts w:cs="Arial"/>
                <w:color w:val="000000"/>
                <w:szCs w:val="14"/>
              </w:rPr>
              <w:t>,</w:t>
            </w:r>
            <w:r w:rsidRPr="00BF2AAF">
              <w:rPr>
                <w:rFonts w:cs="Arial"/>
                <w:color w:val="000000"/>
                <w:szCs w:val="14"/>
              </w:rPr>
              <w:t>589)</w:t>
            </w:r>
          </w:p>
        </w:tc>
        <w:tc>
          <w:tcPr>
            <w:tcW w:w="391" w:type="dxa"/>
            <w:gridSpan w:val="2"/>
            <w:tcBorders>
              <w:top w:val="nil"/>
              <w:bottom w:val="nil"/>
            </w:tcBorders>
            <w:shd w:val="clear" w:color="auto" w:fill="auto"/>
            <w:vAlign w:val="center"/>
          </w:tcPr>
          <w:p w14:paraId="4D785702"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305" w:type="dxa"/>
            <w:tcBorders>
              <w:top w:val="nil"/>
              <w:bottom w:val="nil"/>
            </w:tcBorders>
            <w:shd w:val="clear" w:color="auto" w:fill="auto"/>
            <w:vAlign w:val="center"/>
          </w:tcPr>
          <w:p w14:paraId="1CAEC949" w14:textId="66A59091"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(107</w:t>
            </w:r>
            <w:r w:rsidR="007F4DBC">
              <w:rPr>
                <w:rFonts w:cs="Arial"/>
                <w:color w:val="000000"/>
                <w:szCs w:val="14"/>
              </w:rPr>
              <w:t>,</w:t>
            </w:r>
            <w:r>
              <w:rPr>
                <w:rFonts w:cs="Arial"/>
                <w:color w:val="000000"/>
                <w:szCs w:val="14"/>
              </w:rPr>
              <w:t>498)</w:t>
            </w:r>
          </w:p>
        </w:tc>
        <w:tc>
          <w:tcPr>
            <w:tcW w:w="1613" w:type="dxa"/>
            <w:tcBorders>
              <w:top w:val="nil"/>
              <w:bottom w:val="nil"/>
            </w:tcBorders>
            <w:shd w:val="clear" w:color="auto" w:fill="auto"/>
            <w:vAlign w:val="center"/>
          </w:tcPr>
          <w:p w14:paraId="786CBC06" w14:textId="5C7AA7AD"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sidRPr="00BF2AAF">
              <w:rPr>
                <w:rFonts w:cs="Arial"/>
                <w:color w:val="000000"/>
                <w:szCs w:val="14"/>
              </w:rPr>
              <w:t>(88</w:t>
            </w:r>
            <w:r w:rsidR="007F4DBC">
              <w:rPr>
                <w:rFonts w:cs="Arial"/>
                <w:color w:val="000000"/>
                <w:szCs w:val="14"/>
              </w:rPr>
              <w:t>,</w:t>
            </w:r>
            <w:r w:rsidRPr="00BF2AAF">
              <w:rPr>
                <w:rFonts w:cs="Arial"/>
                <w:color w:val="000000"/>
                <w:szCs w:val="14"/>
              </w:rPr>
              <w:t>554)</w:t>
            </w:r>
          </w:p>
        </w:tc>
      </w:tr>
      <w:tr w:rsidR="0057754C" w:rsidRPr="00C570E8" w14:paraId="57E2E218"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17079052" w14:textId="77777777" w:rsidR="0057754C" w:rsidRPr="00C570E8" w:rsidRDefault="0057754C" w:rsidP="0057754C">
            <w:pPr>
              <w:pStyle w:val="08-Tabelageral"/>
              <w:ind w:left="113"/>
              <w:jc w:val="left"/>
              <w:rPr>
                <w:rFonts w:cs="Arial"/>
                <w:b w:val="0"/>
                <w:szCs w:val="14"/>
              </w:rPr>
            </w:pPr>
            <w:proofErr w:type="spellStart"/>
            <w:r w:rsidRPr="00C570E8">
              <w:rPr>
                <w:rFonts w:cs="Arial"/>
                <w:b w:val="0"/>
                <w:szCs w:val="14"/>
              </w:rPr>
              <w:t>Tax</w:t>
            </w:r>
            <w:proofErr w:type="spellEnd"/>
            <w:r w:rsidRPr="00C570E8">
              <w:rPr>
                <w:rFonts w:cs="Arial"/>
                <w:b w:val="0"/>
                <w:szCs w:val="14"/>
              </w:rPr>
              <w:t xml:space="preserve"> </w:t>
            </w:r>
            <w:proofErr w:type="spellStart"/>
            <w:r w:rsidRPr="00C570E8">
              <w:rPr>
                <w:rFonts w:cs="Arial"/>
                <w:b w:val="0"/>
                <w:szCs w:val="14"/>
              </w:rPr>
              <w:t>expenses</w:t>
            </w:r>
            <w:proofErr w:type="spellEnd"/>
          </w:p>
        </w:tc>
        <w:tc>
          <w:tcPr>
            <w:tcW w:w="1166" w:type="dxa"/>
            <w:tcBorders>
              <w:top w:val="nil"/>
              <w:bottom w:val="nil"/>
            </w:tcBorders>
            <w:shd w:val="clear" w:color="auto" w:fill="auto"/>
            <w:vAlign w:val="center"/>
          </w:tcPr>
          <w:p w14:paraId="18385429" w14:textId="77777777" w:rsidR="0057754C" w:rsidRPr="00C570E8" w:rsidRDefault="0057754C" w:rsidP="0057754C">
            <w:pPr>
              <w:pStyle w:val="08-Tabelageral"/>
              <w:ind w:left="113"/>
              <w:cnfStyle w:val="000000010000" w:firstRow="0" w:lastRow="0" w:firstColumn="0" w:lastColumn="0" w:oddVBand="0" w:evenVBand="0" w:oddHBand="0" w:evenHBand="1" w:firstRowFirstColumn="0" w:firstRowLastColumn="0" w:lastRowFirstColumn="0" w:lastRowLastColumn="0"/>
              <w:rPr>
                <w:rFonts w:cs="Arial"/>
                <w:bCs/>
                <w:szCs w:val="14"/>
              </w:rPr>
            </w:pPr>
            <w:r w:rsidRPr="00C570E8">
              <w:rPr>
                <w:rFonts w:cs="Arial"/>
                <w:bCs/>
                <w:szCs w:val="14"/>
              </w:rPr>
              <w:t>[12.c]</w:t>
            </w:r>
          </w:p>
        </w:tc>
        <w:tc>
          <w:tcPr>
            <w:tcW w:w="1136" w:type="dxa"/>
            <w:tcBorders>
              <w:top w:val="nil"/>
              <w:left w:val="nil"/>
              <w:bottom w:val="nil"/>
              <w:right w:val="nil"/>
            </w:tcBorders>
            <w:shd w:val="clear" w:color="auto" w:fill="auto"/>
            <w:vAlign w:val="center"/>
          </w:tcPr>
          <w:p w14:paraId="44016F7A" w14:textId="7C7E3B81"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(4</w:t>
            </w:r>
            <w:r w:rsidR="007F4DBC">
              <w:rPr>
                <w:rFonts w:cs="Arial"/>
                <w:color w:val="000000"/>
                <w:szCs w:val="14"/>
              </w:rPr>
              <w:t>,</w:t>
            </w:r>
            <w:r>
              <w:rPr>
                <w:rFonts w:cs="Arial"/>
                <w:color w:val="000000"/>
                <w:szCs w:val="14"/>
              </w:rPr>
              <w:t>562)</w:t>
            </w:r>
          </w:p>
        </w:tc>
        <w:tc>
          <w:tcPr>
            <w:tcW w:w="1870" w:type="dxa"/>
            <w:tcBorders>
              <w:top w:val="nil"/>
              <w:bottom w:val="nil"/>
            </w:tcBorders>
            <w:shd w:val="clear" w:color="auto" w:fill="auto"/>
            <w:vAlign w:val="center"/>
          </w:tcPr>
          <w:p w14:paraId="061E7936" w14:textId="34B378FB"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BF2AAF">
              <w:rPr>
                <w:rFonts w:cs="Arial"/>
                <w:color w:val="000000"/>
                <w:szCs w:val="14"/>
              </w:rPr>
              <w:t>(6</w:t>
            </w:r>
            <w:r w:rsidR="007F4DBC">
              <w:rPr>
                <w:rFonts w:cs="Arial"/>
                <w:color w:val="000000"/>
                <w:szCs w:val="14"/>
              </w:rPr>
              <w:t>,</w:t>
            </w:r>
            <w:r w:rsidRPr="00BF2AAF">
              <w:rPr>
                <w:rFonts w:cs="Arial"/>
                <w:color w:val="000000"/>
                <w:szCs w:val="14"/>
              </w:rPr>
              <w:t>798)</w:t>
            </w:r>
          </w:p>
        </w:tc>
        <w:tc>
          <w:tcPr>
            <w:tcW w:w="391" w:type="dxa"/>
            <w:gridSpan w:val="2"/>
            <w:tcBorders>
              <w:top w:val="nil"/>
              <w:bottom w:val="nil"/>
            </w:tcBorders>
            <w:shd w:val="clear" w:color="auto" w:fill="auto"/>
            <w:vAlign w:val="center"/>
          </w:tcPr>
          <w:p w14:paraId="5A1CB095"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305" w:type="dxa"/>
            <w:tcBorders>
              <w:top w:val="nil"/>
              <w:bottom w:val="nil"/>
            </w:tcBorders>
            <w:shd w:val="clear" w:color="auto" w:fill="auto"/>
            <w:vAlign w:val="center"/>
          </w:tcPr>
          <w:p w14:paraId="19AF252A" w14:textId="60522496"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(34</w:t>
            </w:r>
            <w:r w:rsidR="007F4DBC">
              <w:rPr>
                <w:rFonts w:cs="Arial"/>
                <w:color w:val="000000"/>
                <w:szCs w:val="14"/>
              </w:rPr>
              <w:t>,</w:t>
            </w:r>
            <w:r>
              <w:rPr>
                <w:rFonts w:cs="Arial"/>
                <w:color w:val="000000"/>
                <w:szCs w:val="14"/>
              </w:rPr>
              <w:t>373)</w:t>
            </w:r>
          </w:p>
        </w:tc>
        <w:tc>
          <w:tcPr>
            <w:tcW w:w="1613" w:type="dxa"/>
            <w:tcBorders>
              <w:top w:val="nil"/>
              <w:bottom w:val="nil"/>
            </w:tcBorders>
            <w:shd w:val="clear" w:color="auto" w:fill="auto"/>
            <w:vAlign w:val="center"/>
          </w:tcPr>
          <w:p w14:paraId="6F317859" w14:textId="5892DE5E"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sidRPr="00BF2AAF">
              <w:rPr>
                <w:rFonts w:cs="Arial"/>
                <w:color w:val="000000"/>
                <w:szCs w:val="14"/>
              </w:rPr>
              <w:t>(35</w:t>
            </w:r>
            <w:r w:rsidR="007F4DBC">
              <w:rPr>
                <w:rFonts w:cs="Arial"/>
                <w:color w:val="000000"/>
                <w:szCs w:val="14"/>
              </w:rPr>
              <w:t>,</w:t>
            </w:r>
            <w:r w:rsidRPr="00BF2AAF">
              <w:rPr>
                <w:rFonts w:cs="Arial"/>
                <w:color w:val="000000"/>
                <w:szCs w:val="14"/>
              </w:rPr>
              <w:t>684)</w:t>
            </w:r>
          </w:p>
        </w:tc>
      </w:tr>
      <w:tr w:rsidR="009C0EE1" w:rsidRPr="00C570E8" w14:paraId="307A0B12"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3608A4FC" w14:textId="647A1EF5" w:rsidR="009C0EE1" w:rsidRPr="00C570E8" w:rsidRDefault="009C0EE1" w:rsidP="009C0EE1">
            <w:pPr>
              <w:pStyle w:val="08-Tabelageral"/>
              <w:ind w:left="113"/>
              <w:jc w:val="left"/>
              <w:rPr>
                <w:rFonts w:cs="Arial"/>
                <w:b w:val="0"/>
                <w:szCs w:val="14"/>
              </w:rPr>
            </w:pPr>
            <w:r w:rsidRPr="00BA0FFD">
              <w:rPr>
                <w:b w:val="0"/>
              </w:rPr>
              <w:t>Other</w:t>
            </w:r>
            <w:r>
              <w:rPr>
                <w:b w:val="0"/>
              </w:rPr>
              <w:t xml:space="preserve"> income</w:t>
            </w:r>
          </w:p>
        </w:tc>
        <w:tc>
          <w:tcPr>
            <w:tcW w:w="1166" w:type="dxa"/>
            <w:tcBorders>
              <w:top w:val="nil"/>
              <w:bottom w:val="nil"/>
            </w:tcBorders>
            <w:shd w:val="clear" w:color="auto" w:fill="auto"/>
            <w:vAlign w:val="center"/>
          </w:tcPr>
          <w:p w14:paraId="04AE3177" w14:textId="77777777" w:rsidR="009C0EE1" w:rsidRPr="00C570E8" w:rsidRDefault="009C0EE1" w:rsidP="009C0EE1">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C570E8">
              <w:rPr>
                <w:rFonts w:cs="Arial"/>
                <w:bCs/>
                <w:szCs w:val="14"/>
              </w:rPr>
              <w:t>[13]</w:t>
            </w:r>
          </w:p>
        </w:tc>
        <w:tc>
          <w:tcPr>
            <w:tcW w:w="1136" w:type="dxa"/>
            <w:tcBorders>
              <w:top w:val="nil"/>
              <w:left w:val="nil"/>
              <w:bottom w:val="nil"/>
              <w:right w:val="nil"/>
            </w:tcBorders>
            <w:shd w:val="clear" w:color="auto" w:fill="auto"/>
            <w:vAlign w:val="center"/>
          </w:tcPr>
          <w:p w14:paraId="29AC5482" w14:textId="0E19432E" w:rsidR="009C0EE1" w:rsidRPr="00C570E8" w:rsidRDefault="009C0EE1" w:rsidP="009C0EE1">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3,889</w:t>
            </w:r>
          </w:p>
        </w:tc>
        <w:tc>
          <w:tcPr>
            <w:tcW w:w="1870" w:type="dxa"/>
            <w:tcBorders>
              <w:top w:val="nil"/>
              <w:left w:val="nil"/>
              <w:bottom w:val="nil"/>
              <w:right w:val="nil"/>
            </w:tcBorders>
            <w:shd w:val="clear" w:color="auto" w:fill="auto"/>
            <w:vAlign w:val="center"/>
          </w:tcPr>
          <w:p w14:paraId="5332D47E" w14:textId="11BDD734" w:rsidR="009C0EE1" w:rsidRPr="00C570E8" w:rsidRDefault="009C0EE1" w:rsidP="009C0EE1">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6,237</w:t>
            </w:r>
          </w:p>
        </w:tc>
        <w:tc>
          <w:tcPr>
            <w:tcW w:w="391" w:type="dxa"/>
            <w:gridSpan w:val="2"/>
            <w:tcBorders>
              <w:top w:val="nil"/>
              <w:bottom w:val="nil"/>
            </w:tcBorders>
            <w:shd w:val="clear" w:color="auto" w:fill="auto"/>
            <w:vAlign w:val="center"/>
          </w:tcPr>
          <w:p w14:paraId="600EDABC" w14:textId="77777777" w:rsidR="009C0EE1" w:rsidRPr="00C570E8" w:rsidRDefault="009C0EE1" w:rsidP="009C0EE1">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305" w:type="dxa"/>
            <w:tcBorders>
              <w:top w:val="nil"/>
              <w:left w:val="nil"/>
              <w:bottom w:val="nil"/>
              <w:right w:val="nil"/>
            </w:tcBorders>
            <w:shd w:val="clear" w:color="auto" w:fill="auto"/>
            <w:vAlign w:val="center"/>
          </w:tcPr>
          <w:p w14:paraId="34EA4CE4" w14:textId="7CDB27DE" w:rsidR="009C0EE1" w:rsidRPr="00C570E8" w:rsidRDefault="009C0EE1" w:rsidP="009C0EE1">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20,350</w:t>
            </w:r>
          </w:p>
        </w:tc>
        <w:tc>
          <w:tcPr>
            <w:tcW w:w="1613" w:type="dxa"/>
            <w:tcBorders>
              <w:top w:val="nil"/>
              <w:left w:val="nil"/>
              <w:bottom w:val="nil"/>
              <w:right w:val="nil"/>
            </w:tcBorders>
            <w:shd w:val="clear" w:color="auto" w:fill="auto"/>
            <w:vAlign w:val="center"/>
          </w:tcPr>
          <w:p w14:paraId="1B94A491" w14:textId="438F6B5C" w:rsidR="009C0EE1" w:rsidRPr="00C570E8" w:rsidRDefault="009C0EE1" w:rsidP="009C0EE1">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r>
              <w:rPr>
                <w:rFonts w:cs="Arial"/>
                <w:color w:val="000000"/>
                <w:szCs w:val="14"/>
              </w:rPr>
              <w:t>16,226</w:t>
            </w:r>
          </w:p>
        </w:tc>
      </w:tr>
      <w:tr w:rsidR="009C0EE1" w:rsidRPr="00C570E8" w14:paraId="704860FF"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1C439C67" w14:textId="3C0286A7" w:rsidR="009C0EE1" w:rsidRPr="00C570E8" w:rsidRDefault="009C0EE1" w:rsidP="009C0EE1">
            <w:pPr>
              <w:pStyle w:val="08-Tabelageral"/>
              <w:ind w:left="113"/>
              <w:jc w:val="left"/>
              <w:rPr>
                <w:rFonts w:cs="Arial"/>
                <w:szCs w:val="14"/>
              </w:rPr>
            </w:pPr>
            <w:r w:rsidRPr="00EF0B3B">
              <w:rPr>
                <w:b w:val="0"/>
              </w:rPr>
              <w:t xml:space="preserve">Other </w:t>
            </w:r>
            <w:proofErr w:type="spellStart"/>
            <w:r w:rsidRPr="00EF0B3B">
              <w:rPr>
                <w:b w:val="0"/>
              </w:rPr>
              <w:t>expense</w:t>
            </w:r>
            <w:r>
              <w:rPr>
                <w:b w:val="0"/>
              </w:rPr>
              <w:t>s</w:t>
            </w:r>
            <w:proofErr w:type="spellEnd"/>
          </w:p>
        </w:tc>
        <w:tc>
          <w:tcPr>
            <w:tcW w:w="1166" w:type="dxa"/>
            <w:tcBorders>
              <w:top w:val="nil"/>
              <w:bottom w:val="nil"/>
            </w:tcBorders>
            <w:shd w:val="clear" w:color="auto" w:fill="auto"/>
            <w:vAlign w:val="center"/>
          </w:tcPr>
          <w:p w14:paraId="68D3D8C8" w14:textId="5BA1B05C" w:rsidR="009C0EE1" w:rsidRPr="00C570E8" w:rsidRDefault="009C0EE1" w:rsidP="009C0EE1">
            <w:pPr>
              <w:pStyle w:val="08-Tabelageral"/>
              <w:ind w:left="113"/>
              <w:cnfStyle w:val="000000010000" w:firstRow="0" w:lastRow="0" w:firstColumn="0" w:lastColumn="0" w:oddVBand="0" w:evenVBand="0" w:oddHBand="0" w:evenHBand="1" w:firstRowFirstColumn="0" w:firstRowLastColumn="0" w:lastRowFirstColumn="0" w:lastRowLastColumn="0"/>
              <w:rPr>
                <w:rFonts w:cs="Arial"/>
                <w:bCs/>
                <w:szCs w:val="14"/>
              </w:rPr>
            </w:pPr>
            <w:r w:rsidRPr="00C570E8">
              <w:rPr>
                <w:rFonts w:cs="Arial"/>
                <w:bCs/>
                <w:szCs w:val="14"/>
              </w:rPr>
              <w:t>[13]</w:t>
            </w:r>
          </w:p>
        </w:tc>
        <w:tc>
          <w:tcPr>
            <w:tcW w:w="1136" w:type="dxa"/>
            <w:tcBorders>
              <w:top w:val="nil"/>
              <w:left w:val="nil"/>
              <w:bottom w:val="nil"/>
              <w:right w:val="nil"/>
            </w:tcBorders>
            <w:shd w:val="clear" w:color="auto" w:fill="auto"/>
            <w:vAlign w:val="center"/>
          </w:tcPr>
          <w:p w14:paraId="223067CB" w14:textId="2A3F99A2" w:rsidR="009C0EE1" w:rsidRPr="00C570E8" w:rsidRDefault="009C0EE1" w:rsidP="009C0EE1">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(2,556)</w:t>
            </w:r>
          </w:p>
        </w:tc>
        <w:tc>
          <w:tcPr>
            <w:tcW w:w="1870" w:type="dxa"/>
            <w:tcBorders>
              <w:top w:val="nil"/>
              <w:left w:val="nil"/>
              <w:bottom w:val="nil"/>
              <w:right w:val="nil"/>
            </w:tcBorders>
            <w:shd w:val="clear" w:color="auto" w:fill="auto"/>
            <w:vAlign w:val="center"/>
          </w:tcPr>
          <w:p w14:paraId="360AA93E" w14:textId="4EB12F32" w:rsidR="009C0EE1" w:rsidRPr="00C570E8" w:rsidRDefault="009C0EE1" w:rsidP="009C0EE1">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(838)</w:t>
            </w:r>
          </w:p>
        </w:tc>
        <w:tc>
          <w:tcPr>
            <w:tcW w:w="391" w:type="dxa"/>
            <w:gridSpan w:val="2"/>
            <w:tcBorders>
              <w:top w:val="nil"/>
              <w:bottom w:val="nil"/>
            </w:tcBorders>
            <w:shd w:val="clear" w:color="auto" w:fill="auto"/>
            <w:vAlign w:val="center"/>
          </w:tcPr>
          <w:p w14:paraId="520B88D6" w14:textId="77777777" w:rsidR="009C0EE1" w:rsidRPr="00C570E8" w:rsidRDefault="009C0EE1" w:rsidP="009C0EE1">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305" w:type="dxa"/>
            <w:tcBorders>
              <w:top w:val="nil"/>
              <w:left w:val="nil"/>
              <w:bottom w:val="nil"/>
              <w:right w:val="nil"/>
            </w:tcBorders>
            <w:shd w:val="clear" w:color="auto" w:fill="auto"/>
            <w:vAlign w:val="center"/>
          </w:tcPr>
          <w:p w14:paraId="1F8D675D" w14:textId="414818F9" w:rsidR="009C0EE1" w:rsidRPr="00C570E8" w:rsidRDefault="009C0EE1" w:rsidP="009C0EE1">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rPr>
            </w:pPr>
            <w:r>
              <w:rPr>
                <w:rFonts w:cs="Arial"/>
                <w:color w:val="000000"/>
                <w:szCs w:val="14"/>
              </w:rPr>
              <w:t>(39,365)</w:t>
            </w:r>
          </w:p>
        </w:tc>
        <w:tc>
          <w:tcPr>
            <w:tcW w:w="1613" w:type="dxa"/>
            <w:tcBorders>
              <w:top w:val="nil"/>
              <w:left w:val="nil"/>
              <w:bottom w:val="nil"/>
              <w:right w:val="nil"/>
            </w:tcBorders>
            <w:shd w:val="clear" w:color="auto" w:fill="auto"/>
            <w:vAlign w:val="center"/>
          </w:tcPr>
          <w:p w14:paraId="0EC32AA9" w14:textId="51CF100E" w:rsidR="009C0EE1" w:rsidRPr="00C570E8" w:rsidRDefault="009C0EE1" w:rsidP="009C0EE1">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color w:val="000000"/>
                <w:szCs w:val="14"/>
              </w:rPr>
              <w:t>(26,167)</w:t>
            </w:r>
          </w:p>
        </w:tc>
      </w:tr>
      <w:tr w:rsidR="0057754C" w:rsidRPr="00C570E8" w14:paraId="2854D8F8"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55077473" w14:textId="77777777" w:rsidR="0057754C" w:rsidRPr="00C570E8" w:rsidRDefault="0057754C" w:rsidP="0057754C">
            <w:pPr>
              <w:pStyle w:val="08-Tabelageral"/>
              <w:jc w:val="left"/>
              <w:rPr>
                <w:rFonts w:cs="Arial"/>
                <w:szCs w:val="14"/>
                <w:lang w:val="en-US"/>
              </w:rPr>
            </w:pPr>
            <w:r w:rsidRPr="00C570E8">
              <w:rPr>
                <w:rFonts w:cs="Arial"/>
                <w:szCs w:val="14"/>
                <w:lang w:val="en-US"/>
              </w:rPr>
              <w:t>Income Before Financial Revenue and Expenses</w:t>
            </w:r>
          </w:p>
        </w:tc>
        <w:tc>
          <w:tcPr>
            <w:tcW w:w="1166" w:type="dxa"/>
            <w:tcBorders>
              <w:top w:val="nil"/>
              <w:bottom w:val="nil"/>
            </w:tcBorders>
            <w:shd w:val="clear" w:color="auto" w:fill="auto"/>
            <w:vAlign w:val="center"/>
          </w:tcPr>
          <w:p w14:paraId="1A0B417D"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136" w:type="dxa"/>
            <w:tcBorders>
              <w:top w:val="nil"/>
              <w:left w:val="nil"/>
              <w:bottom w:val="nil"/>
              <w:right w:val="nil"/>
            </w:tcBorders>
            <w:shd w:val="clear" w:color="auto" w:fill="auto"/>
            <w:vAlign w:val="center"/>
          </w:tcPr>
          <w:p w14:paraId="3CDC067E" w14:textId="26A9B3ED"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w:t>
            </w:r>
            <w:r w:rsidR="007F4DBC">
              <w:rPr>
                <w:rFonts w:cs="Arial"/>
                <w:b/>
                <w:bCs/>
                <w:color w:val="000000"/>
                <w:szCs w:val="14"/>
              </w:rPr>
              <w:t>,</w:t>
            </w:r>
            <w:r>
              <w:rPr>
                <w:rFonts w:cs="Arial"/>
                <w:b/>
                <w:bCs/>
                <w:color w:val="000000"/>
                <w:szCs w:val="14"/>
              </w:rPr>
              <w:t>664</w:t>
            </w:r>
            <w:r w:rsidR="007F4DBC">
              <w:rPr>
                <w:rFonts w:cs="Arial"/>
                <w:b/>
                <w:bCs/>
                <w:color w:val="000000"/>
                <w:szCs w:val="14"/>
              </w:rPr>
              <w:t>,</w:t>
            </w:r>
            <w:r>
              <w:rPr>
                <w:rFonts w:cs="Arial"/>
                <w:b/>
                <w:bCs/>
                <w:color w:val="000000"/>
                <w:szCs w:val="14"/>
              </w:rPr>
              <w:t>845</w:t>
            </w:r>
          </w:p>
        </w:tc>
        <w:tc>
          <w:tcPr>
            <w:tcW w:w="1870" w:type="dxa"/>
            <w:tcBorders>
              <w:top w:val="nil"/>
              <w:bottom w:val="nil"/>
            </w:tcBorders>
            <w:shd w:val="clear" w:color="auto" w:fill="auto"/>
            <w:vAlign w:val="center"/>
          </w:tcPr>
          <w:p w14:paraId="5FF1DE72" w14:textId="533128EF"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7</w:t>
            </w:r>
            <w:r w:rsidR="007F4DBC">
              <w:rPr>
                <w:rFonts w:cs="Arial"/>
                <w:b/>
                <w:bCs/>
                <w:color w:val="000000"/>
                <w:szCs w:val="14"/>
              </w:rPr>
              <w:t>,</w:t>
            </w:r>
            <w:r w:rsidRPr="00BF2AAF">
              <w:rPr>
                <w:rFonts w:cs="Arial"/>
                <w:b/>
                <w:bCs/>
                <w:color w:val="000000"/>
                <w:szCs w:val="14"/>
              </w:rPr>
              <w:t>907</w:t>
            </w:r>
            <w:r w:rsidR="007F4DBC">
              <w:rPr>
                <w:rFonts w:cs="Arial"/>
                <w:b/>
                <w:bCs/>
                <w:color w:val="000000"/>
                <w:szCs w:val="14"/>
              </w:rPr>
              <w:t>,</w:t>
            </w:r>
            <w:r w:rsidRPr="00BF2AAF">
              <w:rPr>
                <w:rFonts w:cs="Arial"/>
                <w:b/>
                <w:bCs/>
                <w:color w:val="000000"/>
                <w:szCs w:val="14"/>
              </w:rPr>
              <w:t>785</w:t>
            </w:r>
          </w:p>
        </w:tc>
        <w:tc>
          <w:tcPr>
            <w:tcW w:w="391" w:type="dxa"/>
            <w:gridSpan w:val="2"/>
            <w:tcBorders>
              <w:top w:val="nil"/>
              <w:bottom w:val="nil"/>
            </w:tcBorders>
            <w:shd w:val="clear" w:color="auto" w:fill="auto"/>
            <w:vAlign w:val="center"/>
          </w:tcPr>
          <w:p w14:paraId="5CEFB0FA"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7265406F" w14:textId="3938B166"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9</w:t>
            </w:r>
            <w:r w:rsidR="007F4DBC">
              <w:rPr>
                <w:rFonts w:cs="Arial"/>
                <w:b/>
                <w:bCs/>
                <w:color w:val="000000"/>
                <w:szCs w:val="14"/>
              </w:rPr>
              <w:t>,</w:t>
            </w:r>
            <w:r>
              <w:rPr>
                <w:rFonts w:cs="Arial"/>
                <w:b/>
                <w:bCs/>
                <w:color w:val="000000"/>
                <w:szCs w:val="14"/>
              </w:rPr>
              <w:t>757</w:t>
            </w:r>
            <w:r w:rsidR="007F4DBC">
              <w:rPr>
                <w:rFonts w:cs="Arial"/>
                <w:b/>
                <w:bCs/>
                <w:color w:val="000000"/>
                <w:szCs w:val="14"/>
              </w:rPr>
              <w:t>,</w:t>
            </w:r>
            <w:r>
              <w:rPr>
                <w:rFonts w:cs="Arial"/>
                <w:b/>
                <w:bCs/>
                <w:color w:val="000000"/>
                <w:szCs w:val="14"/>
              </w:rPr>
              <w:t>267</w:t>
            </w:r>
          </w:p>
        </w:tc>
        <w:tc>
          <w:tcPr>
            <w:tcW w:w="1613" w:type="dxa"/>
            <w:tcBorders>
              <w:top w:val="nil"/>
              <w:bottom w:val="nil"/>
            </w:tcBorders>
            <w:shd w:val="clear" w:color="auto" w:fill="auto"/>
            <w:vAlign w:val="center"/>
          </w:tcPr>
          <w:p w14:paraId="3165C575" w14:textId="59287058"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8</w:t>
            </w:r>
            <w:r w:rsidR="007F4DBC">
              <w:rPr>
                <w:rFonts w:cs="Arial"/>
                <w:b/>
                <w:bCs/>
                <w:color w:val="000000"/>
                <w:szCs w:val="14"/>
              </w:rPr>
              <w:t>,</w:t>
            </w:r>
            <w:r w:rsidRPr="00BF2AAF">
              <w:rPr>
                <w:rFonts w:cs="Arial"/>
                <w:b/>
                <w:bCs/>
                <w:color w:val="000000"/>
                <w:szCs w:val="14"/>
              </w:rPr>
              <w:t>905</w:t>
            </w:r>
            <w:r w:rsidR="007F4DBC">
              <w:rPr>
                <w:rFonts w:cs="Arial"/>
                <w:b/>
                <w:bCs/>
                <w:color w:val="000000"/>
                <w:szCs w:val="14"/>
              </w:rPr>
              <w:t>,</w:t>
            </w:r>
            <w:r w:rsidRPr="00BF2AAF">
              <w:rPr>
                <w:rFonts w:cs="Arial"/>
                <w:b/>
                <w:bCs/>
                <w:color w:val="000000"/>
                <w:szCs w:val="14"/>
              </w:rPr>
              <w:t>767</w:t>
            </w:r>
          </w:p>
        </w:tc>
      </w:tr>
      <w:tr w:rsidR="0057754C" w:rsidRPr="00C570E8" w14:paraId="1732E9DE"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5A147629" w14:textId="77777777" w:rsidR="0057754C" w:rsidRPr="00C570E8" w:rsidRDefault="0057754C" w:rsidP="0057754C">
            <w:pPr>
              <w:pStyle w:val="08-Tabelageral"/>
              <w:jc w:val="left"/>
              <w:rPr>
                <w:rFonts w:cs="Arial"/>
                <w:szCs w:val="14"/>
              </w:rPr>
            </w:pPr>
            <w:r w:rsidRPr="00C570E8">
              <w:rPr>
                <w:rFonts w:cs="Arial"/>
                <w:szCs w:val="14"/>
              </w:rPr>
              <w:t xml:space="preserve">Financial </w:t>
            </w:r>
            <w:proofErr w:type="spellStart"/>
            <w:r w:rsidRPr="00C570E8">
              <w:rPr>
                <w:rFonts w:cs="Arial"/>
                <w:szCs w:val="14"/>
              </w:rPr>
              <w:t>Result</w:t>
            </w:r>
            <w:proofErr w:type="spellEnd"/>
          </w:p>
        </w:tc>
        <w:tc>
          <w:tcPr>
            <w:tcW w:w="1166" w:type="dxa"/>
            <w:tcBorders>
              <w:top w:val="nil"/>
              <w:bottom w:val="nil"/>
            </w:tcBorders>
            <w:shd w:val="clear" w:color="auto" w:fill="auto"/>
            <w:vAlign w:val="center"/>
          </w:tcPr>
          <w:p w14:paraId="5E05FB74"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570E8">
              <w:rPr>
                <w:rFonts w:cs="Arial"/>
                <w:b/>
                <w:bCs/>
                <w:szCs w:val="14"/>
              </w:rPr>
              <w:t>[14]</w:t>
            </w:r>
          </w:p>
        </w:tc>
        <w:tc>
          <w:tcPr>
            <w:tcW w:w="1136" w:type="dxa"/>
            <w:tcBorders>
              <w:top w:val="nil"/>
              <w:left w:val="nil"/>
              <w:bottom w:val="nil"/>
              <w:right w:val="nil"/>
            </w:tcBorders>
            <w:shd w:val="clear" w:color="auto" w:fill="auto"/>
            <w:vAlign w:val="center"/>
          </w:tcPr>
          <w:p w14:paraId="268C74F2" w14:textId="3FD3C46D"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48</w:t>
            </w:r>
            <w:r w:rsidR="007F4DBC">
              <w:rPr>
                <w:rFonts w:cs="Arial"/>
                <w:b/>
                <w:bCs/>
                <w:color w:val="000000"/>
                <w:szCs w:val="14"/>
              </w:rPr>
              <w:t>,</w:t>
            </w:r>
            <w:r>
              <w:rPr>
                <w:rFonts w:cs="Arial"/>
                <w:b/>
                <w:bCs/>
                <w:color w:val="000000"/>
                <w:szCs w:val="14"/>
              </w:rPr>
              <w:t>021</w:t>
            </w:r>
          </w:p>
        </w:tc>
        <w:tc>
          <w:tcPr>
            <w:tcW w:w="1870" w:type="dxa"/>
            <w:tcBorders>
              <w:top w:val="nil"/>
              <w:bottom w:val="nil"/>
            </w:tcBorders>
            <w:shd w:val="clear" w:color="auto" w:fill="auto"/>
            <w:vAlign w:val="center"/>
          </w:tcPr>
          <w:p w14:paraId="756F3FA7" w14:textId="7BF8025B"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F2AAF">
              <w:rPr>
                <w:rFonts w:cs="Arial"/>
                <w:b/>
                <w:bCs/>
                <w:color w:val="000000"/>
                <w:szCs w:val="14"/>
              </w:rPr>
              <w:t>51</w:t>
            </w:r>
            <w:r w:rsidR="007F4DBC">
              <w:rPr>
                <w:rFonts w:cs="Arial"/>
                <w:b/>
                <w:bCs/>
                <w:color w:val="000000"/>
                <w:szCs w:val="14"/>
              </w:rPr>
              <w:t>,</w:t>
            </w:r>
            <w:r w:rsidRPr="00BF2AAF">
              <w:rPr>
                <w:rFonts w:cs="Arial"/>
                <w:b/>
                <w:bCs/>
                <w:color w:val="000000"/>
                <w:szCs w:val="14"/>
              </w:rPr>
              <w:t>039</w:t>
            </w:r>
          </w:p>
        </w:tc>
        <w:tc>
          <w:tcPr>
            <w:tcW w:w="391" w:type="dxa"/>
            <w:gridSpan w:val="2"/>
            <w:tcBorders>
              <w:top w:val="nil"/>
              <w:bottom w:val="nil"/>
            </w:tcBorders>
            <w:shd w:val="clear" w:color="auto" w:fill="auto"/>
            <w:vAlign w:val="center"/>
          </w:tcPr>
          <w:p w14:paraId="47E9DE68"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7206159E" w14:textId="52720462"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653</w:t>
            </w:r>
            <w:r w:rsidR="007F4DBC">
              <w:rPr>
                <w:rFonts w:cs="Arial"/>
                <w:b/>
                <w:bCs/>
                <w:color w:val="000000"/>
                <w:szCs w:val="14"/>
              </w:rPr>
              <w:t>,</w:t>
            </w:r>
            <w:r>
              <w:rPr>
                <w:rFonts w:cs="Arial"/>
                <w:b/>
                <w:bCs/>
                <w:color w:val="000000"/>
                <w:szCs w:val="14"/>
              </w:rPr>
              <w:t>722</w:t>
            </w:r>
          </w:p>
        </w:tc>
        <w:tc>
          <w:tcPr>
            <w:tcW w:w="1613" w:type="dxa"/>
            <w:tcBorders>
              <w:top w:val="nil"/>
              <w:bottom w:val="nil"/>
            </w:tcBorders>
            <w:shd w:val="clear" w:color="auto" w:fill="auto"/>
            <w:vAlign w:val="center"/>
          </w:tcPr>
          <w:p w14:paraId="6E78466E" w14:textId="6FE4DE99"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F2AAF">
              <w:rPr>
                <w:rFonts w:cs="Arial"/>
                <w:b/>
                <w:bCs/>
                <w:color w:val="000000"/>
                <w:szCs w:val="14"/>
              </w:rPr>
              <w:t>587</w:t>
            </w:r>
            <w:r w:rsidR="007F4DBC">
              <w:rPr>
                <w:rFonts w:cs="Arial"/>
                <w:b/>
                <w:bCs/>
                <w:color w:val="000000"/>
                <w:szCs w:val="14"/>
              </w:rPr>
              <w:t>,</w:t>
            </w:r>
            <w:r w:rsidRPr="00BF2AAF">
              <w:rPr>
                <w:rFonts w:cs="Arial"/>
                <w:b/>
                <w:bCs/>
                <w:color w:val="000000"/>
                <w:szCs w:val="14"/>
              </w:rPr>
              <w:t>545</w:t>
            </w:r>
          </w:p>
        </w:tc>
      </w:tr>
      <w:tr w:rsidR="0057754C" w:rsidRPr="00C570E8" w14:paraId="6CC6B624"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17429F86" w14:textId="77777777" w:rsidR="0057754C" w:rsidRPr="00C570E8" w:rsidRDefault="0057754C" w:rsidP="0057754C">
            <w:pPr>
              <w:pStyle w:val="08-Tabelageral"/>
              <w:ind w:left="113"/>
              <w:jc w:val="left"/>
              <w:rPr>
                <w:rFonts w:cs="Arial"/>
                <w:b w:val="0"/>
                <w:bCs w:val="0"/>
                <w:szCs w:val="14"/>
              </w:rPr>
            </w:pPr>
            <w:r w:rsidRPr="00C570E8">
              <w:rPr>
                <w:rFonts w:cs="Arial"/>
                <w:b w:val="0"/>
                <w:bCs w:val="0"/>
                <w:szCs w:val="14"/>
              </w:rPr>
              <w:t xml:space="preserve">Financial </w:t>
            </w:r>
            <w:proofErr w:type="spellStart"/>
            <w:r w:rsidRPr="00C570E8">
              <w:rPr>
                <w:rFonts w:cs="Arial"/>
                <w:b w:val="0"/>
                <w:bCs w:val="0"/>
                <w:szCs w:val="14"/>
              </w:rPr>
              <w:t>revenue</w:t>
            </w:r>
            <w:proofErr w:type="spellEnd"/>
          </w:p>
        </w:tc>
        <w:tc>
          <w:tcPr>
            <w:tcW w:w="1166" w:type="dxa"/>
            <w:tcBorders>
              <w:top w:val="nil"/>
              <w:bottom w:val="nil"/>
            </w:tcBorders>
            <w:shd w:val="clear" w:color="auto" w:fill="auto"/>
            <w:vAlign w:val="center"/>
          </w:tcPr>
          <w:p w14:paraId="71EEA228" w14:textId="77777777" w:rsidR="0057754C" w:rsidRPr="00C570E8" w:rsidRDefault="0057754C" w:rsidP="0057754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6" w:type="dxa"/>
            <w:tcBorders>
              <w:top w:val="nil"/>
              <w:left w:val="nil"/>
              <w:bottom w:val="nil"/>
              <w:right w:val="nil"/>
            </w:tcBorders>
            <w:shd w:val="clear" w:color="auto" w:fill="auto"/>
            <w:vAlign w:val="center"/>
          </w:tcPr>
          <w:p w14:paraId="6ACFC77F" w14:textId="3F8E6852"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89</w:t>
            </w:r>
            <w:r w:rsidR="007F4DBC">
              <w:rPr>
                <w:rFonts w:cs="Arial"/>
                <w:color w:val="000000"/>
                <w:szCs w:val="14"/>
              </w:rPr>
              <w:t>,</w:t>
            </w:r>
            <w:r>
              <w:rPr>
                <w:rFonts w:cs="Arial"/>
                <w:color w:val="000000"/>
                <w:szCs w:val="14"/>
              </w:rPr>
              <w:t>041</w:t>
            </w:r>
          </w:p>
        </w:tc>
        <w:tc>
          <w:tcPr>
            <w:tcW w:w="1870" w:type="dxa"/>
            <w:tcBorders>
              <w:top w:val="nil"/>
              <w:bottom w:val="nil"/>
            </w:tcBorders>
            <w:shd w:val="clear" w:color="auto" w:fill="auto"/>
            <w:vAlign w:val="center"/>
          </w:tcPr>
          <w:p w14:paraId="402553CA" w14:textId="4F9A7676"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F2AAF">
              <w:rPr>
                <w:rFonts w:cs="Arial"/>
                <w:color w:val="000000"/>
                <w:szCs w:val="14"/>
              </w:rPr>
              <w:t>132</w:t>
            </w:r>
            <w:r w:rsidR="007F4DBC">
              <w:rPr>
                <w:rFonts w:cs="Arial"/>
                <w:color w:val="000000"/>
                <w:szCs w:val="14"/>
              </w:rPr>
              <w:t>,</w:t>
            </w:r>
            <w:r w:rsidRPr="00BF2AAF">
              <w:rPr>
                <w:rFonts w:cs="Arial"/>
                <w:color w:val="000000"/>
                <w:szCs w:val="14"/>
              </w:rPr>
              <w:t>900</w:t>
            </w:r>
          </w:p>
        </w:tc>
        <w:tc>
          <w:tcPr>
            <w:tcW w:w="391" w:type="dxa"/>
            <w:gridSpan w:val="2"/>
            <w:tcBorders>
              <w:top w:val="nil"/>
              <w:bottom w:val="nil"/>
            </w:tcBorders>
            <w:shd w:val="clear" w:color="auto" w:fill="auto"/>
            <w:vAlign w:val="center"/>
          </w:tcPr>
          <w:p w14:paraId="730C4193"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5" w:type="dxa"/>
            <w:tcBorders>
              <w:top w:val="nil"/>
              <w:bottom w:val="nil"/>
            </w:tcBorders>
            <w:shd w:val="clear" w:color="auto" w:fill="auto"/>
            <w:vAlign w:val="center"/>
          </w:tcPr>
          <w:p w14:paraId="383C9266" w14:textId="1315C56F"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696</w:t>
            </w:r>
            <w:r w:rsidR="007F4DBC">
              <w:rPr>
                <w:rFonts w:cs="Arial"/>
                <w:color w:val="000000"/>
                <w:szCs w:val="14"/>
              </w:rPr>
              <w:t>,</w:t>
            </w:r>
            <w:r>
              <w:rPr>
                <w:rFonts w:cs="Arial"/>
                <w:color w:val="000000"/>
                <w:szCs w:val="14"/>
              </w:rPr>
              <w:t>360</w:t>
            </w:r>
          </w:p>
        </w:tc>
        <w:tc>
          <w:tcPr>
            <w:tcW w:w="1613" w:type="dxa"/>
            <w:tcBorders>
              <w:top w:val="nil"/>
              <w:bottom w:val="nil"/>
            </w:tcBorders>
            <w:shd w:val="clear" w:color="auto" w:fill="auto"/>
            <w:vAlign w:val="center"/>
          </w:tcPr>
          <w:p w14:paraId="06C91F69" w14:textId="5B447DC3"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F2AAF">
              <w:rPr>
                <w:rFonts w:cs="Arial"/>
                <w:color w:val="000000"/>
                <w:szCs w:val="14"/>
              </w:rPr>
              <w:t>670</w:t>
            </w:r>
            <w:r w:rsidR="007F4DBC">
              <w:rPr>
                <w:rFonts w:cs="Arial"/>
                <w:color w:val="000000"/>
                <w:szCs w:val="14"/>
              </w:rPr>
              <w:t>,</w:t>
            </w:r>
            <w:r w:rsidRPr="00BF2AAF">
              <w:rPr>
                <w:rFonts w:cs="Arial"/>
                <w:color w:val="000000"/>
                <w:szCs w:val="14"/>
              </w:rPr>
              <w:t>933</w:t>
            </w:r>
          </w:p>
        </w:tc>
      </w:tr>
      <w:tr w:rsidR="0057754C" w:rsidRPr="00C570E8" w14:paraId="4F6D8346"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1E46695C" w14:textId="77777777" w:rsidR="0057754C" w:rsidRPr="00C570E8" w:rsidRDefault="0057754C" w:rsidP="0057754C">
            <w:pPr>
              <w:pStyle w:val="08-Tabelageral"/>
              <w:ind w:left="113"/>
              <w:jc w:val="left"/>
              <w:rPr>
                <w:rFonts w:cs="Arial"/>
                <w:b w:val="0"/>
                <w:bCs w:val="0"/>
                <w:szCs w:val="14"/>
              </w:rPr>
            </w:pPr>
            <w:r w:rsidRPr="00C570E8">
              <w:rPr>
                <w:rFonts w:cs="Arial"/>
                <w:b w:val="0"/>
                <w:bCs w:val="0"/>
                <w:szCs w:val="14"/>
              </w:rPr>
              <w:t xml:space="preserve">Financial </w:t>
            </w:r>
            <w:proofErr w:type="spellStart"/>
            <w:r w:rsidRPr="00C570E8">
              <w:rPr>
                <w:rFonts w:cs="Arial"/>
                <w:b w:val="0"/>
                <w:bCs w:val="0"/>
                <w:szCs w:val="14"/>
              </w:rPr>
              <w:t>expenses</w:t>
            </w:r>
            <w:proofErr w:type="spellEnd"/>
          </w:p>
        </w:tc>
        <w:tc>
          <w:tcPr>
            <w:tcW w:w="1166" w:type="dxa"/>
            <w:tcBorders>
              <w:top w:val="nil"/>
              <w:bottom w:val="nil"/>
            </w:tcBorders>
            <w:shd w:val="clear" w:color="auto" w:fill="auto"/>
            <w:vAlign w:val="center"/>
          </w:tcPr>
          <w:p w14:paraId="0E449FA7" w14:textId="77777777" w:rsidR="0057754C" w:rsidRPr="00C570E8" w:rsidRDefault="0057754C" w:rsidP="0057754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136" w:type="dxa"/>
            <w:tcBorders>
              <w:top w:val="nil"/>
              <w:left w:val="nil"/>
              <w:bottom w:val="nil"/>
              <w:right w:val="nil"/>
            </w:tcBorders>
            <w:shd w:val="clear" w:color="auto" w:fill="auto"/>
            <w:vAlign w:val="center"/>
          </w:tcPr>
          <w:p w14:paraId="79AD8A1A" w14:textId="3497CEF8"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(41</w:t>
            </w:r>
            <w:r w:rsidR="007F4DBC">
              <w:rPr>
                <w:rFonts w:cs="Arial"/>
                <w:color w:val="000000"/>
                <w:szCs w:val="14"/>
              </w:rPr>
              <w:t>,</w:t>
            </w:r>
            <w:r>
              <w:rPr>
                <w:rFonts w:cs="Arial"/>
                <w:color w:val="000000"/>
                <w:szCs w:val="14"/>
              </w:rPr>
              <w:t>020)</w:t>
            </w:r>
          </w:p>
        </w:tc>
        <w:tc>
          <w:tcPr>
            <w:tcW w:w="1870" w:type="dxa"/>
            <w:tcBorders>
              <w:top w:val="nil"/>
              <w:bottom w:val="nil"/>
            </w:tcBorders>
            <w:shd w:val="clear" w:color="auto" w:fill="auto"/>
            <w:vAlign w:val="center"/>
          </w:tcPr>
          <w:p w14:paraId="11980FBE" w14:textId="788A7DB3"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F2AAF">
              <w:rPr>
                <w:rFonts w:cs="Arial"/>
                <w:color w:val="000000"/>
                <w:szCs w:val="14"/>
              </w:rPr>
              <w:t>(81</w:t>
            </w:r>
            <w:r w:rsidR="007F4DBC">
              <w:rPr>
                <w:rFonts w:cs="Arial"/>
                <w:color w:val="000000"/>
                <w:szCs w:val="14"/>
              </w:rPr>
              <w:t>,</w:t>
            </w:r>
            <w:r w:rsidRPr="00BF2AAF">
              <w:rPr>
                <w:rFonts w:cs="Arial"/>
                <w:color w:val="000000"/>
                <w:szCs w:val="14"/>
              </w:rPr>
              <w:t>861)</w:t>
            </w:r>
          </w:p>
        </w:tc>
        <w:tc>
          <w:tcPr>
            <w:tcW w:w="391" w:type="dxa"/>
            <w:gridSpan w:val="2"/>
            <w:tcBorders>
              <w:top w:val="nil"/>
              <w:bottom w:val="nil"/>
            </w:tcBorders>
            <w:shd w:val="clear" w:color="auto" w:fill="auto"/>
            <w:vAlign w:val="center"/>
          </w:tcPr>
          <w:p w14:paraId="11A0AF16"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5" w:type="dxa"/>
            <w:tcBorders>
              <w:top w:val="nil"/>
              <w:bottom w:val="nil"/>
            </w:tcBorders>
            <w:shd w:val="clear" w:color="auto" w:fill="auto"/>
            <w:vAlign w:val="center"/>
          </w:tcPr>
          <w:p w14:paraId="5C69A845" w14:textId="08B92B9D"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(42</w:t>
            </w:r>
            <w:r w:rsidR="007F4DBC">
              <w:rPr>
                <w:rFonts w:cs="Arial"/>
                <w:color w:val="000000"/>
                <w:szCs w:val="14"/>
              </w:rPr>
              <w:t>,</w:t>
            </w:r>
            <w:r>
              <w:rPr>
                <w:rFonts w:cs="Arial"/>
                <w:color w:val="000000"/>
                <w:szCs w:val="14"/>
              </w:rPr>
              <w:t>638)</w:t>
            </w:r>
          </w:p>
        </w:tc>
        <w:tc>
          <w:tcPr>
            <w:tcW w:w="1613" w:type="dxa"/>
            <w:tcBorders>
              <w:top w:val="nil"/>
              <w:bottom w:val="nil"/>
            </w:tcBorders>
            <w:shd w:val="clear" w:color="auto" w:fill="auto"/>
            <w:vAlign w:val="center"/>
          </w:tcPr>
          <w:p w14:paraId="5C6951A1" w14:textId="7C4EF984"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F2AAF">
              <w:rPr>
                <w:rFonts w:cs="Arial"/>
                <w:color w:val="000000"/>
                <w:szCs w:val="14"/>
              </w:rPr>
              <w:t>(83</w:t>
            </w:r>
            <w:r w:rsidR="007F4DBC">
              <w:rPr>
                <w:rFonts w:cs="Arial"/>
                <w:color w:val="000000"/>
                <w:szCs w:val="14"/>
              </w:rPr>
              <w:t>,</w:t>
            </w:r>
            <w:r w:rsidRPr="00BF2AAF">
              <w:rPr>
                <w:rFonts w:cs="Arial"/>
                <w:color w:val="000000"/>
                <w:szCs w:val="14"/>
              </w:rPr>
              <w:t>388)</w:t>
            </w:r>
          </w:p>
        </w:tc>
      </w:tr>
      <w:tr w:rsidR="0057754C" w:rsidRPr="00C570E8" w14:paraId="489672D8"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375202F3" w14:textId="77777777" w:rsidR="0057754C" w:rsidRPr="00C570E8" w:rsidRDefault="0057754C" w:rsidP="0057754C">
            <w:pPr>
              <w:pStyle w:val="08-Tabelageral"/>
              <w:jc w:val="left"/>
              <w:rPr>
                <w:rFonts w:cs="Arial"/>
                <w:szCs w:val="14"/>
                <w:lang w:val="en-US"/>
              </w:rPr>
            </w:pPr>
            <w:r w:rsidRPr="00C570E8">
              <w:rPr>
                <w:rFonts w:cs="Arial"/>
                <w:szCs w:val="14"/>
                <w:lang w:val="en-US"/>
              </w:rPr>
              <w:t>Income Before Taxes</w:t>
            </w:r>
          </w:p>
        </w:tc>
        <w:tc>
          <w:tcPr>
            <w:tcW w:w="1166" w:type="dxa"/>
            <w:tcBorders>
              <w:top w:val="nil"/>
              <w:bottom w:val="nil"/>
            </w:tcBorders>
            <w:shd w:val="clear" w:color="auto" w:fill="auto"/>
            <w:vAlign w:val="center"/>
          </w:tcPr>
          <w:p w14:paraId="6047FB0B"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136" w:type="dxa"/>
            <w:tcBorders>
              <w:top w:val="nil"/>
              <w:left w:val="nil"/>
              <w:bottom w:val="nil"/>
              <w:right w:val="nil"/>
            </w:tcBorders>
            <w:shd w:val="clear" w:color="auto" w:fill="auto"/>
            <w:vAlign w:val="center"/>
          </w:tcPr>
          <w:p w14:paraId="4476BBDF" w14:textId="70C09C60"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8</w:t>
            </w:r>
            <w:r w:rsidR="007F4DBC">
              <w:rPr>
                <w:rFonts w:cs="Arial"/>
                <w:b/>
                <w:bCs/>
                <w:color w:val="000000"/>
                <w:szCs w:val="14"/>
              </w:rPr>
              <w:t>,</w:t>
            </w:r>
            <w:r>
              <w:rPr>
                <w:rFonts w:cs="Arial"/>
                <w:b/>
                <w:bCs/>
                <w:color w:val="000000"/>
                <w:szCs w:val="14"/>
              </w:rPr>
              <w:t>712</w:t>
            </w:r>
            <w:r w:rsidR="007F4DBC">
              <w:rPr>
                <w:rFonts w:cs="Arial"/>
                <w:b/>
                <w:bCs/>
                <w:color w:val="000000"/>
                <w:szCs w:val="14"/>
              </w:rPr>
              <w:t>,</w:t>
            </w:r>
            <w:r>
              <w:rPr>
                <w:rFonts w:cs="Arial"/>
                <w:b/>
                <w:bCs/>
                <w:color w:val="000000"/>
                <w:szCs w:val="14"/>
              </w:rPr>
              <w:t>866</w:t>
            </w:r>
          </w:p>
        </w:tc>
        <w:tc>
          <w:tcPr>
            <w:tcW w:w="1870" w:type="dxa"/>
            <w:tcBorders>
              <w:top w:val="nil"/>
              <w:bottom w:val="nil"/>
            </w:tcBorders>
            <w:shd w:val="clear" w:color="auto" w:fill="auto"/>
            <w:vAlign w:val="center"/>
          </w:tcPr>
          <w:p w14:paraId="1A1242EA" w14:textId="07BC0C05"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7</w:t>
            </w:r>
            <w:r w:rsidR="007F4DBC">
              <w:rPr>
                <w:rFonts w:cs="Arial"/>
                <w:b/>
                <w:bCs/>
                <w:color w:val="000000"/>
                <w:szCs w:val="14"/>
              </w:rPr>
              <w:t>,</w:t>
            </w:r>
            <w:r w:rsidRPr="00BF2AAF">
              <w:rPr>
                <w:rFonts w:cs="Arial"/>
                <w:b/>
                <w:bCs/>
                <w:color w:val="000000"/>
                <w:szCs w:val="14"/>
              </w:rPr>
              <w:t>958</w:t>
            </w:r>
            <w:r w:rsidR="007F4DBC">
              <w:rPr>
                <w:rFonts w:cs="Arial"/>
                <w:b/>
                <w:bCs/>
                <w:color w:val="000000"/>
                <w:szCs w:val="14"/>
              </w:rPr>
              <w:t>,</w:t>
            </w:r>
            <w:r w:rsidRPr="00BF2AAF">
              <w:rPr>
                <w:rFonts w:cs="Arial"/>
                <w:b/>
                <w:bCs/>
                <w:color w:val="000000"/>
                <w:szCs w:val="14"/>
              </w:rPr>
              <w:t>824</w:t>
            </w:r>
          </w:p>
        </w:tc>
        <w:tc>
          <w:tcPr>
            <w:tcW w:w="391" w:type="dxa"/>
            <w:gridSpan w:val="2"/>
            <w:tcBorders>
              <w:top w:val="nil"/>
              <w:bottom w:val="nil"/>
            </w:tcBorders>
            <w:shd w:val="clear" w:color="auto" w:fill="auto"/>
            <w:vAlign w:val="center"/>
          </w:tcPr>
          <w:p w14:paraId="499DC9DF"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45565910" w14:textId="5F21200B"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10</w:t>
            </w:r>
            <w:r w:rsidR="007F4DBC">
              <w:rPr>
                <w:rFonts w:cs="Arial"/>
                <w:b/>
                <w:bCs/>
                <w:color w:val="000000"/>
                <w:szCs w:val="14"/>
              </w:rPr>
              <w:t>,</w:t>
            </w:r>
            <w:r>
              <w:rPr>
                <w:rFonts w:cs="Arial"/>
                <w:b/>
                <w:bCs/>
                <w:color w:val="000000"/>
                <w:szCs w:val="14"/>
              </w:rPr>
              <w:t>410</w:t>
            </w:r>
            <w:r w:rsidR="007F4DBC">
              <w:rPr>
                <w:rFonts w:cs="Arial"/>
                <w:b/>
                <w:bCs/>
                <w:color w:val="000000"/>
                <w:szCs w:val="14"/>
              </w:rPr>
              <w:t>,</w:t>
            </w:r>
            <w:r>
              <w:rPr>
                <w:rFonts w:cs="Arial"/>
                <w:b/>
                <w:bCs/>
                <w:color w:val="000000"/>
                <w:szCs w:val="14"/>
              </w:rPr>
              <w:t>989</w:t>
            </w:r>
          </w:p>
        </w:tc>
        <w:tc>
          <w:tcPr>
            <w:tcW w:w="1613" w:type="dxa"/>
            <w:tcBorders>
              <w:top w:val="nil"/>
              <w:bottom w:val="nil"/>
            </w:tcBorders>
            <w:shd w:val="clear" w:color="auto" w:fill="auto"/>
            <w:vAlign w:val="center"/>
          </w:tcPr>
          <w:p w14:paraId="1CA3879E" w14:textId="6AABF6A1"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F2AAF">
              <w:rPr>
                <w:rFonts w:cs="Arial"/>
                <w:b/>
                <w:bCs/>
                <w:color w:val="000000"/>
                <w:szCs w:val="14"/>
              </w:rPr>
              <w:t>9</w:t>
            </w:r>
            <w:r w:rsidR="007F4DBC">
              <w:rPr>
                <w:rFonts w:cs="Arial"/>
                <w:b/>
                <w:bCs/>
                <w:color w:val="000000"/>
                <w:szCs w:val="14"/>
              </w:rPr>
              <w:t>,</w:t>
            </w:r>
            <w:r w:rsidRPr="00BF2AAF">
              <w:rPr>
                <w:rFonts w:cs="Arial"/>
                <w:b/>
                <w:bCs/>
                <w:color w:val="000000"/>
                <w:szCs w:val="14"/>
              </w:rPr>
              <w:t>493</w:t>
            </w:r>
            <w:r w:rsidR="007F4DBC">
              <w:rPr>
                <w:rFonts w:cs="Arial"/>
                <w:b/>
                <w:bCs/>
                <w:color w:val="000000"/>
                <w:szCs w:val="14"/>
              </w:rPr>
              <w:t>,</w:t>
            </w:r>
            <w:r w:rsidRPr="00BF2AAF">
              <w:rPr>
                <w:rFonts w:cs="Arial"/>
                <w:b/>
                <w:bCs/>
                <w:color w:val="000000"/>
                <w:szCs w:val="14"/>
              </w:rPr>
              <w:t>312</w:t>
            </w:r>
          </w:p>
        </w:tc>
      </w:tr>
      <w:tr w:rsidR="0057754C" w:rsidRPr="00C570E8" w14:paraId="7A49177E"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4EC09605" w14:textId="77777777" w:rsidR="0057754C" w:rsidRPr="00C570E8" w:rsidRDefault="0057754C" w:rsidP="0057754C">
            <w:pPr>
              <w:pStyle w:val="08-Tabelageral"/>
              <w:ind w:left="113"/>
              <w:jc w:val="left"/>
              <w:rPr>
                <w:rFonts w:cs="Arial"/>
                <w:b w:val="0"/>
                <w:bCs w:val="0"/>
                <w:szCs w:val="14"/>
                <w:lang w:val="en-US"/>
              </w:rPr>
            </w:pPr>
            <w:r w:rsidRPr="00C570E8">
              <w:rPr>
                <w:rFonts w:cs="Arial"/>
                <w:b w:val="0"/>
                <w:bCs w:val="0"/>
                <w:szCs w:val="14"/>
                <w:lang w:val="en-US"/>
              </w:rPr>
              <w:t>Income Tax and Social Contribution</w:t>
            </w:r>
          </w:p>
        </w:tc>
        <w:tc>
          <w:tcPr>
            <w:tcW w:w="1166" w:type="dxa"/>
            <w:tcBorders>
              <w:top w:val="nil"/>
              <w:bottom w:val="nil"/>
            </w:tcBorders>
            <w:shd w:val="clear" w:color="auto" w:fill="auto"/>
            <w:vAlign w:val="center"/>
          </w:tcPr>
          <w:p w14:paraId="4D481794"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C570E8">
              <w:rPr>
                <w:rFonts w:cs="Arial"/>
                <w:szCs w:val="14"/>
              </w:rPr>
              <w:t>[12.a]</w:t>
            </w:r>
          </w:p>
        </w:tc>
        <w:tc>
          <w:tcPr>
            <w:tcW w:w="1136" w:type="dxa"/>
            <w:tcBorders>
              <w:top w:val="nil"/>
              <w:left w:val="nil"/>
              <w:bottom w:val="nil"/>
              <w:right w:val="nil"/>
            </w:tcBorders>
            <w:shd w:val="clear" w:color="auto" w:fill="auto"/>
            <w:vAlign w:val="center"/>
          </w:tcPr>
          <w:p w14:paraId="61BD79D5" w14:textId="3A4DFABD"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(9</w:t>
            </w:r>
            <w:r w:rsidR="007F4DBC">
              <w:rPr>
                <w:rFonts w:cs="Arial"/>
                <w:color w:val="000000"/>
                <w:szCs w:val="14"/>
              </w:rPr>
              <w:t>,</w:t>
            </w:r>
            <w:r>
              <w:rPr>
                <w:rFonts w:cs="Arial"/>
                <w:color w:val="000000"/>
                <w:szCs w:val="14"/>
              </w:rPr>
              <w:t>513)</w:t>
            </w:r>
          </w:p>
        </w:tc>
        <w:tc>
          <w:tcPr>
            <w:tcW w:w="1870" w:type="dxa"/>
            <w:tcBorders>
              <w:top w:val="nil"/>
              <w:bottom w:val="nil"/>
            </w:tcBorders>
            <w:shd w:val="clear" w:color="auto" w:fill="auto"/>
            <w:vAlign w:val="center"/>
          </w:tcPr>
          <w:p w14:paraId="3CF7BDE4" w14:textId="7625D220"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F2AAF">
              <w:rPr>
                <w:rFonts w:cs="Arial"/>
                <w:color w:val="000000"/>
                <w:szCs w:val="14"/>
              </w:rPr>
              <w:t>(11</w:t>
            </w:r>
            <w:r w:rsidR="007F4DBC">
              <w:rPr>
                <w:rFonts w:cs="Arial"/>
                <w:color w:val="000000"/>
                <w:szCs w:val="14"/>
              </w:rPr>
              <w:t>,</w:t>
            </w:r>
            <w:r w:rsidRPr="00BF2AAF">
              <w:rPr>
                <w:rFonts w:cs="Arial"/>
                <w:color w:val="000000"/>
                <w:szCs w:val="14"/>
              </w:rPr>
              <w:t>621)</w:t>
            </w:r>
          </w:p>
        </w:tc>
        <w:tc>
          <w:tcPr>
            <w:tcW w:w="391" w:type="dxa"/>
            <w:gridSpan w:val="2"/>
            <w:tcBorders>
              <w:top w:val="nil"/>
              <w:bottom w:val="nil"/>
            </w:tcBorders>
            <w:shd w:val="clear" w:color="auto" w:fill="auto"/>
            <w:vAlign w:val="center"/>
          </w:tcPr>
          <w:p w14:paraId="073CA1AF"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5" w:type="dxa"/>
            <w:tcBorders>
              <w:top w:val="nil"/>
              <w:bottom w:val="nil"/>
            </w:tcBorders>
            <w:shd w:val="clear" w:color="auto" w:fill="auto"/>
            <w:vAlign w:val="center"/>
          </w:tcPr>
          <w:p w14:paraId="3C135F7C" w14:textId="42D0142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w:t>
            </w:r>
            <w:r w:rsidR="007F4DBC">
              <w:rPr>
                <w:rFonts w:cs="Arial"/>
                <w:color w:val="000000"/>
                <w:szCs w:val="14"/>
              </w:rPr>
              <w:t>,</w:t>
            </w:r>
            <w:r>
              <w:rPr>
                <w:rFonts w:cs="Arial"/>
                <w:color w:val="000000"/>
                <w:szCs w:val="14"/>
              </w:rPr>
              <w:t>707</w:t>
            </w:r>
            <w:r w:rsidR="007F4DBC">
              <w:rPr>
                <w:rFonts w:cs="Arial"/>
                <w:color w:val="000000"/>
                <w:szCs w:val="14"/>
              </w:rPr>
              <w:t>,</w:t>
            </w:r>
            <w:r>
              <w:rPr>
                <w:rFonts w:cs="Arial"/>
                <w:color w:val="000000"/>
                <w:szCs w:val="14"/>
              </w:rPr>
              <w:t>636)</w:t>
            </w:r>
          </w:p>
        </w:tc>
        <w:tc>
          <w:tcPr>
            <w:tcW w:w="1613" w:type="dxa"/>
            <w:tcBorders>
              <w:top w:val="nil"/>
              <w:bottom w:val="nil"/>
            </w:tcBorders>
            <w:shd w:val="clear" w:color="auto" w:fill="auto"/>
            <w:vAlign w:val="center"/>
          </w:tcPr>
          <w:p w14:paraId="4E42F8A1" w14:textId="4EC5159A"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F2AAF">
              <w:rPr>
                <w:rFonts w:cs="Arial"/>
                <w:color w:val="000000"/>
                <w:szCs w:val="14"/>
              </w:rPr>
              <w:t>(1</w:t>
            </w:r>
            <w:r w:rsidR="007F4DBC">
              <w:rPr>
                <w:rFonts w:cs="Arial"/>
                <w:color w:val="000000"/>
                <w:szCs w:val="14"/>
              </w:rPr>
              <w:t>,</w:t>
            </w:r>
            <w:r w:rsidRPr="00BF2AAF">
              <w:rPr>
                <w:rFonts w:cs="Arial"/>
                <w:color w:val="000000"/>
                <w:szCs w:val="14"/>
              </w:rPr>
              <w:t>546</w:t>
            </w:r>
            <w:r w:rsidR="007F4DBC">
              <w:rPr>
                <w:rFonts w:cs="Arial"/>
                <w:color w:val="000000"/>
                <w:szCs w:val="14"/>
              </w:rPr>
              <w:t>,</w:t>
            </w:r>
            <w:r w:rsidRPr="00BF2AAF">
              <w:rPr>
                <w:rFonts w:cs="Arial"/>
                <w:color w:val="000000"/>
                <w:szCs w:val="14"/>
              </w:rPr>
              <w:t>109)</w:t>
            </w:r>
          </w:p>
        </w:tc>
      </w:tr>
      <w:tr w:rsidR="0057754C" w:rsidRPr="00C570E8" w14:paraId="14C8DB76"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61174943" w14:textId="77777777" w:rsidR="0057754C" w:rsidRPr="00C570E8" w:rsidRDefault="0057754C" w:rsidP="0057754C">
            <w:pPr>
              <w:pStyle w:val="08-Tabelageral"/>
              <w:jc w:val="left"/>
              <w:rPr>
                <w:rFonts w:cs="Arial"/>
                <w:szCs w:val="14"/>
              </w:rPr>
            </w:pPr>
          </w:p>
        </w:tc>
        <w:tc>
          <w:tcPr>
            <w:tcW w:w="1166" w:type="dxa"/>
            <w:tcBorders>
              <w:top w:val="nil"/>
              <w:bottom w:val="nil"/>
            </w:tcBorders>
            <w:shd w:val="clear" w:color="auto" w:fill="auto"/>
            <w:vAlign w:val="center"/>
          </w:tcPr>
          <w:p w14:paraId="55627F5B"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6" w:type="dxa"/>
            <w:tcBorders>
              <w:top w:val="nil"/>
              <w:bottom w:val="nil"/>
            </w:tcBorders>
            <w:shd w:val="clear" w:color="auto" w:fill="auto"/>
            <w:vAlign w:val="center"/>
          </w:tcPr>
          <w:p w14:paraId="3EBCB51A"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70" w:type="dxa"/>
            <w:tcBorders>
              <w:top w:val="nil"/>
              <w:bottom w:val="nil"/>
            </w:tcBorders>
            <w:shd w:val="clear" w:color="auto" w:fill="auto"/>
            <w:vAlign w:val="center"/>
          </w:tcPr>
          <w:p w14:paraId="687C87A0"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391" w:type="dxa"/>
            <w:gridSpan w:val="2"/>
            <w:tcBorders>
              <w:top w:val="nil"/>
              <w:bottom w:val="nil"/>
            </w:tcBorders>
            <w:shd w:val="clear" w:color="auto" w:fill="auto"/>
            <w:vAlign w:val="center"/>
          </w:tcPr>
          <w:p w14:paraId="0C6BF585"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5" w:type="dxa"/>
            <w:tcBorders>
              <w:top w:val="nil"/>
              <w:bottom w:val="nil"/>
            </w:tcBorders>
            <w:shd w:val="clear" w:color="auto" w:fill="auto"/>
            <w:vAlign w:val="center"/>
          </w:tcPr>
          <w:p w14:paraId="24B6B47A"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613" w:type="dxa"/>
            <w:tcBorders>
              <w:top w:val="nil"/>
              <w:bottom w:val="nil"/>
            </w:tcBorders>
            <w:shd w:val="clear" w:color="auto" w:fill="auto"/>
            <w:vAlign w:val="center"/>
          </w:tcPr>
          <w:p w14:paraId="103678E6" w14:textId="77777777" w:rsidR="0057754C" w:rsidRPr="00C570E8" w:rsidRDefault="0057754C" w:rsidP="0057754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r>
      <w:tr w:rsidR="0057754C" w:rsidRPr="00C570E8" w14:paraId="5C84BC9A"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7897F16A" w14:textId="77777777" w:rsidR="0057754C" w:rsidRPr="00C570E8" w:rsidRDefault="0057754C" w:rsidP="0057754C">
            <w:pPr>
              <w:pStyle w:val="08-Tabelageral"/>
              <w:jc w:val="left"/>
              <w:rPr>
                <w:rFonts w:cs="Arial"/>
                <w:bCs w:val="0"/>
                <w:szCs w:val="14"/>
              </w:rPr>
            </w:pPr>
            <w:r w:rsidRPr="00C570E8">
              <w:rPr>
                <w:rFonts w:cs="Arial"/>
                <w:szCs w:val="14"/>
              </w:rPr>
              <w:t>Net Income</w:t>
            </w:r>
          </w:p>
        </w:tc>
        <w:tc>
          <w:tcPr>
            <w:tcW w:w="1166" w:type="dxa"/>
            <w:tcBorders>
              <w:top w:val="nil"/>
              <w:bottom w:val="nil"/>
            </w:tcBorders>
            <w:shd w:val="clear" w:color="auto" w:fill="auto"/>
            <w:vAlign w:val="center"/>
          </w:tcPr>
          <w:p w14:paraId="78156E82"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36" w:type="dxa"/>
            <w:tcBorders>
              <w:top w:val="nil"/>
              <w:left w:val="nil"/>
              <w:bottom w:val="nil"/>
              <w:right w:val="nil"/>
            </w:tcBorders>
            <w:shd w:val="clear" w:color="auto" w:fill="auto"/>
            <w:vAlign w:val="center"/>
          </w:tcPr>
          <w:p w14:paraId="693D6CEE" w14:textId="3F31D078"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8</w:t>
            </w:r>
            <w:r w:rsidR="007F4DBC">
              <w:rPr>
                <w:rFonts w:cs="Arial"/>
                <w:b/>
                <w:bCs/>
                <w:color w:val="000000"/>
                <w:szCs w:val="14"/>
              </w:rPr>
              <w:t>,</w:t>
            </w:r>
            <w:r>
              <w:rPr>
                <w:rFonts w:cs="Arial"/>
                <w:b/>
                <w:bCs/>
                <w:color w:val="000000"/>
                <w:szCs w:val="14"/>
              </w:rPr>
              <w:t>703</w:t>
            </w:r>
            <w:r w:rsidR="007F4DBC">
              <w:rPr>
                <w:rFonts w:cs="Arial"/>
                <w:b/>
                <w:bCs/>
                <w:color w:val="000000"/>
                <w:szCs w:val="14"/>
              </w:rPr>
              <w:t>,</w:t>
            </w:r>
            <w:r>
              <w:rPr>
                <w:rFonts w:cs="Arial"/>
                <w:b/>
                <w:bCs/>
                <w:color w:val="000000"/>
                <w:szCs w:val="14"/>
              </w:rPr>
              <w:t>353</w:t>
            </w:r>
          </w:p>
        </w:tc>
        <w:tc>
          <w:tcPr>
            <w:tcW w:w="1870" w:type="dxa"/>
            <w:tcBorders>
              <w:top w:val="nil"/>
              <w:bottom w:val="nil"/>
            </w:tcBorders>
            <w:shd w:val="clear" w:color="auto" w:fill="auto"/>
            <w:vAlign w:val="center"/>
          </w:tcPr>
          <w:p w14:paraId="7488E277" w14:textId="061C54C8"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7</w:t>
            </w:r>
            <w:r w:rsidR="007F4DBC">
              <w:rPr>
                <w:rFonts w:cs="Arial"/>
                <w:b/>
                <w:szCs w:val="14"/>
              </w:rPr>
              <w:t>,</w:t>
            </w:r>
            <w:r w:rsidRPr="00BF2AAF">
              <w:rPr>
                <w:rFonts w:cs="Arial"/>
                <w:b/>
                <w:szCs w:val="14"/>
              </w:rPr>
              <w:t>947</w:t>
            </w:r>
            <w:r w:rsidR="007F4DBC">
              <w:rPr>
                <w:rFonts w:cs="Arial"/>
                <w:b/>
                <w:szCs w:val="14"/>
              </w:rPr>
              <w:t>,</w:t>
            </w:r>
            <w:r w:rsidRPr="00BF2AAF">
              <w:rPr>
                <w:rFonts w:cs="Arial"/>
                <w:b/>
                <w:szCs w:val="14"/>
              </w:rPr>
              <w:t>203</w:t>
            </w:r>
          </w:p>
        </w:tc>
        <w:tc>
          <w:tcPr>
            <w:tcW w:w="391" w:type="dxa"/>
            <w:gridSpan w:val="2"/>
            <w:tcBorders>
              <w:top w:val="nil"/>
              <w:bottom w:val="nil"/>
            </w:tcBorders>
            <w:shd w:val="clear" w:color="auto" w:fill="auto"/>
            <w:vAlign w:val="center"/>
          </w:tcPr>
          <w:p w14:paraId="4264E0AC" w14:textId="77777777"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305" w:type="dxa"/>
            <w:tcBorders>
              <w:top w:val="nil"/>
              <w:bottom w:val="nil"/>
            </w:tcBorders>
            <w:shd w:val="clear" w:color="auto" w:fill="auto"/>
            <w:vAlign w:val="center"/>
          </w:tcPr>
          <w:p w14:paraId="330C00A0" w14:textId="50259081"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8</w:t>
            </w:r>
            <w:r w:rsidR="007F4DBC">
              <w:rPr>
                <w:rFonts w:cs="Arial"/>
                <w:b/>
                <w:bCs/>
                <w:color w:val="000000"/>
                <w:szCs w:val="14"/>
              </w:rPr>
              <w:t>,</w:t>
            </w:r>
            <w:r>
              <w:rPr>
                <w:rFonts w:cs="Arial"/>
                <w:b/>
                <w:bCs/>
                <w:color w:val="000000"/>
                <w:szCs w:val="14"/>
              </w:rPr>
              <w:t>703</w:t>
            </w:r>
            <w:r w:rsidR="007F4DBC">
              <w:rPr>
                <w:rFonts w:cs="Arial"/>
                <w:b/>
                <w:bCs/>
                <w:color w:val="000000"/>
                <w:szCs w:val="14"/>
              </w:rPr>
              <w:t>,</w:t>
            </w:r>
            <w:r>
              <w:rPr>
                <w:rFonts w:cs="Arial"/>
                <w:b/>
                <w:bCs/>
                <w:color w:val="000000"/>
                <w:szCs w:val="14"/>
              </w:rPr>
              <w:t>353</w:t>
            </w:r>
          </w:p>
        </w:tc>
        <w:tc>
          <w:tcPr>
            <w:tcW w:w="1613" w:type="dxa"/>
            <w:tcBorders>
              <w:top w:val="nil"/>
              <w:bottom w:val="nil"/>
            </w:tcBorders>
            <w:shd w:val="clear" w:color="auto" w:fill="auto"/>
            <w:vAlign w:val="center"/>
          </w:tcPr>
          <w:p w14:paraId="6E80C14E" w14:textId="33B270A8" w:rsidR="0057754C" w:rsidRPr="00C570E8" w:rsidRDefault="0057754C" w:rsidP="0057754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C25D1">
              <w:rPr>
                <w:rFonts w:eastAsiaTheme="minorEastAsia" w:cs="Arial"/>
                <w:b/>
                <w:bCs/>
                <w:color w:val="000000"/>
                <w:spacing w:val="0"/>
                <w:szCs w:val="14"/>
                <w:lang w:eastAsia="en-US"/>
              </w:rPr>
              <w:t>7</w:t>
            </w:r>
            <w:r w:rsidR="007F4DBC">
              <w:rPr>
                <w:rFonts w:eastAsiaTheme="minorEastAsia" w:cs="Arial"/>
                <w:b/>
                <w:bCs/>
                <w:color w:val="000000"/>
                <w:spacing w:val="0"/>
                <w:szCs w:val="14"/>
                <w:lang w:eastAsia="en-US"/>
              </w:rPr>
              <w:t>,</w:t>
            </w:r>
            <w:r w:rsidRPr="00AC25D1">
              <w:rPr>
                <w:rFonts w:eastAsiaTheme="minorEastAsia" w:cs="Arial"/>
                <w:b/>
                <w:bCs/>
                <w:color w:val="000000"/>
                <w:spacing w:val="0"/>
                <w:szCs w:val="14"/>
                <w:lang w:eastAsia="en-US"/>
              </w:rPr>
              <w:t>947</w:t>
            </w:r>
            <w:r w:rsidR="007F4DBC">
              <w:rPr>
                <w:rFonts w:eastAsiaTheme="minorEastAsia" w:cs="Arial"/>
                <w:b/>
                <w:bCs/>
                <w:color w:val="000000"/>
                <w:spacing w:val="0"/>
                <w:szCs w:val="14"/>
                <w:lang w:eastAsia="en-US"/>
              </w:rPr>
              <w:t>,</w:t>
            </w:r>
            <w:r w:rsidRPr="00AC25D1">
              <w:rPr>
                <w:rFonts w:eastAsiaTheme="minorEastAsia" w:cs="Arial"/>
                <w:b/>
                <w:bCs/>
                <w:color w:val="000000"/>
                <w:spacing w:val="0"/>
                <w:szCs w:val="14"/>
                <w:lang w:eastAsia="en-US"/>
              </w:rPr>
              <w:t>203</w:t>
            </w:r>
          </w:p>
        </w:tc>
      </w:tr>
      <w:tr w:rsidR="00D6364A" w:rsidRPr="00C570E8" w14:paraId="1F0346E8"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single" w:sz="2" w:space="0" w:color="1F3864" w:themeColor="accent1" w:themeShade="80"/>
            </w:tcBorders>
            <w:shd w:val="clear" w:color="auto" w:fill="auto"/>
            <w:vAlign w:val="center"/>
          </w:tcPr>
          <w:p w14:paraId="6B44561B" w14:textId="77777777" w:rsidR="00D6364A" w:rsidRPr="00C570E8" w:rsidRDefault="00D6364A" w:rsidP="00D6364A">
            <w:pPr>
              <w:pStyle w:val="08-Tabelageral"/>
              <w:jc w:val="left"/>
              <w:rPr>
                <w:rFonts w:cs="Arial"/>
                <w:bCs w:val="0"/>
                <w:szCs w:val="14"/>
              </w:rPr>
            </w:pPr>
          </w:p>
        </w:tc>
        <w:tc>
          <w:tcPr>
            <w:tcW w:w="1166" w:type="dxa"/>
            <w:tcBorders>
              <w:top w:val="nil"/>
              <w:bottom w:val="single" w:sz="2" w:space="0" w:color="1F3864" w:themeColor="accent1" w:themeShade="80"/>
            </w:tcBorders>
            <w:shd w:val="clear" w:color="auto" w:fill="auto"/>
            <w:vAlign w:val="center"/>
          </w:tcPr>
          <w:p w14:paraId="37A834CF" w14:textId="77777777" w:rsidR="00D6364A" w:rsidRPr="00C570E8" w:rsidRDefault="00D6364A" w:rsidP="00D6364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6" w:type="dxa"/>
            <w:tcBorders>
              <w:top w:val="nil"/>
              <w:bottom w:val="single" w:sz="2" w:space="0" w:color="1F3864" w:themeColor="accent1" w:themeShade="80"/>
            </w:tcBorders>
            <w:shd w:val="clear" w:color="auto" w:fill="auto"/>
            <w:vAlign w:val="center"/>
          </w:tcPr>
          <w:p w14:paraId="4AFEAB5C" w14:textId="77777777" w:rsidR="00D6364A" w:rsidRPr="00C570E8" w:rsidRDefault="00D6364A" w:rsidP="00D6364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70" w:type="dxa"/>
            <w:tcBorders>
              <w:top w:val="nil"/>
              <w:bottom w:val="single" w:sz="2" w:space="0" w:color="1F3864" w:themeColor="accent1" w:themeShade="80"/>
            </w:tcBorders>
            <w:shd w:val="clear" w:color="auto" w:fill="auto"/>
            <w:vAlign w:val="center"/>
          </w:tcPr>
          <w:p w14:paraId="2700D12C" w14:textId="77777777" w:rsidR="00D6364A" w:rsidRPr="00C570E8" w:rsidRDefault="00D6364A" w:rsidP="00D6364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391" w:type="dxa"/>
            <w:gridSpan w:val="2"/>
            <w:tcBorders>
              <w:top w:val="nil"/>
              <w:bottom w:val="single" w:sz="2" w:space="0" w:color="1F3864" w:themeColor="accent1" w:themeShade="80"/>
            </w:tcBorders>
            <w:shd w:val="clear" w:color="auto" w:fill="auto"/>
            <w:vAlign w:val="center"/>
          </w:tcPr>
          <w:p w14:paraId="65655C46" w14:textId="77777777" w:rsidR="00D6364A" w:rsidRPr="00C570E8" w:rsidRDefault="00D6364A" w:rsidP="00D6364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5" w:type="dxa"/>
            <w:tcBorders>
              <w:top w:val="nil"/>
              <w:bottom w:val="single" w:sz="2" w:space="0" w:color="1F3864" w:themeColor="accent1" w:themeShade="80"/>
            </w:tcBorders>
            <w:shd w:val="clear" w:color="auto" w:fill="auto"/>
            <w:vAlign w:val="center"/>
          </w:tcPr>
          <w:p w14:paraId="7C91DAB8" w14:textId="77777777" w:rsidR="00D6364A" w:rsidRPr="00C570E8" w:rsidRDefault="00D6364A" w:rsidP="00D6364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613" w:type="dxa"/>
            <w:tcBorders>
              <w:top w:val="nil"/>
              <w:bottom w:val="single" w:sz="2" w:space="0" w:color="1F3864" w:themeColor="accent1" w:themeShade="80"/>
            </w:tcBorders>
            <w:shd w:val="clear" w:color="auto" w:fill="auto"/>
            <w:vAlign w:val="center"/>
          </w:tcPr>
          <w:p w14:paraId="0280B743" w14:textId="77777777" w:rsidR="00D6364A" w:rsidRPr="00C570E8" w:rsidRDefault="00D6364A" w:rsidP="00D6364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r>
      <w:tr w:rsidR="00D2542E" w:rsidRPr="00C570E8" w14:paraId="230C732B"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single" w:sz="2" w:space="0" w:color="1F3864" w:themeColor="accent1" w:themeShade="80"/>
              <w:bottom w:val="nil"/>
            </w:tcBorders>
            <w:shd w:val="clear" w:color="auto" w:fill="auto"/>
            <w:vAlign w:val="center"/>
          </w:tcPr>
          <w:p w14:paraId="5BC3E349" w14:textId="77777777" w:rsidR="00D2542E" w:rsidRPr="00C570E8" w:rsidRDefault="00D2542E" w:rsidP="00D2542E">
            <w:pPr>
              <w:pStyle w:val="08-Tabelageral"/>
              <w:jc w:val="left"/>
              <w:rPr>
                <w:rFonts w:cs="Arial"/>
                <w:b w:val="0"/>
                <w:szCs w:val="14"/>
              </w:rPr>
            </w:pPr>
            <w:proofErr w:type="spellStart"/>
            <w:r w:rsidRPr="00C570E8">
              <w:rPr>
                <w:rFonts w:cs="Arial"/>
                <w:b w:val="0"/>
                <w:szCs w:val="14"/>
              </w:rPr>
              <w:t>Number</w:t>
            </w:r>
            <w:proofErr w:type="spellEnd"/>
            <w:r w:rsidRPr="00C570E8">
              <w:rPr>
                <w:rFonts w:cs="Arial"/>
                <w:b w:val="0"/>
                <w:szCs w:val="14"/>
              </w:rPr>
              <w:t xml:space="preserve"> </w:t>
            </w:r>
            <w:proofErr w:type="spellStart"/>
            <w:r w:rsidRPr="00C570E8">
              <w:rPr>
                <w:rFonts w:cs="Arial"/>
                <w:b w:val="0"/>
                <w:szCs w:val="14"/>
              </w:rPr>
              <w:t>of</w:t>
            </w:r>
            <w:proofErr w:type="spellEnd"/>
            <w:r w:rsidRPr="00C570E8">
              <w:rPr>
                <w:rFonts w:cs="Arial"/>
                <w:b w:val="0"/>
                <w:szCs w:val="14"/>
              </w:rPr>
              <w:t xml:space="preserve"> </w:t>
            </w:r>
            <w:proofErr w:type="spellStart"/>
            <w:r w:rsidRPr="00C570E8">
              <w:rPr>
                <w:rFonts w:cs="Arial"/>
                <w:b w:val="0"/>
                <w:szCs w:val="14"/>
              </w:rPr>
              <w:t>shares</w:t>
            </w:r>
            <w:proofErr w:type="spellEnd"/>
          </w:p>
        </w:tc>
        <w:tc>
          <w:tcPr>
            <w:tcW w:w="1166" w:type="dxa"/>
            <w:tcBorders>
              <w:top w:val="single" w:sz="2" w:space="0" w:color="1F3864" w:themeColor="accent1" w:themeShade="80"/>
              <w:bottom w:val="nil"/>
            </w:tcBorders>
            <w:shd w:val="clear" w:color="auto" w:fill="auto"/>
            <w:vAlign w:val="center"/>
          </w:tcPr>
          <w:p w14:paraId="04F3506C" w14:textId="77777777"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C570E8">
              <w:rPr>
                <w:rFonts w:cs="Arial"/>
                <w:bCs/>
                <w:szCs w:val="14"/>
              </w:rPr>
              <w:t>[25.d]</w:t>
            </w:r>
          </w:p>
        </w:tc>
        <w:tc>
          <w:tcPr>
            <w:tcW w:w="1136" w:type="dxa"/>
            <w:tcBorders>
              <w:top w:val="single" w:sz="2" w:space="0" w:color="1F3864" w:themeColor="accent1" w:themeShade="80"/>
              <w:bottom w:val="nil"/>
            </w:tcBorders>
            <w:shd w:val="clear" w:color="auto" w:fill="auto"/>
            <w:vAlign w:val="center"/>
          </w:tcPr>
          <w:p w14:paraId="0560FE1A" w14:textId="05C6EA00"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BF2AAF">
              <w:rPr>
                <w:rFonts w:cs="Arial"/>
                <w:szCs w:val="14"/>
              </w:rPr>
              <w:t>2</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p>
        </w:tc>
        <w:tc>
          <w:tcPr>
            <w:tcW w:w="1870" w:type="dxa"/>
            <w:tcBorders>
              <w:top w:val="single" w:sz="2" w:space="0" w:color="1F3864" w:themeColor="accent1" w:themeShade="80"/>
              <w:bottom w:val="nil"/>
            </w:tcBorders>
            <w:shd w:val="clear" w:color="auto" w:fill="auto"/>
            <w:vAlign w:val="center"/>
          </w:tcPr>
          <w:p w14:paraId="7500EE21" w14:textId="220DB9E8"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BF2AAF">
              <w:rPr>
                <w:rFonts w:cs="Arial"/>
                <w:szCs w:val="14"/>
              </w:rPr>
              <w:t>2</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p>
        </w:tc>
        <w:tc>
          <w:tcPr>
            <w:tcW w:w="391" w:type="dxa"/>
            <w:gridSpan w:val="2"/>
            <w:tcBorders>
              <w:top w:val="single" w:sz="2" w:space="0" w:color="1F3864" w:themeColor="accent1" w:themeShade="80"/>
              <w:bottom w:val="nil"/>
            </w:tcBorders>
            <w:shd w:val="clear" w:color="auto" w:fill="auto"/>
            <w:vAlign w:val="center"/>
          </w:tcPr>
          <w:p w14:paraId="3FBC5B27" w14:textId="77777777"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305" w:type="dxa"/>
            <w:tcBorders>
              <w:top w:val="single" w:sz="2" w:space="0" w:color="1F3864" w:themeColor="accent1" w:themeShade="80"/>
              <w:bottom w:val="nil"/>
            </w:tcBorders>
            <w:shd w:val="clear" w:color="auto" w:fill="auto"/>
            <w:vAlign w:val="center"/>
          </w:tcPr>
          <w:p w14:paraId="3801C80D" w14:textId="308F5E86"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BF2AAF">
              <w:rPr>
                <w:rFonts w:cs="Arial"/>
                <w:szCs w:val="14"/>
              </w:rPr>
              <w:t>2</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p>
        </w:tc>
        <w:tc>
          <w:tcPr>
            <w:tcW w:w="1613" w:type="dxa"/>
            <w:tcBorders>
              <w:top w:val="single" w:sz="2" w:space="0" w:color="1F3864" w:themeColor="accent1" w:themeShade="80"/>
              <w:bottom w:val="nil"/>
            </w:tcBorders>
            <w:shd w:val="clear" w:color="auto" w:fill="auto"/>
            <w:vAlign w:val="center"/>
          </w:tcPr>
          <w:p w14:paraId="37646F3E" w14:textId="3F7B9F8A"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BF2AAF">
              <w:rPr>
                <w:rFonts w:cs="Arial"/>
                <w:szCs w:val="14"/>
              </w:rPr>
              <w:t>2</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r w:rsidR="007F4DBC">
              <w:rPr>
                <w:rFonts w:cs="Arial"/>
                <w:szCs w:val="14"/>
              </w:rPr>
              <w:t>,</w:t>
            </w:r>
            <w:r w:rsidRPr="00BF2AAF">
              <w:rPr>
                <w:rFonts w:cs="Arial"/>
                <w:szCs w:val="14"/>
              </w:rPr>
              <w:t>000</w:t>
            </w:r>
          </w:p>
        </w:tc>
      </w:tr>
      <w:tr w:rsidR="00D2542E" w:rsidRPr="00C570E8" w14:paraId="6B9B093B" w14:textId="77777777" w:rsidTr="00D6364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nil"/>
            </w:tcBorders>
            <w:shd w:val="clear" w:color="auto" w:fill="auto"/>
            <w:vAlign w:val="center"/>
          </w:tcPr>
          <w:p w14:paraId="2FAB03B3" w14:textId="77777777" w:rsidR="00D2542E" w:rsidRPr="00C570E8" w:rsidRDefault="00D2542E" w:rsidP="00D2542E">
            <w:pPr>
              <w:pStyle w:val="08-Tabelageral"/>
              <w:jc w:val="left"/>
              <w:rPr>
                <w:rFonts w:cs="Arial"/>
                <w:b w:val="0"/>
                <w:szCs w:val="14"/>
                <w:lang w:val="en-US"/>
              </w:rPr>
            </w:pPr>
            <w:r w:rsidRPr="00C570E8">
              <w:rPr>
                <w:rFonts w:cs="Arial"/>
                <w:b w:val="0"/>
                <w:szCs w:val="14"/>
                <w:lang w:val="en-US"/>
              </w:rPr>
              <w:t>Weighted average number of shares - basic and diluted</w:t>
            </w:r>
          </w:p>
        </w:tc>
        <w:tc>
          <w:tcPr>
            <w:tcW w:w="1166" w:type="dxa"/>
            <w:tcBorders>
              <w:top w:val="nil"/>
              <w:bottom w:val="nil"/>
            </w:tcBorders>
            <w:shd w:val="clear" w:color="auto" w:fill="auto"/>
            <w:vAlign w:val="center"/>
          </w:tcPr>
          <w:p w14:paraId="4EB9C404" w14:textId="77777777" w:rsidR="00D2542E" w:rsidRPr="00C570E8" w:rsidRDefault="00D2542E" w:rsidP="00D2542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C570E8">
              <w:rPr>
                <w:rFonts w:cs="Arial"/>
                <w:bCs/>
                <w:szCs w:val="14"/>
              </w:rPr>
              <w:t>[25.a]</w:t>
            </w:r>
          </w:p>
        </w:tc>
        <w:tc>
          <w:tcPr>
            <w:tcW w:w="1136" w:type="dxa"/>
            <w:tcBorders>
              <w:bottom w:val="nil"/>
            </w:tcBorders>
            <w:shd w:val="clear" w:color="auto" w:fill="auto"/>
            <w:vAlign w:val="center"/>
          </w:tcPr>
          <w:p w14:paraId="47A1AD10" w14:textId="38743A11" w:rsidR="00D2542E" w:rsidRPr="00C570E8" w:rsidRDefault="00D2542E" w:rsidP="00D2542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AD38FC">
              <w:rPr>
                <w:rFonts w:cs="Arial"/>
                <w:szCs w:val="14"/>
              </w:rPr>
              <w:t>1</w:t>
            </w:r>
            <w:r w:rsidR="007F4DBC">
              <w:rPr>
                <w:rFonts w:cs="Arial"/>
                <w:szCs w:val="14"/>
              </w:rPr>
              <w:t>,</w:t>
            </w:r>
            <w:r w:rsidRPr="00AD38FC">
              <w:rPr>
                <w:rFonts w:cs="Arial"/>
                <w:szCs w:val="14"/>
              </w:rPr>
              <w:t>953</w:t>
            </w:r>
            <w:r w:rsidR="007F4DBC">
              <w:rPr>
                <w:rFonts w:cs="Arial"/>
                <w:szCs w:val="14"/>
              </w:rPr>
              <w:t>,</w:t>
            </w:r>
            <w:r w:rsidRPr="00AD38FC">
              <w:rPr>
                <w:rFonts w:cs="Arial"/>
                <w:szCs w:val="14"/>
              </w:rPr>
              <w:t>414</w:t>
            </w:r>
            <w:r w:rsidR="007F4DBC">
              <w:rPr>
                <w:rFonts w:cs="Arial"/>
                <w:szCs w:val="14"/>
              </w:rPr>
              <w:t>,</w:t>
            </w:r>
            <w:r w:rsidRPr="00AD38FC">
              <w:rPr>
                <w:rFonts w:cs="Arial"/>
                <w:szCs w:val="14"/>
              </w:rPr>
              <w:t>779</w:t>
            </w:r>
          </w:p>
        </w:tc>
        <w:tc>
          <w:tcPr>
            <w:tcW w:w="1870" w:type="dxa"/>
            <w:tcBorders>
              <w:top w:val="nil"/>
              <w:bottom w:val="nil"/>
            </w:tcBorders>
            <w:shd w:val="clear" w:color="auto" w:fill="auto"/>
            <w:vAlign w:val="center"/>
          </w:tcPr>
          <w:p w14:paraId="20790FF6" w14:textId="12004C87" w:rsidR="00D2542E" w:rsidRPr="00C570E8" w:rsidRDefault="00D2542E" w:rsidP="00D2542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BF2AAF">
              <w:rPr>
                <w:rFonts w:cs="Arial"/>
                <w:szCs w:val="14"/>
              </w:rPr>
              <w:t>1</w:t>
            </w:r>
            <w:r w:rsidR="007F4DBC">
              <w:rPr>
                <w:rFonts w:cs="Arial"/>
                <w:szCs w:val="14"/>
              </w:rPr>
              <w:t>,</w:t>
            </w:r>
            <w:r w:rsidRPr="00BF2AAF">
              <w:rPr>
                <w:rFonts w:cs="Arial"/>
                <w:szCs w:val="14"/>
              </w:rPr>
              <w:t>993</w:t>
            </w:r>
            <w:r w:rsidR="007F4DBC">
              <w:rPr>
                <w:rFonts w:cs="Arial"/>
                <w:szCs w:val="14"/>
              </w:rPr>
              <w:t>,</w:t>
            </w:r>
            <w:r w:rsidRPr="00BF2AAF">
              <w:rPr>
                <w:rFonts w:cs="Arial"/>
                <w:szCs w:val="14"/>
              </w:rPr>
              <w:t>418</w:t>
            </w:r>
            <w:r w:rsidR="007F4DBC">
              <w:rPr>
                <w:rFonts w:cs="Arial"/>
                <w:szCs w:val="14"/>
              </w:rPr>
              <w:t>,</w:t>
            </w:r>
            <w:r w:rsidRPr="00BF2AAF">
              <w:rPr>
                <w:rFonts w:cs="Arial"/>
                <w:szCs w:val="14"/>
              </w:rPr>
              <w:t>627</w:t>
            </w:r>
          </w:p>
        </w:tc>
        <w:tc>
          <w:tcPr>
            <w:tcW w:w="391" w:type="dxa"/>
            <w:gridSpan w:val="2"/>
            <w:tcBorders>
              <w:top w:val="nil"/>
              <w:bottom w:val="nil"/>
            </w:tcBorders>
            <w:shd w:val="clear" w:color="auto" w:fill="auto"/>
            <w:vAlign w:val="center"/>
          </w:tcPr>
          <w:p w14:paraId="5F661F57" w14:textId="77777777" w:rsidR="00D2542E" w:rsidRPr="00C570E8" w:rsidRDefault="00D2542E" w:rsidP="00D2542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305" w:type="dxa"/>
            <w:tcBorders>
              <w:bottom w:val="nil"/>
            </w:tcBorders>
            <w:shd w:val="clear" w:color="auto" w:fill="auto"/>
            <w:vAlign w:val="center"/>
          </w:tcPr>
          <w:p w14:paraId="6BCD37AD" w14:textId="237C7ABC" w:rsidR="00D2542E" w:rsidRPr="00C570E8" w:rsidRDefault="00D2542E" w:rsidP="00D2542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F8509B">
              <w:rPr>
                <w:rFonts w:cs="Arial"/>
                <w:szCs w:val="14"/>
              </w:rPr>
              <w:t>1</w:t>
            </w:r>
            <w:r w:rsidR="007F4DBC">
              <w:rPr>
                <w:rFonts w:cs="Arial"/>
                <w:szCs w:val="14"/>
              </w:rPr>
              <w:t>,</w:t>
            </w:r>
            <w:r w:rsidRPr="00F8509B">
              <w:rPr>
                <w:rFonts w:cs="Arial"/>
                <w:szCs w:val="14"/>
              </w:rPr>
              <w:t>953</w:t>
            </w:r>
            <w:r w:rsidR="007F4DBC">
              <w:rPr>
                <w:rFonts w:cs="Arial"/>
                <w:szCs w:val="14"/>
              </w:rPr>
              <w:t>,</w:t>
            </w:r>
            <w:r w:rsidRPr="00F8509B">
              <w:rPr>
                <w:rFonts w:cs="Arial"/>
                <w:szCs w:val="14"/>
              </w:rPr>
              <w:t>414</w:t>
            </w:r>
            <w:r w:rsidR="007F4DBC">
              <w:rPr>
                <w:rFonts w:cs="Arial"/>
                <w:szCs w:val="14"/>
              </w:rPr>
              <w:t>,</w:t>
            </w:r>
            <w:r w:rsidRPr="00F8509B">
              <w:rPr>
                <w:rFonts w:cs="Arial"/>
                <w:szCs w:val="14"/>
              </w:rPr>
              <w:t>779</w:t>
            </w:r>
          </w:p>
        </w:tc>
        <w:tc>
          <w:tcPr>
            <w:tcW w:w="1613" w:type="dxa"/>
            <w:tcBorders>
              <w:top w:val="nil"/>
              <w:bottom w:val="nil"/>
            </w:tcBorders>
            <w:shd w:val="clear" w:color="auto" w:fill="auto"/>
            <w:vAlign w:val="center"/>
          </w:tcPr>
          <w:p w14:paraId="3ADDD757" w14:textId="5E509CFD" w:rsidR="00D2542E" w:rsidRPr="00C570E8" w:rsidRDefault="00D2542E" w:rsidP="00D2542E">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BF2AAF">
              <w:rPr>
                <w:rFonts w:cs="Arial"/>
                <w:szCs w:val="14"/>
              </w:rPr>
              <w:t>1</w:t>
            </w:r>
            <w:r w:rsidR="007F4DBC">
              <w:rPr>
                <w:rFonts w:cs="Arial"/>
                <w:szCs w:val="14"/>
              </w:rPr>
              <w:t>,</w:t>
            </w:r>
            <w:r w:rsidRPr="00BF2AAF">
              <w:rPr>
                <w:rFonts w:cs="Arial"/>
                <w:szCs w:val="14"/>
              </w:rPr>
              <w:t>993</w:t>
            </w:r>
            <w:r w:rsidR="007F4DBC">
              <w:rPr>
                <w:rFonts w:cs="Arial"/>
                <w:szCs w:val="14"/>
              </w:rPr>
              <w:t>,</w:t>
            </w:r>
            <w:r w:rsidRPr="00BF2AAF">
              <w:rPr>
                <w:rFonts w:cs="Arial"/>
                <w:szCs w:val="14"/>
              </w:rPr>
              <w:t>418</w:t>
            </w:r>
            <w:r w:rsidR="007F4DBC">
              <w:rPr>
                <w:rFonts w:cs="Arial"/>
                <w:szCs w:val="14"/>
              </w:rPr>
              <w:t>,</w:t>
            </w:r>
            <w:r w:rsidRPr="00BF2AAF">
              <w:rPr>
                <w:rFonts w:cs="Arial"/>
                <w:szCs w:val="14"/>
              </w:rPr>
              <w:t>627</w:t>
            </w:r>
          </w:p>
        </w:tc>
      </w:tr>
      <w:tr w:rsidR="00D2542E" w:rsidRPr="00C570E8" w14:paraId="528E0D98" w14:textId="77777777" w:rsidTr="00D6364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8" w:type="dxa"/>
            <w:tcBorders>
              <w:top w:val="nil"/>
              <w:bottom w:val="single" w:sz="2" w:space="0" w:color="1F3864" w:themeColor="accent1" w:themeShade="80"/>
            </w:tcBorders>
            <w:shd w:val="clear" w:color="auto" w:fill="auto"/>
            <w:vAlign w:val="center"/>
          </w:tcPr>
          <w:p w14:paraId="35BE1A77" w14:textId="77777777" w:rsidR="00D2542E" w:rsidRPr="00C570E8" w:rsidRDefault="00D2542E" w:rsidP="00D2542E">
            <w:pPr>
              <w:pStyle w:val="08-Tabelageral"/>
              <w:jc w:val="left"/>
              <w:rPr>
                <w:rFonts w:cs="Arial"/>
                <w:b w:val="0"/>
                <w:szCs w:val="14"/>
                <w:lang w:val="en-US"/>
              </w:rPr>
            </w:pPr>
            <w:r w:rsidRPr="00C570E8">
              <w:rPr>
                <w:rFonts w:cs="Arial"/>
                <w:b w:val="0"/>
                <w:szCs w:val="14"/>
                <w:lang w:val="en-US"/>
              </w:rPr>
              <w:t>Basic and diluted earnings per share (R$)</w:t>
            </w:r>
          </w:p>
        </w:tc>
        <w:tc>
          <w:tcPr>
            <w:tcW w:w="1166" w:type="dxa"/>
            <w:tcBorders>
              <w:top w:val="nil"/>
              <w:bottom w:val="single" w:sz="2" w:space="0" w:color="1F3864" w:themeColor="accent1" w:themeShade="80"/>
            </w:tcBorders>
            <w:shd w:val="clear" w:color="auto" w:fill="auto"/>
            <w:vAlign w:val="center"/>
          </w:tcPr>
          <w:p w14:paraId="590A0EC9" w14:textId="77777777"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C570E8">
              <w:rPr>
                <w:rFonts w:cs="Arial"/>
                <w:bCs/>
                <w:szCs w:val="14"/>
              </w:rPr>
              <w:t>[25.a]</w:t>
            </w:r>
          </w:p>
        </w:tc>
        <w:tc>
          <w:tcPr>
            <w:tcW w:w="1136" w:type="dxa"/>
            <w:tcBorders>
              <w:top w:val="nil"/>
              <w:bottom w:val="single" w:sz="2" w:space="0" w:color="1F3864" w:themeColor="accent1" w:themeShade="80"/>
            </w:tcBorders>
            <w:shd w:val="clear" w:color="auto" w:fill="auto"/>
            <w:vAlign w:val="center"/>
          </w:tcPr>
          <w:p w14:paraId="71E620C4" w14:textId="7CF6ED2B"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C710A7">
              <w:rPr>
                <w:rFonts w:cs="Arial"/>
                <w:szCs w:val="14"/>
              </w:rPr>
              <w:t>4</w:t>
            </w:r>
            <w:r w:rsidR="003542E7">
              <w:rPr>
                <w:rFonts w:cs="Arial"/>
                <w:szCs w:val="14"/>
              </w:rPr>
              <w:t>.</w:t>
            </w:r>
            <w:r w:rsidRPr="00C710A7">
              <w:rPr>
                <w:rFonts w:cs="Arial"/>
                <w:szCs w:val="14"/>
              </w:rPr>
              <w:t>46</w:t>
            </w:r>
          </w:p>
        </w:tc>
        <w:tc>
          <w:tcPr>
            <w:tcW w:w="1870" w:type="dxa"/>
            <w:tcBorders>
              <w:top w:val="nil"/>
              <w:bottom w:val="single" w:sz="2" w:space="0" w:color="1F3864" w:themeColor="accent1" w:themeShade="80"/>
            </w:tcBorders>
            <w:shd w:val="clear" w:color="auto" w:fill="auto"/>
            <w:vAlign w:val="center"/>
          </w:tcPr>
          <w:p w14:paraId="2483E0B0" w14:textId="50054268"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BF2AAF">
              <w:rPr>
                <w:rFonts w:cs="Arial"/>
                <w:szCs w:val="14"/>
              </w:rPr>
              <w:t>3</w:t>
            </w:r>
            <w:r w:rsidR="002F15F5">
              <w:rPr>
                <w:rFonts w:cs="Arial"/>
                <w:szCs w:val="14"/>
              </w:rPr>
              <w:t>.</w:t>
            </w:r>
            <w:r w:rsidRPr="00BF2AAF">
              <w:rPr>
                <w:rFonts w:cs="Arial"/>
                <w:szCs w:val="14"/>
              </w:rPr>
              <w:t>99</w:t>
            </w:r>
          </w:p>
        </w:tc>
        <w:tc>
          <w:tcPr>
            <w:tcW w:w="391" w:type="dxa"/>
            <w:gridSpan w:val="2"/>
            <w:tcBorders>
              <w:top w:val="nil"/>
              <w:bottom w:val="single" w:sz="2" w:space="0" w:color="1F3864" w:themeColor="accent1" w:themeShade="80"/>
            </w:tcBorders>
            <w:shd w:val="clear" w:color="auto" w:fill="auto"/>
            <w:vAlign w:val="center"/>
          </w:tcPr>
          <w:p w14:paraId="724F7F8D" w14:textId="77777777"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305" w:type="dxa"/>
            <w:tcBorders>
              <w:top w:val="nil"/>
              <w:bottom w:val="single" w:sz="2" w:space="0" w:color="1F3864" w:themeColor="accent1" w:themeShade="80"/>
            </w:tcBorders>
            <w:shd w:val="clear" w:color="auto" w:fill="auto"/>
            <w:vAlign w:val="center"/>
          </w:tcPr>
          <w:p w14:paraId="6EDD263A" w14:textId="22EFF1DD"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C710A7">
              <w:rPr>
                <w:rFonts w:cs="Arial"/>
                <w:szCs w:val="14"/>
              </w:rPr>
              <w:t>4</w:t>
            </w:r>
            <w:r w:rsidR="002F15F5">
              <w:rPr>
                <w:rFonts w:cs="Arial"/>
                <w:szCs w:val="14"/>
              </w:rPr>
              <w:t>.</w:t>
            </w:r>
            <w:r w:rsidRPr="00C710A7">
              <w:rPr>
                <w:rFonts w:cs="Arial"/>
                <w:szCs w:val="14"/>
              </w:rPr>
              <w:t>46</w:t>
            </w:r>
          </w:p>
        </w:tc>
        <w:tc>
          <w:tcPr>
            <w:tcW w:w="1613" w:type="dxa"/>
            <w:tcBorders>
              <w:top w:val="nil"/>
              <w:bottom w:val="single" w:sz="2" w:space="0" w:color="1F3864" w:themeColor="accent1" w:themeShade="80"/>
            </w:tcBorders>
            <w:shd w:val="clear" w:color="auto" w:fill="auto"/>
            <w:vAlign w:val="center"/>
          </w:tcPr>
          <w:p w14:paraId="35106F64" w14:textId="2D790A3C" w:rsidR="00D2542E" w:rsidRPr="00C570E8" w:rsidRDefault="00D2542E" w:rsidP="00D2542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BF2AAF">
              <w:rPr>
                <w:rFonts w:cs="Arial"/>
                <w:szCs w:val="14"/>
              </w:rPr>
              <w:t>3</w:t>
            </w:r>
            <w:r w:rsidR="002F15F5">
              <w:rPr>
                <w:rFonts w:cs="Arial"/>
                <w:szCs w:val="14"/>
              </w:rPr>
              <w:t>.</w:t>
            </w:r>
            <w:r w:rsidRPr="00BF2AAF">
              <w:rPr>
                <w:rFonts w:cs="Arial"/>
                <w:szCs w:val="14"/>
              </w:rPr>
              <w:t>99</w:t>
            </w:r>
          </w:p>
        </w:tc>
      </w:tr>
    </w:tbl>
    <w:p w14:paraId="02772BF7" w14:textId="17728AA1" w:rsidR="008D7327" w:rsidRPr="008D7327" w:rsidRDefault="008D7327" w:rsidP="00357ACD">
      <w:pPr>
        <w:jc w:val="both"/>
        <w:rPr>
          <w:lang w:val="en-US"/>
        </w:rPr>
      </w:pPr>
      <w:r w:rsidRPr="00C929DB">
        <w:rPr>
          <w:rFonts w:ascii="Arial" w:hAnsi="Arial" w:cs="Arial"/>
          <w:sz w:val="14"/>
          <w:szCs w:val="14"/>
          <w:lang w:val="en-US"/>
        </w:rPr>
        <w:t>The explanatory notes are an integral part of the financial statements.</w:t>
      </w:r>
    </w:p>
    <w:p w14:paraId="67DC8A65" w14:textId="6D89E1F3" w:rsidR="00B7684B" w:rsidRDefault="008E65B8" w:rsidP="00467245">
      <w:pPr>
        <w:pStyle w:val="Ttulo1"/>
        <w:spacing w:line="259" w:lineRule="auto"/>
        <w:jc w:val="both"/>
        <w:rPr>
          <w:rFonts w:ascii="Arial" w:hAnsi="Arial" w:cs="Arial"/>
          <w:b/>
          <w:color w:val="1F3864" w:themeColor="accent1" w:themeShade="80"/>
          <w:sz w:val="20"/>
          <w:lang w:val="en-US"/>
        </w:rPr>
      </w:pPr>
      <w:bookmarkStart w:id="9" w:name="_Toc149573379"/>
      <w:bookmarkStart w:id="10" w:name="_Toc190680616"/>
      <w:r w:rsidRPr="00432934">
        <w:rPr>
          <w:rFonts w:ascii="Arial" w:hAnsi="Arial" w:cs="Arial"/>
          <w:b/>
          <w:color w:val="1F3864" w:themeColor="accent1" w:themeShade="80"/>
          <w:sz w:val="20"/>
          <w:lang w:val="en-US"/>
        </w:rPr>
        <w:t>STATEMENT OF COMPREHENSIVE INCOME</w:t>
      </w:r>
      <w:bookmarkEnd w:id="9"/>
      <w:bookmarkEnd w:id="10"/>
    </w:p>
    <w:p w14:paraId="52682A80" w14:textId="77777777" w:rsidR="009A71C9" w:rsidRPr="00432934" w:rsidRDefault="009A71C9" w:rsidP="009A71C9">
      <w:pPr>
        <w:pStyle w:val="01-TtulodeNota"/>
        <w:spacing w:before="0" w:after="0"/>
        <w:jc w:val="right"/>
        <w:rPr>
          <w:rFonts w:cs="Arial"/>
          <w:sz w:val="14"/>
          <w:szCs w:val="14"/>
          <w:lang w:val="en-US"/>
        </w:rPr>
      </w:pPr>
      <w:r w:rsidRPr="00432934">
        <w:rPr>
          <w:rFonts w:cs="Arial"/>
          <w:sz w:val="14"/>
          <w:szCs w:val="14"/>
          <w:lang w:val="en-US"/>
        </w:rPr>
        <w:t>R$ thousand</w:t>
      </w:r>
    </w:p>
    <w:tbl>
      <w:tblPr>
        <w:tblStyle w:val="TabeladeLista6Colorida-nfase5"/>
        <w:tblW w:w="9639" w:type="dxa"/>
        <w:jc w:val="center"/>
        <w:tblLook w:val="04A0" w:firstRow="1" w:lastRow="0" w:firstColumn="1" w:lastColumn="0" w:noHBand="0" w:noVBand="1"/>
      </w:tblPr>
      <w:tblGrid>
        <w:gridCol w:w="3269"/>
        <w:gridCol w:w="668"/>
        <w:gridCol w:w="440"/>
        <w:gridCol w:w="552"/>
        <w:gridCol w:w="1730"/>
        <w:gridCol w:w="239"/>
        <w:gridCol w:w="32"/>
        <w:gridCol w:w="265"/>
        <w:gridCol w:w="1169"/>
        <w:gridCol w:w="1275"/>
      </w:tblGrid>
      <w:tr w:rsidR="002F6BFB" w14:paraId="2F632864" w14:textId="77777777" w:rsidTr="002F6BFB">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single" w:sz="2" w:space="0" w:color="1F3864" w:themeColor="accent1" w:themeShade="80"/>
              <w:bottom w:val="nil"/>
            </w:tcBorders>
            <w:shd w:val="clear" w:color="auto" w:fill="auto"/>
            <w:vAlign w:val="center"/>
          </w:tcPr>
          <w:p w14:paraId="013349E5" w14:textId="77777777" w:rsidR="009A71C9" w:rsidRPr="0038283D" w:rsidRDefault="009A71C9">
            <w:pPr>
              <w:jc w:val="center"/>
              <w:rPr>
                <w:rFonts w:ascii="Arial" w:hAnsi="Arial" w:cs="Arial"/>
                <w:b w:val="0"/>
                <w:sz w:val="18"/>
                <w:szCs w:val="18"/>
                <w:lang w:val="en-US"/>
              </w:rPr>
            </w:pPr>
          </w:p>
        </w:tc>
        <w:tc>
          <w:tcPr>
            <w:tcW w:w="1108" w:type="dxa"/>
            <w:gridSpan w:val="2"/>
            <w:tcBorders>
              <w:top w:val="single" w:sz="2" w:space="0" w:color="1F3864" w:themeColor="accent1" w:themeShade="80"/>
              <w:bottom w:val="nil"/>
            </w:tcBorders>
            <w:shd w:val="clear" w:color="auto" w:fill="auto"/>
            <w:vAlign w:val="center"/>
          </w:tcPr>
          <w:p w14:paraId="27A67E0E" w14:textId="77777777" w:rsidR="009A71C9" w:rsidRPr="0038283D" w:rsidRDefault="009A71C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2553" w:type="dxa"/>
            <w:gridSpan w:val="4"/>
            <w:tcBorders>
              <w:top w:val="single" w:sz="2" w:space="0" w:color="1F3864" w:themeColor="accent1" w:themeShade="80"/>
              <w:bottom w:val="single" w:sz="2" w:space="0" w:color="1F3864" w:themeColor="accent1" w:themeShade="80"/>
            </w:tcBorders>
            <w:shd w:val="clear" w:color="auto" w:fill="auto"/>
            <w:vAlign w:val="center"/>
          </w:tcPr>
          <w:p w14:paraId="393EAAD7" w14:textId="77777777" w:rsidR="009A71C9" w:rsidRPr="001D6BE8" w:rsidRDefault="009A71C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9768B6">
              <w:rPr>
                <w:rFonts w:ascii="Arial" w:hAnsi="Arial" w:cs="Arial"/>
                <w:sz w:val="14"/>
                <w:szCs w:val="18"/>
              </w:rPr>
              <w:t>Parent</w:t>
            </w:r>
            <w:proofErr w:type="spellEnd"/>
          </w:p>
        </w:tc>
        <w:tc>
          <w:tcPr>
            <w:tcW w:w="265" w:type="dxa"/>
            <w:tcBorders>
              <w:top w:val="single" w:sz="2" w:space="0" w:color="1F3864" w:themeColor="accent1" w:themeShade="80"/>
              <w:bottom w:val="nil"/>
            </w:tcBorders>
            <w:shd w:val="clear" w:color="auto" w:fill="auto"/>
            <w:vAlign w:val="center"/>
          </w:tcPr>
          <w:p w14:paraId="342CD196" w14:textId="77777777" w:rsidR="009A71C9" w:rsidRPr="001D6BE8" w:rsidRDefault="009A71C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244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67130A0" w14:textId="77777777" w:rsidR="009A71C9" w:rsidRPr="001D6BE8" w:rsidRDefault="009A71C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roofErr w:type="spellStart"/>
            <w:r w:rsidRPr="009768B6">
              <w:rPr>
                <w:rFonts w:ascii="Arial" w:hAnsi="Arial" w:cs="Arial"/>
                <w:sz w:val="14"/>
                <w:szCs w:val="18"/>
              </w:rPr>
              <w:t>Consolidated</w:t>
            </w:r>
            <w:proofErr w:type="spellEnd"/>
          </w:p>
        </w:tc>
      </w:tr>
      <w:tr w:rsidR="00E07E94" w:rsidRPr="001D6BE8" w14:paraId="1B021516" w14:textId="77777777" w:rsidTr="0019384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single" w:sz="2" w:space="0" w:color="1F3864" w:themeColor="accent1" w:themeShade="80"/>
            </w:tcBorders>
            <w:shd w:val="clear" w:color="auto" w:fill="auto"/>
            <w:vAlign w:val="center"/>
          </w:tcPr>
          <w:p w14:paraId="0A115BFF" w14:textId="77777777" w:rsidR="009A71C9" w:rsidRPr="001D6BE8" w:rsidRDefault="009A71C9">
            <w:pPr>
              <w:pStyle w:val="08-Tabelageral"/>
              <w:jc w:val="left"/>
              <w:rPr>
                <w:rFonts w:cs="Arial"/>
                <w:b w:val="0"/>
              </w:rPr>
            </w:pPr>
          </w:p>
        </w:tc>
        <w:tc>
          <w:tcPr>
            <w:tcW w:w="668" w:type="dxa"/>
            <w:tcBorders>
              <w:top w:val="nil"/>
              <w:bottom w:val="single" w:sz="2" w:space="0" w:color="1F3864" w:themeColor="accent1" w:themeShade="80"/>
            </w:tcBorders>
            <w:shd w:val="clear" w:color="auto" w:fill="auto"/>
            <w:vAlign w:val="center"/>
          </w:tcPr>
          <w:p w14:paraId="57030D0B" w14:textId="77777777" w:rsidR="009A71C9" w:rsidRPr="001D6BE8" w:rsidRDefault="009A71C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992" w:type="dxa"/>
            <w:gridSpan w:val="2"/>
            <w:tcBorders>
              <w:top w:val="single" w:sz="2" w:space="0" w:color="1F3864" w:themeColor="accent1" w:themeShade="80"/>
              <w:bottom w:val="single" w:sz="2" w:space="0" w:color="1F3864" w:themeColor="accent1" w:themeShade="80"/>
            </w:tcBorders>
            <w:shd w:val="clear" w:color="auto" w:fill="auto"/>
            <w:vAlign w:val="center"/>
          </w:tcPr>
          <w:p w14:paraId="2B183CCF" w14:textId="16DDD98B" w:rsidR="009A71C9" w:rsidRDefault="009A71C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E811E8">
              <w:rPr>
                <w:rFonts w:cs="Arial"/>
                <w:b/>
              </w:rPr>
              <w:t>202</w:t>
            </w:r>
            <w:r w:rsidR="005B677E">
              <w:rPr>
                <w:rFonts w:cs="Arial"/>
                <w:b/>
              </w:rPr>
              <w:t>4</w:t>
            </w:r>
          </w:p>
        </w:tc>
        <w:tc>
          <w:tcPr>
            <w:tcW w:w="1730" w:type="dxa"/>
            <w:tcBorders>
              <w:top w:val="single" w:sz="2" w:space="0" w:color="9CC2E5" w:themeColor="accent5" w:themeTint="99"/>
              <w:bottom w:val="single" w:sz="2" w:space="0" w:color="9CC2E5" w:themeColor="accent5" w:themeTint="99"/>
            </w:tcBorders>
            <w:shd w:val="clear" w:color="auto" w:fill="auto"/>
            <w:vAlign w:val="center"/>
          </w:tcPr>
          <w:p w14:paraId="780D1719" w14:textId="72D08CBC" w:rsidR="009A71C9" w:rsidRDefault="00D7634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E811E8">
              <w:rPr>
                <w:rFonts w:cs="Arial"/>
                <w:b/>
              </w:rPr>
              <w:t>202</w:t>
            </w:r>
            <w:r>
              <w:rPr>
                <w:rFonts w:cs="Arial"/>
                <w:b/>
              </w:rPr>
              <w:t>3</w:t>
            </w:r>
          </w:p>
        </w:tc>
        <w:tc>
          <w:tcPr>
            <w:tcW w:w="239" w:type="dxa"/>
            <w:tcBorders>
              <w:top w:val="nil"/>
              <w:bottom w:val="nil"/>
            </w:tcBorders>
            <w:shd w:val="clear" w:color="auto" w:fill="auto"/>
            <w:vAlign w:val="center"/>
          </w:tcPr>
          <w:p w14:paraId="293C2287" w14:textId="77777777" w:rsidR="009A71C9" w:rsidRDefault="009A71C9">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66" w:type="dxa"/>
            <w:gridSpan w:val="3"/>
            <w:tcBorders>
              <w:top w:val="single" w:sz="2" w:space="0" w:color="1F3864" w:themeColor="accent1" w:themeShade="80"/>
              <w:bottom w:val="single" w:sz="2" w:space="0" w:color="1F3864" w:themeColor="accent1" w:themeShade="80"/>
            </w:tcBorders>
            <w:shd w:val="clear" w:color="auto" w:fill="auto"/>
            <w:vAlign w:val="center"/>
          </w:tcPr>
          <w:p w14:paraId="0305660B" w14:textId="18272798" w:rsidR="009A71C9" w:rsidRDefault="009A71C9">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E811E8">
              <w:rPr>
                <w:rFonts w:cs="Arial"/>
                <w:b/>
              </w:rPr>
              <w:t>202</w:t>
            </w:r>
            <w:r w:rsidR="005B677E">
              <w:rPr>
                <w:rFonts w:cs="Arial"/>
                <w:b/>
              </w:rPr>
              <w:t>4</w:t>
            </w:r>
          </w:p>
        </w:tc>
        <w:tc>
          <w:tcPr>
            <w:tcW w:w="1275" w:type="dxa"/>
            <w:tcBorders>
              <w:top w:val="single" w:sz="2" w:space="0" w:color="9CC2E5" w:themeColor="accent5" w:themeTint="99"/>
              <w:bottom w:val="single" w:sz="2" w:space="0" w:color="9CC2E5" w:themeColor="accent5" w:themeTint="99"/>
            </w:tcBorders>
            <w:shd w:val="clear" w:color="auto" w:fill="auto"/>
            <w:vAlign w:val="center"/>
          </w:tcPr>
          <w:p w14:paraId="081EA73A" w14:textId="1B154956" w:rsidR="009A71C9" w:rsidRDefault="00D7634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E811E8">
              <w:rPr>
                <w:rFonts w:cs="Arial"/>
                <w:b/>
              </w:rPr>
              <w:t>202</w:t>
            </w:r>
            <w:r>
              <w:rPr>
                <w:rFonts w:cs="Arial"/>
                <w:b/>
              </w:rPr>
              <w:t>3</w:t>
            </w:r>
          </w:p>
        </w:tc>
      </w:tr>
      <w:tr w:rsidR="002F6BFB" w:rsidRPr="001D6BE8" w14:paraId="5608252B" w14:textId="77777777" w:rsidTr="009C08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single" w:sz="2" w:space="0" w:color="1F3864" w:themeColor="accent1" w:themeShade="80"/>
              <w:bottom w:val="nil"/>
            </w:tcBorders>
            <w:shd w:val="clear" w:color="auto" w:fill="auto"/>
            <w:vAlign w:val="center"/>
          </w:tcPr>
          <w:p w14:paraId="39EFBC79" w14:textId="77777777" w:rsidR="00E07E94" w:rsidRPr="00C806B0" w:rsidRDefault="00E07E94" w:rsidP="00E07E94">
            <w:pPr>
              <w:pStyle w:val="08-Tabelageral"/>
              <w:jc w:val="left"/>
              <w:rPr>
                <w:rFonts w:cs="Arial"/>
                <w:bCs w:val="0"/>
                <w:szCs w:val="14"/>
              </w:rPr>
            </w:pPr>
            <w:r>
              <w:rPr>
                <w:rFonts w:cs="Arial"/>
                <w:szCs w:val="14"/>
              </w:rPr>
              <w:t>Net Income</w:t>
            </w:r>
          </w:p>
        </w:tc>
        <w:tc>
          <w:tcPr>
            <w:tcW w:w="668" w:type="dxa"/>
            <w:tcBorders>
              <w:top w:val="single" w:sz="2" w:space="0" w:color="1F3864" w:themeColor="accent1" w:themeShade="80"/>
              <w:bottom w:val="nil"/>
            </w:tcBorders>
            <w:shd w:val="clear" w:color="auto" w:fill="auto"/>
            <w:vAlign w:val="center"/>
          </w:tcPr>
          <w:p w14:paraId="3D1E44F3" w14:textId="77777777" w:rsidR="00E07E94" w:rsidRPr="00C806B0" w:rsidRDefault="00E07E94" w:rsidP="00E07E9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992" w:type="dxa"/>
            <w:gridSpan w:val="2"/>
            <w:tcBorders>
              <w:top w:val="single" w:sz="2" w:space="0" w:color="1F3864" w:themeColor="accent1" w:themeShade="80"/>
              <w:bottom w:val="nil"/>
            </w:tcBorders>
            <w:shd w:val="clear" w:color="auto" w:fill="auto"/>
            <w:vAlign w:val="center"/>
          </w:tcPr>
          <w:p w14:paraId="4D47F3B2" w14:textId="5E88D8E8" w:rsidR="00E07E94" w:rsidRPr="00C806B0" w:rsidRDefault="00E07E94" w:rsidP="00E07E9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8</w:t>
            </w:r>
            <w:r w:rsidR="000E3A2B">
              <w:rPr>
                <w:rFonts w:cs="Arial"/>
                <w:b/>
                <w:bCs/>
                <w:color w:val="000000"/>
                <w:szCs w:val="14"/>
              </w:rPr>
              <w:t>,</w:t>
            </w:r>
            <w:r>
              <w:rPr>
                <w:rFonts w:cs="Arial"/>
                <w:b/>
                <w:bCs/>
                <w:color w:val="000000"/>
                <w:szCs w:val="14"/>
              </w:rPr>
              <w:t>703</w:t>
            </w:r>
            <w:r w:rsidR="000E3A2B">
              <w:rPr>
                <w:rFonts w:cs="Arial"/>
                <w:b/>
                <w:bCs/>
                <w:color w:val="000000"/>
                <w:szCs w:val="14"/>
              </w:rPr>
              <w:t>,</w:t>
            </w:r>
            <w:r>
              <w:rPr>
                <w:rFonts w:cs="Arial"/>
                <w:b/>
                <w:bCs/>
                <w:color w:val="000000"/>
                <w:szCs w:val="14"/>
              </w:rPr>
              <w:t>353</w:t>
            </w:r>
          </w:p>
        </w:tc>
        <w:tc>
          <w:tcPr>
            <w:tcW w:w="1730" w:type="dxa"/>
            <w:tcBorders>
              <w:top w:val="single" w:sz="2" w:space="0" w:color="1F3864" w:themeColor="accent1" w:themeShade="80"/>
              <w:bottom w:val="nil"/>
            </w:tcBorders>
            <w:shd w:val="clear" w:color="auto" w:fill="auto"/>
            <w:vAlign w:val="center"/>
          </w:tcPr>
          <w:p w14:paraId="5C5CD033" w14:textId="6A5097BC" w:rsidR="00E07E94" w:rsidRPr="00C806B0" w:rsidRDefault="00E07E94" w:rsidP="00E07E9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F2AAF">
              <w:rPr>
                <w:rFonts w:cs="Arial"/>
                <w:b/>
                <w:bCs/>
                <w:szCs w:val="14"/>
              </w:rPr>
              <w:t>7</w:t>
            </w:r>
            <w:r w:rsidR="000E3A2B">
              <w:rPr>
                <w:rFonts w:cs="Arial"/>
                <w:b/>
                <w:bCs/>
                <w:szCs w:val="14"/>
              </w:rPr>
              <w:t>,</w:t>
            </w:r>
            <w:r w:rsidRPr="00BF2AAF">
              <w:rPr>
                <w:rFonts w:cs="Arial"/>
                <w:b/>
                <w:bCs/>
                <w:szCs w:val="14"/>
              </w:rPr>
              <w:t>947</w:t>
            </w:r>
            <w:r w:rsidR="000E3A2B">
              <w:rPr>
                <w:rFonts w:cs="Arial"/>
                <w:b/>
                <w:bCs/>
                <w:szCs w:val="14"/>
              </w:rPr>
              <w:t>,</w:t>
            </w:r>
            <w:r w:rsidRPr="00BF2AAF">
              <w:rPr>
                <w:rFonts w:cs="Arial"/>
                <w:b/>
                <w:bCs/>
                <w:szCs w:val="14"/>
              </w:rPr>
              <w:t>203</w:t>
            </w:r>
          </w:p>
        </w:tc>
        <w:tc>
          <w:tcPr>
            <w:tcW w:w="239" w:type="dxa"/>
            <w:tcBorders>
              <w:top w:val="nil"/>
              <w:bottom w:val="nil"/>
            </w:tcBorders>
            <w:shd w:val="clear" w:color="auto" w:fill="auto"/>
            <w:vAlign w:val="center"/>
          </w:tcPr>
          <w:p w14:paraId="6FAC1AE0" w14:textId="77777777" w:rsidR="00E07E94" w:rsidRPr="00C806B0" w:rsidRDefault="00E07E94" w:rsidP="00E07E9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66" w:type="dxa"/>
            <w:gridSpan w:val="3"/>
            <w:tcBorders>
              <w:top w:val="single" w:sz="2" w:space="0" w:color="1F3864" w:themeColor="accent1" w:themeShade="80"/>
              <w:bottom w:val="nil"/>
            </w:tcBorders>
            <w:shd w:val="clear" w:color="auto" w:fill="auto"/>
            <w:vAlign w:val="center"/>
          </w:tcPr>
          <w:p w14:paraId="38900839" w14:textId="16E54652" w:rsidR="00E07E94" w:rsidRPr="00C806B0" w:rsidRDefault="00E07E94" w:rsidP="00E07E9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b/>
                <w:bCs/>
                <w:color w:val="000000"/>
                <w:szCs w:val="14"/>
              </w:rPr>
              <w:t>8</w:t>
            </w:r>
            <w:r w:rsidR="000E3A2B">
              <w:rPr>
                <w:rFonts w:cs="Arial"/>
                <w:b/>
                <w:bCs/>
                <w:color w:val="000000"/>
                <w:szCs w:val="14"/>
              </w:rPr>
              <w:t>,</w:t>
            </w:r>
            <w:r>
              <w:rPr>
                <w:rFonts w:cs="Arial"/>
                <w:b/>
                <w:bCs/>
                <w:color w:val="000000"/>
                <w:szCs w:val="14"/>
              </w:rPr>
              <w:t>703</w:t>
            </w:r>
            <w:r w:rsidR="000E3A2B">
              <w:rPr>
                <w:rFonts w:cs="Arial"/>
                <w:b/>
                <w:bCs/>
                <w:color w:val="000000"/>
                <w:szCs w:val="14"/>
              </w:rPr>
              <w:t>,</w:t>
            </w:r>
            <w:r>
              <w:rPr>
                <w:rFonts w:cs="Arial"/>
                <w:b/>
                <w:bCs/>
                <w:color w:val="000000"/>
                <w:szCs w:val="14"/>
              </w:rPr>
              <w:t>353</w:t>
            </w:r>
          </w:p>
        </w:tc>
        <w:tc>
          <w:tcPr>
            <w:tcW w:w="1275" w:type="dxa"/>
            <w:tcBorders>
              <w:top w:val="single" w:sz="2" w:space="0" w:color="1F3864" w:themeColor="accent1" w:themeShade="80"/>
              <w:bottom w:val="nil"/>
            </w:tcBorders>
            <w:shd w:val="clear" w:color="auto" w:fill="auto"/>
            <w:vAlign w:val="center"/>
          </w:tcPr>
          <w:p w14:paraId="08984E7F" w14:textId="063AA401" w:rsidR="00E07E94" w:rsidRPr="00C806B0" w:rsidRDefault="00E07E94" w:rsidP="00E07E9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F2AAF">
              <w:rPr>
                <w:rFonts w:cs="Arial"/>
                <w:b/>
                <w:szCs w:val="14"/>
              </w:rPr>
              <w:t>7</w:t>
            </w:r>
            <w:r w:rsidR="000E3A2B">
              <w:rPr>
                <w:rFonts w:cs="Arial"/>
                <w:b/>
                <w:szCs w:val="14"/>
              </w:rPr>
              <w:t>,</w:t>
            </w:r>
            <w:r w:rsidRPr="00BF2AAF">
              <w:rPr>
                <w:rFonts w:cs="Arial"/>
                <w:b/>
                <w:szCs w:val="14"/>
              </w:rPr>
              <w:t>947</w:t>
            </w:r>
            <w:r w:rsidR="000E3A2B">
              <w:rPr>
                <w:rFonts w:cs="Arial"/>
                <w:b/>
                <w:szCs w:val="14"/>
              </w:rPr>
              <w:t>,</w:t>
            </w:r>
            <w:r w:rsidRPr="00BF2AAF">
              <w:rPr>
                <w:rFonts w:cs="Arial"/>
                <w:b/>
                <w:szCs w:val="14"/>
              </w:rPr>
              <w:t>203</w:t>
            </w:r>
          </w:p>
        </w:tc>
      </w:tr>
      <w:tr w:rsidR="002F6BFB" w:rsidRPr="001D6BE8" w14:paraId="57E670C4" w14:textId="77777777" w:rsidTr="009C08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nil"/>
            </w:tcBorders>
            <w:shd w:val="clear" w:color="auto" w:fill="auto"/>
            <w:vAlign w:val="center"/>
          </w:tcPr>
          <w:p w14:paraId="1186C3F5" w14:textId="77777777" w:rsidR="00E07E94" w:rsidRPr="0017587C" w:rsidRDefault="00E07E94" w:rsidP="00E07E94">
            <w:pPr>
              <w:pStyle w:val="08-Tabelageral"/>
              <w:jc w:val="left"/>
              <w:rPr>
                <w:rFonts w:cs="Arial"/>
                <w:szCs w:val="14"/>
                <w:lang w:val="en-US"/>
              </w:rPr>
            </w:pPr>
            <w:r w:rsidRPr="0017587C">
              <w:rPr>
                <w:rFonts w:cs="Arial"/>
                <w:szCs w:val="14"/>
                <w:lang w:val="en-US"/>
              </w:rPr>
              <w:t>Share of Comprehensive Income Investments in Equity Holdings</w:t>
            </w:r>
          </w:p>
        </w:tc>
        <w:tc>
          <w:tcPr>
            <w:tcW w:w="668" w:type="dxa"/>
            <w:tcBorders>
              <w:top w:val="nil"/>
              <w:bottom w:val="nil"/>
            </w:tcBorders>
            <w:shd w:val="clear" w:color="auto" w:fill="auto"/>
            <w:vAlign w:val="center"/>
          </w:tcPr>
          <w:p w14:paraId="7A183F9A" w14:textId="77777777" w:rsidR="00E07E94" w:rsidRPr="00B54E0F" w:rsidRDefault="00E07E94" w:rsidP="00E07E9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992" w:type="dxa"/>
            <w:gridSpan w:val="2"/>
            <w:tcBorders>
              <w:top w:val="nil"/>
              <w:bottom w:val="nil"/>
            </w:tcBorders>
            <w:shd w:val="clear" w:color="auto" w:fill="auto"/>
            <w:vAlign w:val="center"/>
          </w:tcPr>
          <w:p w14:paraId="0F4D0098" w14:textId="64AAC611" w:rsidR="00E07E94" w:rsidRDefault="00E07E94" w:rsidP="00E07E9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(546</w:t>
            </w:r>
            <w:r w:rsidR="000E3A2B">
              <w:rPr>
                <w:rFonts w:cs="Arial"/>
                <w:b/>
                <w:bCs/>
                <w:color w:val="000000"/>
                <w:szCs w:val="14"/>
              </w:rPr>
              <w:t>,</w:t>
            </w:r>
            <w:r>
              <w:rPr>
                <w:rFonts w:cs="Arial"/>
                <w:b/>
                <w:bCs/>
                <w:color w:val="000000"/>
                <w:szCs w:val="14"/>
              </w:rPr>
              <w:t>784)</w:t>
            </w:r>
          </w:p>
        </w:tc>
        <w:tc>
          <w:tcPr>
            <w:tcW w:w="1730" w:type="dxa"/>
            <w:tcBorders>
              <w:top w:val="nil"/>
              <w:bottom w:val="nil"/>
            </w:tcBorders>
            <w:shd w:val="clear" w:color="auto" w:fill="auto"/>
            <w:vAlign w:val="center"/>
          </w:tcPr>
          <w:p w14:paraId="181C6E42" w14:textId="11DBE5D1" w:rsidR="00E07E94" w:rsidRDefault="00E07E94" w:rsidP="00E07E9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144</w:t>
            </w:r>
            <w:r w:rsidR="000E3A2B">
              <w:rPr>
                <w:rFonts w:cs="Arial"/>
                <w:b/>
                <w:szCs w:val="14"/>
              </w:rPr>
              <w:t>,</w:t>
            </w:r>
            <w:r w:rsidRPr="00BF2AAF">
              <w:rPr>
                <w:rFonts w:cs="Arial"/>
                <w:b/>
                <w:szCs w:val="14"/>
              </w:rPr>
              <w:t>171</w:t>
            </w:r>
          </w:p>
        </w:tc>
        <w:tc>
          <w:tcPr>
            <w:tcW w:w="239" w:type="dxa"/>
            <w:tcBorders>
              <w:top w:val="nil"/>
              <w:bottom w:val="nil"/>
            </w:tcBorders>
            <w:shd w:val="clear" w:color="auto" w:fill="auto"/>
            <w:vAlign w:val="center"/>
          </w:tcPr>
          <w:p w14:paraId="15BEA5CF" w14:textId="77777777" w:rsidR="00E07E94" w:rsidRDefault="00E07E94" w:rsidP="00E07E9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66" w:type="dxa"/>
            <w:gridSpan w:val="3"/>
            <w:tcBorders>
              <w:top w:val="nil"/>
              <w:bottom w:val="nil"/>
            </w:tcBorders>
            <w:shd w:val="clear" w:color="auto" w:fill="auto"/>
            <w:vAlign w:val="center"/>
          </w:tcPr>
          <w:p w14:paraId="4DEBA2C8" w14:textId="3D058E47" w:rsidR="00E07E94" w:rsidRDefault="00E07E94" w:rsidP="00E07E9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(546</w:t>
            </w:r>
            <w:r w:rsidR="000E3A2B">
              <w:rPr>
                <w:rFonts w:cs="Arial"/>
                <w:b/>
                <w:bCs/>
                <w:color w:val="000000"/>
                <w:szCs w:val="14"/>
              </w:rPr>
              <w:t>,</w:t>
            </w:r>
            <w:r>
              <w:rPr>
                <w:rFonts w:cs="Arial"/>
                <w:b/>
                <w:bCs/>
                <w:color w:val="000000"/>
                <w:szCs w:val="14"/>
              </w:rPr>
              <w:t>784)</w:t>
            </w:r>
          </w:p>
        </w:tc>
        <w:tc>
          <w:tcPr>
            <w:tcW w:w="1275" w:type="dxa"/>
            <w:tcBorders>
              <w:top w:val="nil"/>
              <w:bottom w:val="nil"/>
            </w:tcBorders>
            <w:shd w:val="clear" w:color="auto" w:fill="auto"/>
            <w:vAlign w:val="center"/>
          </w:tcPr>
          <w:p w14:paraId="63D0AF6A" w14:textId="64907DF8" w:rsidR="00E07E94" w:rsidRDefault="00E07E94" w:rsidP="00E07E9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144</w:t>
            </w:r>
            <w:r w:rsidR="000E3A2B">
              <w:rPr>
                <w:rFonts w:cs="Arial"/>
                <w:b/>
                <w:szCs w:val="14"/>
              </w:rPr>
              <w:t>,</w:t>
            </w:r>
            <w:r w:rsidRPr="00BF2AAF">
              <w:rPr>
                <w:rFonts w:cs="Arial"/>
                <w:b/>
                <w:szCs w:val="14"/>
              </w:rPr>
              <w:t>171</w:t>
            </w:r>
          </w:p>
        </w:tc>
      </w:tr>
      <w:tr w:rsidR="002F6BFB" w:rsidRPr="001D6BE8" w14:paraId="64E0CBF7" w14:textId="77777777" w:rsidTr="009C08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nil"/>
            </w:tcBorders>
            <w:shd w:val="clear" w:color="auto" w:fill="auto"/>
            <w:vAlign w:val="center"/>
          </w:tcPr>
          <w:p w14:paraId="3E80E153" w14:textId="77777777" w:rsidR="002F6BFB" w:rsidRPr="0038283D" w:rsidRDefault="002F6BFB" w:rsidP="002F6BFB">
            <w:pPr>
              <w:pStyle w:val="08-Tabelageral"/>
              <w:jc w:val="left"/>
              <w:rPr>
                <w:rFonts w:cs="Arial"/>
                <w:b w:val="0"/>
                <w:szCs w:val="14"/>
                <w:lang w:val="en-US"/>
              </w:rPr>
            </w:pPr>
            <w:r w:rsidRPr="00BD6C7E">
              <w:rPr>
                <w:rFonts w:cs="Arial"/>
                <w:b w:val="0"/>
                <w:szCs w:val="14"/>
                <w:lang w:val="en-US"/>
              </w:rPr>
              <w:t>Gains/(losses) on financial assets available for sale</w:t>
            </w:r>
          </w:p>
        </w:tc>
        <w:tc>
          <w:tcPr>
            <w:tcW w:w="668" w:type="dxa"/>
            <w:tcBorders>
              <w:top w:val="nil"/>
              <w:bottom w:val="nil"/>
            </w:tcBorders>
            <w:shd w:val="clear" w:color="auto" w:fill="auto"/>
            <w:vAlign w:val="center"/>
          </w:tcPr>
          <w:p w14:paraId="715109FC" w14:textId="2DFE42EF"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val="en-US"/>
              </w:rPr>
            </w:pPr>
            <w:r w:rsidRPr="00AC5C8C">
              <w:rPr>
                <w:rFonts w:cs="Arial"/>
                <w:szCs w:val="14"/>
              </w:rPr>
              <w:t>[25.g]</w:t>
            </w:r>
          </w:p>
        </w:tc>
        <w:tc>
          <w:tcPr>
            <w:tcW w:w="992" w:type="dxa"/>
            <w:gridSpan w:val="2"/>
            <w:tcBorders>
              <w:top w:val="nil"/>
              <w:bottom w:val="nil"/>
            </w:tcBorders>
            <w:shd w:val="clear" w:color="auto" w:fill="auto"/>
            <w:vAlign w:val="center"/>
          </w:tcPr>
          <w:p w14:paraId="4CF90AC6" w14:textId="518DF032"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(466,610)</w:t>
            </w:r>
          </w:p>
        </w:tc>
        <w:tc>
          <w:tcPr>
            <w:tcW w:w="1730" w:type="dxa"/>
            <w:tcBorders>
              <w:top w:val="nil"/>
              <w:bottom w:val="nil"/>
            </w:tcBorders>
            <w:shd w:val="clear" w:color="auto" w:fill="auto"/>
            <w:vAlign w:val="center"/>
          </w:tcPr>
          <w:p w14:paraId="091F1C15" w14:textId="5C303CDB"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szCs w:val="14"/>
              </w:rPr>
              <w:t>154</w:t>
            </w:r>
            <w:r>
              <w:rPr>
                <w:rFonts w:cs="Arial"/>
                <w:szCs w:val="14"/>
              </w:rPr>
              <w:t>,</w:t>
            </w:r>
            <w:r w:rsidRPr="00BF2AAF">
              <w:rPr>
                <w:rFonts w:cs="Arial"/>
                <w:szCs w:val="14"/>
              </w:rPr>
              <w:t>606</w:t>
            </w:r>
          </w:p>
        </w:tc>
        <w:tc>
          <w:tcPr>
            <w:tcW w:w="239" w:type="dxa"/>
            <w:tcBorders>
              <w:top w:val="nil"/>
              <w:bottom w:val="nil"/>
            </w:tcBorders>
            <w:shd w:val="clear" w:color="auto" w:fill="auto"/>
            <w:vAlign w:val="center"/>
          </w:tcPr>
          <w:p w14:paraId="0985166B" w14:textId="77777777"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66" w:type="dxa"/>
            <w:gridSpan w:val="3"/>
            <w:tcBorders>
              <w:top w:val="nil"/>
              <w:bottom w:val="nil"/>
            </w:tcBorders>
            <w:shd w:val="clear" w:color="auto" w:fill="auto"/>
            <w:vAlign w:val="center"/>
          </w:tcPr>
          <w:p w14:paraId="51B9B09B" w14:textId="08ACE2C7"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(466,610)</w:t>
            </w:r>
          </w:p>
        </w:tc>
        <w:tc>
          <w:tcPr>
            <w:tcW w:w="1275" w:type="dxa"/>
            <w:tcBorders>
              <w:top w:val="nil"/>
              <w:bottom w:val="nil"/>
            </w:tcBorders>
            <w:shd w:val="clear" w:color="auto" w:fill="auto"/>
            <w:vAlign w:val="center"/>
          </w:tcPr>
          <w:p w14:paraId="5BB90AD1" w14:textId="5803B07B"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szCs w:val="14"/>
              </w:rPr>
              <w:t>154</w:t>
            </w:r>
            <w:r>
              <w:rPr>
                <w:rFonts w:cs="Arial"/>
                <w:szCs w:val="14"/>
              </w:rPr>
              <w:t>,</w:t>
            </w:r>
            <w:r w:rsidRPr="00BF2AAF">
              <w:rPr>
                <w:rFonts w:cs="Arial"/>
                <w:szCs w:val="14"/>
              </w:rPr>
              <w:t>606</w:t>
            </w:r>
          </w:p>
        </w:tc>
      </w:tr>
      <w:tr w:rsidR="002F6BFB" w:rsidRPr="001D6BE8" w14:paraId="2DB609DB" w14:textId="77777777" w:rsidTr="009C08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nil"/>
            </w:tcBorders>
            <w:shd w:val="clear" w:color="auto" w:fill="auto"/>
            <w:vAlign w:val="center"/>
          </w:tcPr>
          <w:p w14:paraId="5BE001F8" w14:textId="4CE7DCD8" w:rsidR="002F6BFB" w:rsidRPr="00496F5E" w:rsidRDefault="002F6BFB" w:rsidP="002F6BFB">
            <w:pPr>
              <w:pStyle w:val="08-Tabelageral"/>
              <w:jc w:val="left"/>
              <w:rPr>
                <w:rFonts w:cs="Arial"/>
                <w:b w:val="0"/>
                <w:szCs w:val="14"/>
                <w:lang w:val="en-US"/>
              </w:rPr>
            </w:pPr>
            <w:r w:rsidRPr="002D4859">
              <w:rPr>
                <w:rFonts w:cs="Arial"/>
                <w:b w:val="0"/>
                <w:szCs w:val="14"/>
                <w:lang w:val="en-US"/>
              </w:rPr>
              <w:t>Other comprehensive results</w:t>
            </w:r>
            <w:r>
              <w:rPr>
                <w:rFonts w:cs="Arial"/>
                <w:b w:val="0"/>
                <w:szCs w:val="14"/>
                <w:lang w:val="en-US"/>
              </w:rPr>
              <w:t xml:space="preserve"> - effects CPC 50</w:t>
            </w:r>
          </w:p>
        </w:tc>
        <w:tc>
          <w:tcPr>
            <w:tcW w:w="668" w:type="dxa"/>
            <w:tcBorders>
              <w:top w:val="nil"/>
              <w:bottom w:val="nil"/>
            </w:tcBorders>
            <w:shd w:val="clear" w:color="auto" w:fill="auto"/>
            <w:vAlign w:val="center"/>
          </w:tcPr>
          <w:p w14:paraId="3BB86415" w14:textId="3C227D95"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r w:rsidRPr="00AC5C8C">
              <w:rPr>
                <w:rFonts w:cs="Arial"/>
                <w:szCs w:val="14"/>
              </w:rPr>
              <w:t>[25.g]</w:t>
            </w:r>
          </w:p>
        </w:tc>
        <w:tc>
          <w:tcPr>
            <w:tcW w:w="992" w:type="dxa"/>
            <w:gridSpan w:val="2"/>
            <w:tcBorders>
              <w:top w:val="nil"/>
              <w:bottom w:val="nil"/>
            </w:tcBorders>
            <w:shd w:val="clear" w:color="auto" w:fill="auto"/>
            <w:vAlign w:val="center"/>
          </w:tcPr>
          <w:p w14:paraId="2BE43D11" w14:textId="40B51F50"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(445,107)</w:t>
            </w:r>
          </w:p>
        </w:tc>
        <w:tc>
          <w:tcPr>
            <w:tcW w:w="1730" w:type="dxa"/>
            <w:tcBorders>
              <w:top w:val="nil"/>
              <w:bottom w:val="nil"/>
            </w:tcBorders>
            <w:shd w:val="clear" w:color="auto" w:fill="auto"/>
            <w:vAlign w:val="center"/>
          </w:tcPr>
          <w:p w14:paraId="6E077AEE" w14:textId="4B4236E2"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47</w:t>
            </w:r>
            <w:r>
              <w:rPr>
                <w:rFonts w:cs="Arial"/>
                <w:szCs w:val="14"/>
              </w:rPr>
              <w:t>,</w:t>
            </w:r>
            <w:r w:rsidRPr="00BF2AAF">
              <w:rPr>
                <w:rFonts w:cs="Arial"/>
                <w:szCs w:val="14"/>
              </w:rPr>
              <w:t>840</w:t>
            </w:r>
          </w:p>
        </w:tc>
        <w:tc>
          <w:tcPr>
            <w:tcW w:w="239" w:type="dxa"/>
            <w:tcBorders>
              <w:top w:val="nil"/>
              <w:bottom w:val="nil"/>
            </w:tcBorders>
            <w:shd w:val="clear" w:color="auto" w:fill="auto"/>
            <w:vAlign w:val="center"/>
          </w:tcPr>
          <w:p w14:paraId="300400C9" w14:textId="77777777"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66" w:type="dxa"/>
            <w:gridSpan w:val="3"/>
            <w:tcBorders>
              <w:top w:val="nil"/>
              <w:bottom w:val="nil"/>
            </w:tcBorders>
            <w:shd w:val="clear" w:color="auto" w:fill="auto"/>
            <w:vAlign w:val="center"/>
          </w:tcPr>
          <w:p w14:paraId="249EF078" w14:textId="2AE36A9B"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(445,107)</w:t>
            </w:r>
          </w:p>
        </w:tc>
        <w:tc>
          <w:tcPr>
            <w:tcW w:w="1275" w:type="dxa"/>
            <w:tcBorders>
              <w:top w:val="nil"/>
              <w:bottom w:val="nil"/>
            </w:tcBorders>
            <w:shd w:val="clear" w:color="auto" w:fill="auto"/>
            <w:vAlign w:val="center"/>
          </w:tcPr>
          <w:p w14:paraId="007BF015" w14:textId="796647F1"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color w:val="000000"/>
                <w:szCs w:val="14"/>
              </w:rPr>
              <w:t>47</w:t>
            </w:r>
            <w:r>
              <w:rPr>
                <w:rFonts w:cs="Arial"/>
                <w:color w:val="000000"/>
                <w:szCs w:val="14"/>
              </w:rPr>
              <w:t>,</w:t>
            </w:r>
            <w:r w:rsidRPr="00BF2AAF">
              <w:rPr>
                <w:rFonts w:cs="Arial"/>
                <w:color w:val="000000"/>
                <w:szCs w:val="14"/>
              </w:rPr>
              <w:t>840</w:t>
            </w:r>
          </w:p>
        </w:tc>
      </w:tr>
      <w:tr w:rsidR="002F6BFB" w:rsidRPr="001D6BE8" w14:paraId="195D998C" w14:textId="77777777" w:rsidTr="009C08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nil"/>
            </w:tcBorders>
            <w:shd w:val="clear" w:color="auto" w:fill="auto"/>
            <w:vAlign w:val="center"/>
          </w:tcPr>
          <w:p w14:paraId="3BA4E130" w14:textId="01A8C374" w:rsidR="002F6BFB" w:rsidRPr="00496F5E" w:rsidRDefault="002F6BFB" w:rsidP="002F6BFB">
            <w:pPr>
              <w:pStyle w:val="08-Tabelageral"/>
              <w:jc w:val="left"/>
              <w:rPr>
                <w:rFonts w:cs="Arial"/>
                <w:b w:val="0"/>
                <w:szCs w:val="14"/>
                <w:lang w:val="en-US"/>
              </w:rPr>
            </w:pPr>
            <w:r w:rsidRPr="002D4859">
              <w:rPr>
                <w:rFonts w:cs="Arial"/>
                <w:b w:val="0"/>
                <w:szCs w:val="14"/>
                <w:lang w:val="en-US"/>
              </w:rPr>
              <w:t>Other comprehensive results</w:t>
            </w:r>
            <w:r>
              <w:rPr>
                <w:rFonts w:cs="Arial"/>
                <w:b w:val="0"/>
                <w:szCs w:val="14"/>
                <w:lang w:val="en-US"/>
              </w:rPr>
              <w:t xml:space="preserve"> - a</w:t>
            </w:r>
            <w:r w:rsidRPr="00003E17">
              <w:rPr>
                <w:rFonts w:cs="Arial"/>
                <w:b w:val="0"/>
                <w:szCs w:val="14"/>
                <w:lang w:val="en-US"/>
              </w:rPr>
              <w:t>djustment of accounting practices CPC 06 (R2)</w:t>
            </w:r>
          </w:p>
        </w:tc>
        <w:tc>
          <w:tcPr>
            <w:tcW w:w="668" w:type="dxa"/>
            <w:tcBorders>
              <w:top w:val="nil"/>
              <w:bottom w:val="nil"/>
            </w:tcBorders>
            <w:shd w:val="clear" w:color="auto" w:fill="auto"/>
            <w:vAlign w:val="center"/>
          </w:tcPr>
          <w:p w14:paraId="3F5FD07B" w14:textId="77777777"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val="en-US"/>
              </w:rPr>
            </w:pPr>
          </w:p>
        </w:tc>
        <w:tc>
          <w:tcPr>
            <w:tcW w:w="992" w:type="dxa"/>
            <w:gridSpan w:val="2"/>
            <w:tcBorders>
              <w:top w:val="nil"/>
              <w:bottom w:val="nil"/>
            </w:tcBorders>
            <w:shd w:val="clear" w:color="auto" w:fill="auto"/>
            <w:vAlign w:val="center"/>
          </w:tcPr>
          <w:p w14:paraId="59CDDF57" w14:textId="35C3705A"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w:t>
            </w:r>
          </w:p>
        </w:tc>
        <w:tc>
          <w:tcPr>
            <w:tcW w:w="1730" w:type="dxa"/>
            <w:tcBorders>
              <w:top w:val="nil"/>
              <w:bottom w:val="nil"/>
            </w:tcBorders>
            <w:shd w:val="clear" w:color="auto" w:fill="auto"/>
            <w:vAlign w:val="center"/>
          </w:tcPr>
          <w:p w14:paraId="49FDF295" w14:textId="0F593048"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szCs w:val="14"/>
              </w:rPr>
              <w:t>38</w:t>
            </w:r>
            <w:r>
              <w:rPr>
                <w:rFonts w:cs="Arial"/>
                <w:szCs w:val="14"/>
              </w:rPr>
              <w:t>,</w:t>
            </w:r>
            <w:r w:rsidRPr="00BF2AAF">
              <w:rPr>
                <w:rFonts w:cs="Arial"/>
                <w:szCs w:val="14"/>
              </w:rPr>
              <w:t>616</w:t>
            </w:r>
          </w:p>
        </w:tc>
        <w:tc>
          <w:tcPr>
            <w:tcW w:w="239" w:type="dxa"/>
            <w:tcBorders>
              <w:top w:val="nil"/>
              <w:bottom w:val="nil"/>
            </w:tcBorders>
            <w:shd w:val="clear" w:color="auto" w:fill="auto"/>
            <w:vAlign w:val="center"/>
          </w:tcPr>
          <w:p w14:paraId="2E502023" w14:textId="77777777"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66" w:type="dxa"/>
            <w:gridSpan w:val="3"/>
            <w:tcBorders>
              <w:top w:val="nil"/>
              <w:bottom w:val="nil"/>
            </w:tcBorders>
            <w:shd w:val="clear" w:color="auto" w:fill="auto"/>
            <w:vAlign w:val="center"/>
          </w:tcPr>
          <w:p w14:paraId="52EDA8AB" w14:textId="142D6632"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w:t>
            </w:r>
          </w:p>
        </w:tc>
        <w:tc>
          <w:tcPr>
            <w:tcW w:w="1275" w:type="dxa"/>
            <w:tcBorders>
              <w:top w:val="nil"/>
              <w:bottom w:val="nil"/>
            </w:tcBorders>
            <w:shd w:val="clear" w:color="auto" w:fill="auto"/>
            <w:vAlign w:val="center"/>
          </w:tcPr>
          <w:p w14:paraId="026C8CAE" w14:textId="270536C1"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color w:val="000000"/>
                <w:szCs w:val="14"/>
              </w:rPr>
              <w:t>38</w:t>
            </w:r>
            <w:r>
              <w:rPr>
                <w:rFonts w:cs="Arial"/>
                <w:color w:val="000000"/>
                <w:szCs w:val="14"/>
              </w:rPr>
              <w:t>,</w:t>
            </w:r>
            <w:r w:rsidRPr="00BF2AAF">
              <w:rPr>
                <w:rFonts w:cs="Arial"/>
                <w:color w:val="000000"/>
                <w:szCs w:val="14"/>
              </w:rPr>
              <w:t>616</w:t>
            </w:r>
          </w:p>
        </w:tc>
      </w:tr>
      <w:tr w:rsidR="002F6BFB" w:rsidRPr="001D6BE8" w14:paraId="3FFF8132" w14:textId="77777777" w:rsidTr="009C08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nil"/>
            </w:tcBorders>
            <w:shd w:val="clear" w:color="auto" w:fill="auto"/>
            <w:vAlign w:val="center"/>
          </w:tcPr>
          <w:p w14:paraId="36D85B64" w14:textId="77777777" w:rsidR="002F6BFB" w:rsidRPr="00496F5E" w:rsidRDefault="002F6BFB" w:rsidP="002F6BFB">
            <w:pPr>
              <w:pStyle w:val="08-Tabelageral"/>
              <w:jc w:val="left"/>
              <w:rPr>
                <w:rFonts w:cs="Arial"/>
                <w:b w:val="0"/>
                <w:szCs w:val="14"/>
                <w:lang w:val="en-US"/>
              </w:rPr>
            </w:pPr>
            <w:r w:rsidRPr="00496F5E">
              <w:rPr>
                <w:rFonts w:cs="Arial"/>
                <w:b w:val="0"/>
                <w:szCs w:val="14"/>
                <w:lang w:val="en-US"/>
              </w:rPr>
              <w:t>Other</w:t>
            </w:r>
          </w:p>
        </w:tc>
        <w:tc>
          <w:tcPr>
            <w:tcW w:w="668" w:type="dxa"/>
            <w:tcBorders>
              <w:top w:val="nil"/>
              <w:bottom w:val="nil"/>
            </w:tcBorders>
            <w:shd w:val="clear" w:color="auto" w:fill="auto"/>
            <w:vAlign w:val="center"/>
          </w:tcPr>
          <w:p w14:paraId="2536D968" w14:textId="77777777"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val="en-US"/>
              </w:rPr>
            </w:pPr>
          </w:p>
        </w:tc>
        <w:tc>
          <w:tcPr>
            <w:tcW w:w="992" w:type="dxa"/>
            <w:gridSpan w:val="2"/>
            <w:tcBorders>
              <w:top w:val="nil"/>
              <w:bottom w:val="nil"/>
            </w:tcBorders>
            <w:shd w:val="clear" w:color="auto" w:fill="auto"/>
            <w:vAlign w:val="center"/>
          </w:tcPr>
          <w:p w14:paraId="443F2899" w14:textId="72FE787E"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372</w:t>
            </w:r>
          </w:p>
        </w:tc>
        <w:tc>
          <w:tcPr>
            <w:tcW w:w="1730" w:type="dxa"/>
            <w:tcBorders>
              <w:top w:val="nil"/>
              <w:bottom w:val="nil"/>
            </w:tcBorders>
            <w:shd w:val="clear" w:color="auto" w:fill="auto"/>
            <w:vAlign w:val="center"/>
          </w:tcPr>
          <w:p w14:paraId="460549CD" w14:textId="62C4CFCD"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(707)</w:t>
            </w:r>
          </w:p>
        </w:tc>
        <w:tc>
          <w:tcPr>
            <w:tcW w:w="239" w:type="dxa"/>
            <w:tcBorders>
              <w:top w:val="nil"/>
              <w:bottom w:val="nil"/>
            </w:tcBorders>
            <w:shd w:val="clear" w:color="auto" w:fill="auto"/>
            <w:vAlign w:val="center"/>
          </w:tcPr>
          <w:p w14:paraId="53ED1D9B" w14:textId="77777777"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66" w:type="dxa"/>
            <w:gridSpan w:val="3"/>
            <w:tcBorders>
              <w:top w:val="nil"/>
              <w:bottom w:val="nil"/>
            </w:tcBorders>
            <w:shd w:val="clear" w:color="auto" w:fill="auto"/>
            <w:vAlign w:val="center"/>
          </w:tcPr>
          <w:p w14:paraId="4A959EDF" w14:textId="07F0CDB7"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372</w:t>
            </w:r>
          </w:p>
        </w:tc>
        <w:tc>
          <w:tcPr>
            <w:tcW w:w="1275" w:type="dxa"/>
            <w:tcBorders>
              <w:top w:val="nil"/>
              <w:bottom w:val="nil"/>
            </w:tcBorders>
            <w:shd w:val="clear" w:color="auto" w:fill="auto"/>
            <w:vAlign w:val="center"/>
          </w:tcPr>
          <w:p w14:paraId="68FCA980" w14:textId="648C37E1" w:rsidR="002F6BFB" w:rsidRPr="00432934" w:rsidRDefault="002F6BFB" w:rsidP="002F6BFB">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color w:val="000000"/>
                <w:szCs w:val="14"/>
              </w:rPr>
              <w:t>(707)</w:t>
            </w:r>
          </w:p>
        </w:tc>
      </w:tr>
      <w:tr w:rsidR="002F6BFB" w:rsidRPr="001D6BE8" w14:paraId="649F3A9A" w14:textId="77777777" w:rsidTr="009C08E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nil"/>
            </w:tcBorders>
            <w:shd w:val="clear" w:color="auto" w:fill="auto"/>
            <w:vAlign w:val="center"/>
          </w:tcPr>
          <w:p w14:paraId="480C3201" w14:textId="1452B81D" w:rsidR="002F6BFB" w:rsidRPr="00C20080" w:rsidRDefault="002F6BFB" w:rsidP="002F6BFB">
            <w:pPr>
              <w:pStyle w:val="08-Tabelageral"/>
              <w:jc w:val="left"/>
              <w:rPr>
                <w:rFonts w:cs="Arial"/>
                <w:b w:val="0"/>
                <w:szCs w:val="14"/>
              </w:rPr>
            </w:pPr>
            <w:proofErr w:type="spellStart"/>
            <w:r w:rsidRPr="0095260E">
              <w:rPr>
                <w:rFonts w:cs="Arial"/>
                <w:b w:val="0"/>
                <w:szCs w:val="14"/>
              </w:rPr>
              <w:t>Tax</w:t>
            </w:r>
            <w:proofErr w:type="spellEnd"/>
            <w:r w:rsidRPr="0095260E">
              <w:rPr>
                <w:rFonts w:cs="Arial"/>
                <w:b w:val="0"/>
                <w:szCs w:val="14"/>
              </w:rPr>
              <w:t xml:space="preserve"> </w:t>
            </w:r>
            <w:r w:rsidRPr="00496F5E">
              <w:rPr>
                <w:rFonts w:cs="Arial"/>
                <w:b w:val="0"/>
                <w:szCs w:val="14"/>
                <w:lang w:val="en-US"/>
              </w:rPr>
              <w:t>effect</w:t>
            </w:r>
            <w:r>
              <w:rPr>
                <w:rFonts w:cs="Arial"/>
                <w:b w:val="0"/>
                <w:szCs w:val="14"/>
                <w:lang w:val="en-US"/>
              </w:rPr>
              <w:t xml:space="preserve"> </w:t>
            </w:r>
            <w:r w:rsidRPr="007C43DE">
              <w:rPr>
                <w:rFonts w:cs="Arial"/>
                <w:b w:val="0"/>
                <w:szCs w:val="14"/>
                <w:vertAlign w:val="superscript"/>
                <w:lang w:val="en-US"/>
              </w:rPr>
              <w:t>(1)</w:t>
            </w:r>
          </w:p>
        </w:tc>
        <w:tc>
          <w:tcPr>
            <w:tcW w:w="668" w:type="dxa"/>
            <w:tcBorders>
              <w:top w:val="nil"/>
              <w:bottom w:val="nil"/>
            </w:tcBorders>
            <w:shd w:val="clear" w:color="auto" w:fill="auto"/>
            <w:vAlign w:val="center"/>
          </w:tcPr>
          <w:p w14:paraId="16E73E36" w14:textId="77777777"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992" w:type="dxa"/>
            <w:gridSpan w:val="2"/>
            <w:tcBorders>
              <w:top w:val="nil"/>
              <w:bottom w:val="nil"/>
            </w:tcBorders>
            <w:shd w:val="clear" w:color="auto" w:fill="auto"/>
            <w:vAlign w:val="center"/>
          </w:tcPr>
          <w:p w14:paraId="404A5C08" w14:textId="7127299B"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364,561</w:t>
            </w:r>
          </w:p>
        </w:tc>
        <w:tc>
          <w:tcPr>
            <w:tcW w:w="1730" w:type="dxa"/>
            <w:tcBorders>
              <w:top w:val="nil"/>
              <w:bottom w:val="nil"/>
            </w:tcBorders>
            <w:shd w:val="clear" w:color="auto" w:fill="auto"/>
            <w:vAlign w:val="center"/>
          </w:tcPr>
          <w:p w14:paraId="7FB98481" w14:textId="2D2C55E5"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szCs w:val="14"/>
              </w:rPr>
              <w:t>(96</w:t>
            </w:r>
            <w:r>
              <w:rPr>
                <w:rFonts w:cs="Arial"/>
                <w:szCs w:val="14"/>
              </w:rPr>
              <w:t>,</w:t>
            </w:r>
            <w:r w:rsidRPr="00BF2AAF">
              <w:rPr>
                <w:rFonts w:cs="Arial"/>
                <w:szCs w:val="14"/>
              </w:rPr>
              <w:t>184)</w:t>
            </w:r>
          </w:p>
        </w:tc>
        <w:tc>
          <w:tcPr>
            <w:tcW w:w="239" w:type="dxa"/>
            <w:tcBorders>
              <w:top w:val="nil"/>
              <w:bottom w:val="nil"/>
            </w:tcBorders>
            <w:shd w:val="clear" w:color="auto" w:fill="auto"/>
            <w:vAlign w:val="center"/>
          </w:tcPr>
          <w:p w14:paraId="0B1D54C2" w14:textId="77777777"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
        </w:tc>
        <w:tc>
          <w:tcPr>
            <w:tcW w:w="1466" w:type="dxa"/>
            <w:gridSpan w:val="3"/>
            <w:tcBorders>
              <w:top w:val="nil"/>
              <w:bottom w:val="nil"/>
            </w:tcBorders>
            <w:shd w:val="clear" w:color="auto" w:fill="auto"/>
            <w:vAlign w:val="center"/>
          </w:tcPr>
          <w:p w14:paraId="7F494EBF" w14:textId="15932994"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364,561</w:t>
            </w:r>
          </w:p>
        </w:tc>
        <w:tc>
          <w:tcPr>
            <w:tcW w:w="1275" w:type="dxa"/>
            <w:tcBorders>
              <w:top w:val="nil"/>
              <w:bottom w:val="nil"/>
            </w:tcBorders>
            <w:shd w:val="clear" w:color="auto" w:fill="auto"/>
            <w:vAlign w:val="center"/>
          </w:tcPr>
          <w:p w14:paraId="3A5EDF09" w14:textId="5134677B" w:rsidR="002F6BFB" w:rsidRPr="00432934" w:rsidRDefault="002F6BFB" w:rsidP="002F6BFB">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color w:val="000000"/>
                <w:szCs w:val="14"/>
              </w:rPr>
              <w:t>(96</w:t>
            </w:r>
            <w:r>
              <w:rPr>
                <w:rFonts w:cs="Arial"/>
                <w:color w:val="000000"/>
                <w:szCs w:val="14"/>
              </w:rPr>
              <w:t>,</w:t>
            </w:r>
            <w:r w:rsidRPr="00BF2AAF">
              <w:rPr>
                <w:rFonts w:cs="Arial"/>
                <w:color w:val="000000"/>
                <w:szCs w:val="14"/>
              </w:rPr>
              <w:t>184)</w:t>
            </w:r>
          </w:p>
        </w:tc>
      </w:tr>
      <w:tr w:rsidR="002F6BFB" w:rsidRPr="003E7906" w14:paraId="755547E7" w14:textId="77777777" w:rsidTr="009C08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bottom w:val="single" w:sz="2" w:space="0" w:color="1F3864" w:themeColor="accent1" w:themeShade="80"/>
            </w:tcBorders>
            <w:shd w:val="clear" w:color="auto" w:fill="auto"/>
            <w:vAlign w:val="center"/>
          </w:tcPr>
          <w:p w14:paraId="4B981A15" w14:textId="77777777" w:rsidR="002F6BFB" w:rsidRPr="003E7906" w:rsidRDefault="002F6BFB" w:rsidP="002F6BFB">
            <w:pPr>
              <w:pStyle w:val="08-Tabelageral"/>
              <w:jc w:val="left"/>
              <w:rPr>
                <w:rFonts w:cs="Arial"/>
                <w:b w:val="0"/>
                <w:bCs w:val="0"/>
                <w:szCs w:val="14"/>
              </w:rPr>
            </w:pPr>
            <w:r w:rsidRPr="0095260E">
              <w:rPr>
                <w:rFonts w:cs="Arial"/>
                <w:szCs w:val="14"/>
              </w:rPr>
              <w:t xml:space="preserve">Total </w:t>
            </w:r>
            <w:proofErr w:type="spellStart"/>
            <w:r w:rsidRPr="0095260E">
              <w:rPr>
                <w:rFonts w:cs="Arial"/>
                <w:szCs w:val="14"/>
              </w:rPr>
              <w:t>Comprehensive</w:t>
            </w:r>
            <w:proofErr w:type="spellEnd"/>
            <w:r w:rsidRPr="0095260E">
              <w:rPr>
                <w:rFonts w:cs="Arial"/>
                <w:szCs w:val="14"/>
              </w:rPr>
              <w:t xml:space="preserve"> Income</w:t>
            </w:r>
          </w:p>
        </w:tc>
        <w:tc>
          <w:tcPr>
            <w:tcW w:w="668" w:type="dxa"/>
            <w:tcBorders>
              <w:top w:val="nil"/>
              <w:bottom w:val="single" w:sz="2" w:space="0" w:color="1F3864" w:themeColor="accent1" w:themeShade="80"/>
            </w:tcBorders>
            <w:shd w:val="clear" w:color="auto" w:fill="auto"/>
            <w:vAlign w:val="center"/>
          </w:tcPr>
          <w:p w14:paraId="252D864D" w14:textId="77777777" w:rsidR="002F6BFB" w:rsidRPr="003E7906" w:rsidRDefault="002F6BFB" w:rsidP="002F6BF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992" w:type="dxa"/>
            <w:gridSpan w:val="2"/>
            <w:tcBorders>
              <w:top w:val="nil"/>
              <w:bottom w:val="single" w:sz="2" w:space="0" w:color="1F3864" w:themeColor="accent1" w:themeShade="80"/>
            </w:tcBorders>
            <w:shd w:val="clear" w:color="auto" w:fill="auto"/>
            <w:vAlign w:val="center"/>
          </w:tcPr>
          <w:p w14:paraId="5E85F650" w14:textId="5A468170" w:rsidR="002F6BFB" w:rsidRPr="003E7906" w:rsidRDefault="002F6BFB" w:rsidP="002F6BF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
                <w:bCs/>
                <w:color w:val="000000"/>
                <w:szCs w:val="14"/>
              </w:rPr>
              <w:t>8,156,569</w:t>
            </w:r>
          </w:p>
        </w:tc>
        <w:tc>
          <w:tcPr>
            <w:tcW w:w="1730" w:type="dxa"/>
            <w:tcBorders>
              <w:top w:val="nil"/>
              <w:bottom w:val="single" w:sz="2" w:space="0" w:color="1F3864" w:themeColor="accent1" w:themeShade="80"/>
            </w:tcBorders>
            <w:shd w:val="clear" w:color="auto" w:fill="auto"/>
            <w:vAlign w:val="center"/>
          </w:tcPr>
          <w:p w14:paraId="544739B2" w14:textId="605BB6EE" w:rsidR="002F6BFB" w:rsidRPr="003E7906" w:rsidRDefault="002F6BFB" w:rsidP="002F6BF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b/>
                <w:bCs/>
                <w:szCs w:val="14"/>
              </w:rPr>
              <w:t>8</w:t>
            </w:r>
            <w:r>
              <w:rPr>
                <w:rFonts w:cs="Arial"/>
                <w:b/>
                <w:bCs/>
                <w:szCs w:val="14"/>
              </w:rPr>
              <w:t>,</w:t>
            </w:r>
            <w:r w:rsidRPr="00BF2AAF">
              <w:rPr>
                <w:rFonts w:cs="Arial"/>
                <w:b/>
                <w:bCs/>
                <w:szCs w:val="14"/>
              </w:rPr>
              <w:t>091</w:t>
            </w:r>
            <w:r>
              <w:rPr>
                <w:rFonts w:cs="Arial"/>
                <w:b/>
                <w:bCs/>
                <w:szCs w:val="14"/>
              </w:rPr>
              <w:t>,</w:t>
            </w:r>
            <w:r w:rsidRPr="00BF2AAF">
              <w:rPr>
                <w:rFonts w:cs="Arial"/>
                <w:b/>
                <w:bCs/>
                <w:szCs w:val="14"/>
              </w:rPr>
              <w:t>374</w:t>
            </w:r>
          </w:p>
        </w:tc>
        <w:tc>
          <w:tcPr>
            <w:tcW w:w="239" w:type="dxa"/>
            <w:tcBorders>
              <w:top w:val="nil"/>
              <w:bottom w:val="single" w:sz="2" w:space="0" w:color="1F3864" w:themeColor="accent1" w:themeShade="80"/>
            </w:tcBorders>
            <w:shd w:val="clear" w:color="auto" w:fill="auto"/>
            <w:vAlign w:val="center"/>
          </w:tcPr>
          <w:p w14:paraId="4B7D4B50" w14:textId="77777777" w:rsidR="002F6BFB" w:rsidRPr="003E7906" w:rsidRDefault="002F6BFB" w:rsidP="002F6BF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66" w:type="dxa"/>
            <w:gridSpan w:val="3"/>
            <w:tcBorders>
              <w:top w:val="nil"/>
              <w:bottom w:val="single" w:sz="2" w:space="0" w:color="1F3864" w:themeColor="accent1" w:themeShade="80"/>
            </w:tcBorders>
            <w:shd w:val="clear" w:color="auto" w:fill="auto"/>
            <w:vAlign w:val="center"/>
          </w:tcPr>
          <w:p w14:paraId="20BF1A40" w14:textId="16C29341" w:rsidR="002F6BFB" w:rsidRPr="003E7906" w:rsidRDefault="002F6BFB" w:rsidP="002F6BF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
                <w:bCs/>
                <w:color w:val="000000"/>
                <w:szCs w:val="14"/>
              </w:rPr>
              <w:t>8,156,569</w:t>
            </w:r>
          </w:p>
        </w:tc>
        <w:tc>
          <w:tcPr>
            <w:tcW w:w="1275" w:type="dxa"/>
            <w:tcBorders>
              <w:top w:val="nil"/>
              <w:bottom w:val="single" w:sz="2" w:space="0" w:color="1F3864" w:themeColor="accent1" w:themeShade="80"/>
            </w:tcBorders>
            <w:shd w:val="clear" w:color="auto" w:fill="auto"/>
            <w:vAlign w:val="center"/>
          </w:tcPr>
          <w:p w14:paraId="5E5EC916" w14:textId="78E593CF" w:rsidR="002F6BFB" w:rsidRPr="003E7906" w:rsidRDefault="002F6BFB" w:rsidP="002F6BF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b/>
                <w:color w:val="000000"/>
                <w:szCs w:val="14"/>
              </w:rPr>
              <w:t>8</w:t>
            </w:r>
            <w:r>
              <w:rPr>
                <w:rFonts w:cs="Arial"/>
                <w:b/>
                <w:color w:val="000000"/>
                <w:szCs w:val="14"/>
              </w:rPr>
              <w:t>,</w:t>
            </w:r>
            <w:r w:rsidRPr="00BF2AAF">
              <w:rPr>
                <w:rFonts w:cs="Arial"/>
                <w:b/>
                <w:color w:val="000000"/>
                <w:szCs w:val="14"/>
              </w:rPr>
              <w:t>091</w:t>
            </w:r>
            <w:r>
              <w:rPr>
                <w:rFonts w:cs="Arial"/>
                <w:b/>
                <w:color w:val="000000"/>
                <w:szCs w:val="14"/>
              </w:rPr>
              <w:t>,</w:t>
            </w:r>
            <w:r w:rsidRPr="00BF2AAF">
              <w:rPr>
                <w:rFonts w:cs="Arial"/>
                <w:b/>
                <w:color w:val="000000"/>
                <w:szCs w:val="14"/>
              </w:rPr>
              <w:t>374</w:t>
            </w:r>
          </w:p>
        </w:tc>
      </w:tr>
    </w:tbl>
    <w:p w14:paraId="0C099B1D" w14:textId="475CAA48" w:rsidR="00D22D6B" w:rsidRPr="009D2ED5" w:rsidRDefault="00D22D6B" w:rsidP="005F2CF4">
      <w:pPr>
        <w:pStyle w:val="07-Legenda"/>
        <w:numPr>
          <w:ilvl w:val="0"/>
          <w:numId w:val="42"/>
        </w:numPr>
        <w:ind w:left="284" w:hanging="284"/>
        <w:rPr>
          <w:lang w:val="en-US"/>
        </w:rPr>
      </w:pPr>
      <w:r w:rsidRPr="009D2ED5">
        <w:rPr>
          <w:lang w:val="en-US"/>
        </w:rPr>
        <w:t xml:space="preserve">Income Tax (IR) and Social Contribution on Net Income (CSLL) levied on the movement of comprehensive results of the investees </w:t>
      </w:r>
      <w:proofErr w:type="spellStart"/>
      <w:r w:rsidRPr="009D2ED5">
        <w:rPr>
          <w:lang w:val="en-US"/>
        </w:rPr>
        <w:t>Brasilprev</w:t>
      </w:r>
      <w:proofErr w:type="spellEnd"/>
      <w:r w:rsidRPr="009D2ED5">
        <w:rPr>
          <w:lang w:val="en-US"/>
        </w:rPr>
        <w:t>, BB M</w:t>
      </w:r>
      <w:r w:rsidR="00265187">
        <w:rPr>
          <w:lang w:val="en-US"/>
        </w:rPr>
        <w:t>A</w:t>
      </w:r>
      <w:r w:rsidR="007E7394">
        <w:rPr>
          <w:lang w:val="en-US"/>
        </w:rPr>
        <w:t>PFRE</w:t>
      </w:r>
      <w:r w:rsidRPr="009D2ED5">
        <w:rPr>
          <w:lang w:val="en-US"/>
        </w:rPr>
        <w:t xml:space="preserve">, </w:t>
      </w:r>
      <w:proofErr w:type="spellStart"/>
      <w:r w:rsidRPr="009D2ED5">
        <w:rPr>
          <w:lang w:val="en-US"/>
        </w:rPr>
        <w:t>Brasildental</w:t>
      </w:r>
      <w:proofErr w:type="spellEnd"/>
      <w:r w:rsidRPr="009D2ED5">
        <w:rPr>
          <w:lang w:val="en-US"/>
        </w:rPr>
        <w:t xml:space="preserve">, </w:t>
      </w:r>
      <w:proofErr w:type="spellStart"/>
      <w:r w:rsidRPr="009D2ED5">
        <w:rPr>
          <w:lang w:val="en-US"/>
        </w:rPr>
        <w:t>Brasilcap</w:t>
      </w:r>
      <w:proofErr w:type="spellEnd"/>
      <w:r w:rsidRPr="009D2ED5">
        <w:rPr>
          <w:lang w:val="en-US"/>
        </w:rPr>
        <w:t xml:space="preserve"> (IR: 25% and CSLL: 15%) and </w:t>
      </w:r>
      <w:proofErr w:type="spellStart"/>
      <w:r w:rsidRPr="009D2ED5">
        <w:rPr>
          <w:lang w:val="en-US"/>
        </w:rPr>
        <w:t>Ciclic</w:t>
      </w:r>
      <w:proofErr w:type="spellEnd"/>
      <w:r w:rsidRPr="009D2ED5">
        <w:rPr>
          <w:lang w:val="en-US"/>
        </w:rPr>
        <w:t xml:space="preserve"> (IR: 25% and CSLL: 9%). The individual movement of each company is detailed in note 7.b.3</w:t>
      </w:r>
      <w:r w:rsidR="006E388D" w:rsidRPr="009D2ED5">
        <w:rPr>
          <w:lang w:val="en-US"/>
        </w:rPr>
        <w:t>.</w:t>
      </w:r>
    </w:p>
    <w:p w14:paraId="246F06E4" w14:textId="628E66C6" w:rsidR="009A71C9" w:rsidRPr="009A71C9" w:rsidRDefault="009A71C9" w:rsidP="00357ACD">
      <w:pPr>
        <w:jc w:val="both"/>
        <w:rPr>
          <w:lang w:val="en-US"/>
        </w:rPr>
      </w:pPr>
      <w:r w:rsidRPr="00C929DB">
        <w:rPr>
          <w:rFonts w:ascii="Arial" w:hAnsi="Arial" w:cs="Arial"/>
          <w:sz w:val="14"/>
          <w:szCs w:val="14"/>
          <w:lang w:val="en-US"/>
        </w:rPr>
        <w:t>The explanatory notes are an integral part of the financial statements.</w:t>
      </w:r>
    </w:p>
    <w:p w14:paraId="24357D92" w14:textId="77777777" w:rsidR="00634647" w:rsidRDefault="00634647" w:rsidP="00FD0F55">
      <w:pPr>
        <w:pStyle w:val="Ttulo1"/>
        <w:rPr>
          <w:rFonts w:ascii="Arial" w:hAnsi="Arial" w:cs="Arial"/>
          <w:b/>
          <w:color w:val="1F3864" w:themeColor="accent1" w:themeShade="80"/>
          <w:sz w:val="20"/>
          <w:lang w:val="en-US"/>
        </w:rPr>
      </w:pPr>
      <w:bookmarkStart w:id="11" w:name="_Toc157446707"/>
      <w:r>
        <w:rPr>
          <w:rFonts w:ascii="Arial" w:hAnsi="Arial" w:cs="Arial"/>
          <w:b/>
          <w:color w:val="1F3864" w:themeColor="accent1" w:themeShade="80"/>
          <w:sz w:val="20"/>
          <w:lang w:val="en-US"/>
        </w:rPr>
        <w:br w:type="page"/>
      </w:r>
    </w:p>
    <w:p w14:paraId="65C49B42" w14:textId="30E0F6FE" w:rsidR="007D4AB0" w:rsidRPr="00432934" w:rsidRDefault="008E65B8" w:rsidP="00FD0F55">
      <w:pPr>
        <w:pStyle w:val="Ttulo1"/>
        <w:rPr>
          <w:rFonts w:ascii="Arial" w:hAnsi="Arial" w:cs="Arial"/>
          <w:b/>
          <w:color w:val="1F3864" w:themeColor="accent1" w:themeShade="80"/>
          <w:sz w:val="20"/>
          <w:lang w:val="en-US"/>
        </w:rPr>
      </w:pPr>
      <w:bookmarkStart w:id="12" w:name="_Toc190680617"/>
      <w:r w:rsidRPr="00432934">
        <w:rPr>
          <w:rFonts w:ascii="Arial" w:hAnsi="Arial" w:cs="Arial"/>
          <w:b/>
          <w:color w:val="1F3864" w:themeColor="accent1" w:themeShade="80"/>
          <w:sz w:val="20"/>
          <w:lang w:val="en-US"/>
        </w:rPr>
        <w:lastRenderedPageBreak/>
        <w:t>BALANCE SHEET</w:t>
      </w:r>
      <w:bookmarkEnd w:id="11"/>
      <w:bookmarkEnd w:id="12"/>
    </w:p>
    <w:p w14:paraId="033E9878" w14:textId="77777777" w:rsidR="00785BE5" w:rsidRPr="0004323A" w:rsidRDefault="00785BE5" w:rsidP="00785BE5">
      <w:pPr>
        <w:pStyle w:val="01-TtulodeNota"/>
        <w:spacing w:before="0" w:after="0"/>
        <w:jc w:val="right"/>
        <w:rPr>
          <w:sz w:val="12"/>
          <w:szCs w:val="12"/>
        </w:rPr>
      </w:pPr>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435"/>
        <w:gridCol w:w="705"/>
        <w:gridCol w:w="1338"/>
        <w:gridCol w:w="1163"/>
        <w:gridCol w:w="126"/>
        <w:gridCol w:w="263"/>
        <w:gridCol w:w="23"/>
        <w:gridCol w:w="1455"/>
        <w:gridCol w:w="1131"/>
      </w:tblGrid>
      <w:tr w:rsidR="00785BE5" w:rsidRPr="00281428" w14:paraId="738CAA15"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136BDFBB" w14:textId="77777777" w:rsidR="00785BE5" w:rsidRPr="00281428" w:rsidRDefault="00785BE5">
            <w:pPr>
              <w:jc w:val="center"/>
              <w:rPr>
                <w:rFonts w:ascii="Arial" w:eastAsiaTheme="minorHAnsi" w:hAnsi="Arial" w:cs="Arial"/>
                <w:sz w:val="18"/>
                <w:szCs w:val="18"/>
              </w:rPr>
            </w:pPr>
          </w:p>
        </w:tc>
        <w:tc>
          <w:tcPr>
            <w:tcW w:w="705" w:type="dxa"/>
            <w:tcBorders>
              <w:top w:val="single" w:sz="2" w:space="0" w:color="1F3864" w:themeColor="accent1" w:themeShade="80"/>
              <w:bottom w:val="nil"/>
            </w:tcBorders>
            <w:shd w:val="clear" w:color="auto" w:fill="auto"/>
            <w:vAlign w:val="center"/>
          </w:tcPr>
          <w:p w14:paraId="2C72BBE4" w14:textId="77777777" w:rsidR="00785BE5" w:rsidRPr="00281428" w:rsidRDefault="00785BE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01" w:type="dxa"/>
            <w:gridSpan w:val="2"/>
            <w:tcBorders>
              <w:top w:val="single" w:sz="2" w:space="0" w:color="1F3864" w:themeColor="accent1" w:themeShade="80"/>
              <w:bottom w:val="single" w:sz="2" w:space="0" w:color="1F3864" w:themeColor="accent1" w:themeShade="80"/>
            </w:tcBorders>
            <w:shd w:val="clear" w:color="auto" w:fill="auto"/>
            <w:vAlign w:val="center"/>
          </w:tcPr>
          <w:p w14:paraId="489ED1B9" w14:textId="77777777" w:rsidR="00785BE5" w:rsidRPr="00281428" w:rsidRDefault="00785BE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12" w:type="dxa"/>
            <w:gridSpan w:val="3"/>
            <w:tcBorders>
              <w:top w:val="single" w:sz="2" w:space="0" w:color="1F3864" w:themeColor="accent1" w:themeShade="80"/>
              <w:bottom w:val="nil"/>
            </w:tcBorders>
            <w:shd w:val="clear" w:color="auto" w:fill="auto"/>
            <w:vAlign w:val="center"/>
          </w:tcPr>
          <w:p w14:paraId="0FE09361" w14:textId="77777777" w:rsidR="00785BE5" w:rsidRPr="00281428" w:rsidRDefault="00785BE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586" w:type="dxa"/>
            <w:gridSpan w:val="2"/>
            <w:tcBorders>
              <w:top w:val="single" w:sz="2" w:space="0" w:color="1F3864" w:themeColor="accent1" w:themeShade="80"/>
              <w:bottom w:val="single" w:sz="2" w:space="0" w:color="1F3864" w:themeColor="accent1" w:themeShade="80"/>
            </w:tcBorders>
            <w:shd w:val="clear" w:color="auto" w:fill="auto"/>
            <w:vAlign w:val="center"/>
          </w:tcPr>
          <w:p w14:paraId="3582BCAB" w14:textId="77777777" w:rsidR="00785BE5" w:rsidRPr="00281428" w:rsidRDefault="00785BE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785BE5" w:rsidRPr="00281428" w14:paraId="5B510AC7" w14:textId="7777777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7665F025" w14:textId="77777777" w:rsidR="00785BE5" w:rsidRPr="00281428" w:rsidRDefault="00785BE5">
            <w:pPr>
              <w:keepNext/>
              <w:keepLines/>
              <w:spacing w:before="40" w:after="40"/>
              <w:rPr>
                <w:rFonts w:ascii="Arial" w:eastAsia="Times New Roman" w:hAnsi="Arial" w:cs="Arial"/>
                <w:spacing w:val="-2"/>
                <w:sz w:val="14"/>
                <w:szCs w:val="18"/>
                <w:lang w:eastAsia="pt-BR"/>
              </w:rPr>
            </w:pPr>
          </w:p>
        </w:tc>
        <w:tc>
          <w:tcPr>
            <w:tcW w:w="705" w:type="dxa"/>
            <w:tcBorders>
              <w:top w:val="nil"/>
              <w:bottom w:val="single" w:sz="2" w:space="0" w:color="1F3864" w:themeColor="accent1" w:themeShade="80"/>
            </w:tcBorders>
            <w:shd w:val="clear" w:color="auto" w:fill="auto"/>
            <w:vAlign w:val="center"/>
          </w:tcPr>
          <w:p w14:paraId="3FBAB9D9"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338" w:type="dxa"/>
            <w:tcBorders>
              <w:top w:val="single" w:sz="2" w:space="0" w:color="1F3864" w:themeColor="accent1" w:themeShade="80"/>
              <w:bottom w:val="single" w:sz="2" w:space="0" w:color="1F3864" w:themeColor="accent1" w:themeShade="80"/>
            </w:tcBorders>
            <w:shd w:val="clear" w:color="auto" w:fill="auto"/>
            <w:vAlign w:val="center"/>
          </w:tcPr>
          <w:p w14:paraId="79787DCA"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c>
          <w:tcPr>
            <w:tcW w:w="1289" w:type="dxa"/>
            <w:gridSpan w:val="2"/>
            <w:tcBorders>
              <w:top w:val="single" w:sz="2" w:space="0" w:color="1F3864" w:themeColor="accent1" w:themeShade="80"/>
              <w:bottom w:val="single" w:sz="2" w:space="0" w:color="1F3864" w:themeColor="accent1" w:themeShade="80"/>
            </w:tcBorders>
            <w:shd w:val="clear" w:color="auto" w:fill="auto"/>
            <w:vAlign w:val="center"/>
          </w:tcPr>
          <w:p w14:paraId="1E7EA4EC"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3</w:t>
            </w:r>
          </w:p>
        </w:tc>
        <w:tc>
          <w:tcPr>
            <w:tcW w:w="263" w:type="dxa"/>
            <w:tcBorders>
              <w:top w:val="nil"/>
              <w:bottom w:val="nil"/>
            </w:tcBorders>
            <w:shd w:val="clear" w:color="auto" w:fill="auto"/>
            <w:vAlign w:val="center"/>
          </w:tcPr>
          <w:p w14:paraId="7B89B2FE"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78" w:type="dxa"/>
            <w:gridSpan w:val="2"/>
            <w:tcBorders>
              <w:top w:val="single" w:sz="2" w:space="0" w:color="1F3864" w:themeColor="accent1" w:themeShade="80"/>
              <w:bottom w:val="single" w:sz="2" w:space="0" w:color="1F3864" w:themeColor="accent1" w:themeShade="80"/>
            </w:tcBorders>
            <w:shd w:val="clear" w:color="auto" w:fill="auto"/>
            <w:vAlign w:val="center"/>
          </w:tcPr>
          <w:p w14:paraId="6CA4C27E" w14:textId="77777777" w:rsidR="00785BE5" w:rsidRPr="00281428" w:rsidRDefault="00785BE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c>
          <w:tcPr>
            <w:tcW w:w="1131" w:type="dxa"/>
            <w:tcBorders>
              <w:top w:val="single" w:sz="2" w:space="0" w:color="1F3864" w:themeColor="accent1" w:themeShade="80"/>
              <w:bottom w:val="single" w:sz="2" w:space="0" w:color="1F3864" w:themeColor="accent1" w:themeShade="80"/>
            </w:tcBorders>
            <w:shd w:val="clear" w:color="auto" w:fill="auto"/>
            <w:vAlign w:val="center"/>
          </w:tcPr>
          <w:p w14:paraId="07C63E4F"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3</w:t>
            </w:r>
          </w:p>
        </w:tc>
      </w:tr>
      <w:tr w:rsidR="00785BE5" w:rsidRPr="00281428" w14:paraId="7D82573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single" w:sz="2" w:space="0" w:color="1F3864" w:themeColor="accent1" w:themeShade="80"/>
              <w:bottom w:val="nil"/>
            </w:tcBorders>
            <w:shd w:val="clear" w:color="auto" w:fill="auto"/>
            <w:vAlign w:val="center"/>
          </w:tcPr>
          <w:p w14:paraId="4F176955" w14:textId="77777777" w:rsidR="00785BE5" w:rsidRPr="00851654" w:rsidRDefault="00785BE5">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705" w:type="dxa"/>
            <w:tcBorders>
              <w:top w:val="single" w:sz="2" w:space="0" w:color="1F3864" w:themeColor="accent1" w:themeShade="80"/>
              <w:bottom w:val="nil"/>
            </w:tcBorders>
            <w:shd w:val="clear" w:color="auto" w:fill="auto"/>
            <w:vAlign w:val="center"/>
          </w:tcPr>
          <w:p w14:paraId="5030B114" w14:textId="77777777" w:rsidR="00785BE5" w:rsidRPr="005302A9"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770625E0" w14:textId="77777777" w:rsidR="00785BE5" w:rsidRPr="006B0C43"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4,500,893</w:t>
            </w:r>
          </w:p>
        </w:tc>
        <w:tc>
          <w:tcPr>
            <w:tcW w:w="1289" w:type="dxa"/>
            <w:gridSpan w:val="2"/>
            <w:tcBorders>
              <w:top w:val="nil"/>
              <w:left w:val="nil"/>
              <w:bottom w:val="nil"/>
              <w:right w:val="nil"/>
            </w:tcBorders>
            <w:shd w:val="clear" w:color="auto" w:fill="auto"/>
            <w:vAlign w:val="center"/>
          </w:tcPr>
          <w:p w14:paraId="41E80BDE"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3</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039</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549</w:t>
            </w:r>
          </w:p>
        </w:tc>
        <w:tc>
          <w:tcPr>
            <w:tcW w:w="263" w:type="dxa"/>
            <w:tcBorders>
              <w:top w:val="nil"/>
              <w:bottom w:val="nil"/>
            </w:tcBorders>
            <w:shd w:val="clear" w:color="auto" w:fill="auto"/>
            <w:vAlign w:val="center"/>
          </w:tcPr>
          <w:p w14:paraId="7E1C2979" w14:textId="77777777" w:rsidR="00785BE5" w:rsidRPr="006B0C43"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19700164"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9,905,706</w:t>
            </w:r>
          </w:p>
        </w:tc>
        <w:tc>
          <w:tcPr>
            <w:tcW w:w="1131" w:type="dxa"/>
            <w:tcBorders>
              <w:top w:val="nil"/>
              <w:left w:val="nil"/>
              <w:bottom w:val="nil"/>
              <w:right w:val="nil"/>
            </w:tcBorders>
            <w:shd w:val="clear" w:color="auto" w:fill="auto"/>
            <w:vAlign w:val="center"/>
          </w:tcPr>
          <w:p w14:paraId="78F22BAC"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BF2AAF">
              <w:rPr>
                <w:rFonts w:ascii="Arial" w:eastAsia="Times New Roman" w:hAnsi="Arial" w:cs="Arial"/>
                <w:b/>
                <w:bCs/>
                <w:spacing w:val="-2"/>
                <w:sz w:val="14"/>
                <w:szCs w:val="14"/>
                <w:lang w:eastAsia="pt-BR"/>
              </w:rPr>
              <w:t>5</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933</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758</w:t>
            </w:r>
          </w:p>
        </w:tc>
      </w:tr>
      <w:tr w:rsidR="00785BE5" w:rsidRPr="00281428" w14:paraId="4034132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C591BB9"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705" w:type="dxa"/>
            <w:tcBorders>
              <w:top w:val="nil"/>
              <w:bottom w:val="nil"/>
            </w:tcBorders>
            <w:shd w:val="clear" w:color="auto" w:fill="auto"/>
            <w:vAlign w:val="center"/>
          </w:tcPr>
          <w:p w14:paraId="51893EFB"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338" w:type="dxa"/>
            <w:tcBorders>
              <w:top w:val="nil"/>
              <w:left w:val="nil"/>
              <w:bottom w:val="nil"/>
              <w:right w:val="nil"/>
            </w:tcBorders>
            <w:shd w:val="clear" w:color="auto" w:fill="auto"/>
            <w:vAlign w:val="center"/>
          </w:tcPr>
          <w:p w14:paraId="1941F48F" w14:textId="77777777" w:rsidR="00785BE5" w:rsidRPr="006B0C43"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1289" w:type="dxa"/>
            <w:gridSpan w:val="2"/>
            <w:tcBorders>
              <w:top w:val="nil"/>
              <w:left w:val="nil"/>
              <w:bottom w:val="nil"/>
              <w:right w:val="nil"/>
            </w:tcBorders>
            <w:shd w:val="clear" w:color="auto" w:fill="auto"/>
            <w:vAlign w:val="center"/>
          </w:tcPr>
          <w:p w14:paraId="124FCF78"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645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070</w:t>
            </w:r>
          </w:p>
        </w:tc>
        <w:tc>
          <w:tcPr>
            <w:tcW w:w="263" w:type="dxa"/>
            <w:tcBorders>
              <w:top w:val="nil"/>
              <w:bottom w:val="nil"/>
            </w:tcBorders>
            <w:shd w:val="clear" w:color="auto" w:fill="auto"/>
            <w:vAlign w:val="center"/>
          </w:tcPr>
          <w:p w14:paraId="1AD6E6F1" w14:textId="77777777" w:rsidR="00785BE5" w:rsidRPr="006B0C43"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16675CE" w14:textId="77777777" w:rsidR="00785BE5" w:rsidRPr="00D33434"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7,789,875</w:t>
            </w:r>
          </w:p>
        </w:tc>
        <w:tc>
          <w:tcPr>
            <w:tcW w:w="1131" w:type="dxa"/>
            <w:tcBorders>
              <w:top w:val="nil"/>
              <w:left w:val="nil"/>
              <w:bottom w:val="nil"/>
              <w:right w:val="nil"/>
            </w:tcBorders>
            <w:shd w:val="clear" w:color="auto" w:fill="auto"/>
            <w:vAlign w:val="center"/>
          </w:tcPr>
          <w:p w14:paraId="12C239E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752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742</w:t>
            </w:r>
          </w:p>
        </w:tc>
      </w:tr>
      <w:tr w:rsidR="00785BE5" w:rsidRPr="00CE3413" w14:paraId="5941EBC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8CECC61" w14:textId="77777777" w:rsidR="00785BE5" w:rsidRPr="00CE3413" w:rsidRDefault="00785BE5">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705" w:type="dxa"/>
            <w:tcBorders>
              <w:top w:val="nil"/>
              <w:bottom w:val="nil"/>
            </w:tcBorders>
            <w:shd w:val="clear" w:color="auto" w:fill="auto"/>
            <w:vAlign w:val="center"/>
          </w:tcPr>
          <w:p w14:paraId="20837497" w14:textId="77777777" w:rsidR="00785BE5" w:rsidRPr="00CE3413"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338" w:type="dxa"/>
            <w:tcBorders>
              <w:top w:val="nil"/>
              <w:left w:val="nil"/>
              <w:bottom w:val="nil"/>
              <w:right w:val="nil"/>
            </w:tcBorders>
            <w:shd w:val="clear" w:color="auto" w:fill="auto"/>
            <w:vAlign w:val="center"/>
          </w:tcPr>
          <w:p w14:paraId="6E1C860A" w14:textId="77777777" w:rsidR="00785BE5" w:rsidRPr="00CE3413"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574F2EE2" w14:textId="77777777" w:rsidR="00785BE5" w:rsidRPr="00CE3413"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3C67AAE" w14:textId="77777777" w:rsidR="00785BE5" w:rsidRPr="00CE3413"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78" w:type="dxa"/>
            <w:gridSpan w:val="2"/>
            <w:tcBorders>
              <w:top w:val="nil"/>
              <w:left w:val="nil"/>
              <w:bottom w:val="nil"/>
              <w:right w:val="nil"/>
            </w:tcBorders>
            <w:shd w:val="clear" w:color="auto" w:fill="auto"/>
            <w:vAlign w:val="center"/>
          </w:tcPr>
          <w:p w14:paraId="405D323D" w14:textId="77777777" w:rsidR="00785BE5" w:rsidRPr="00CE3413"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719,101</w:t>
            </w:r>
          </w:p>
        </w:tc>
        <w:tc>
          <w:tcPr>
            <w:tcW w:w="1131" w:type="dxa"/>
            <w:tcBorders>
              <w:top w:val="nil"/>
              <w:left w:val="nil"/>
              <w:bottom w:val="nil"/>
              <w:right w:val="nil"/>
            </w:tcBorders>
            <w:shd w:val="clear" w:color="auto" w:fill="auto"/>
            <w:vAlign w:val="center"/>
          </w:tcPr>
          <w:p w14:paraId="525D1D82" w14:textId="77777777" w:rsidR="00785BE5" w:rsidRPr="00CE3413"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r>
      <w:tr w:rsidR="00785BE5" w:rsidRPr="00281428" w14:paraId="51270A1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0FF0C2E"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705" w:type="dxa"/>
            <w:tcBorders>
              <w:top w:val="nil"/>
              <w:bottom w:val="nil"/>
            </w:tcBorders>
            <w:shd w:val="clear" w:color="auto" w:fill="auto"/>
            <w:vAlign w:val="center"/>
          </w:tcPr>
          <w:p w14:paraId="63832736"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338" w:type="dxa"/>
            <w:tcBorders>
              <w:top w:val="nil"/>
              <w:left w:val="nil"/>
              <w:bottom w:val="nil"/>
              <w:right w:val="nil"/>
            </w:tcBorders>
            <w:shd w:val="clear" w:color="auto" w:fill="auto"/>
            <w:vAlign w:val="center"/>
          </w:tcPr>
          <w:p w14:paraId="39842F0A" w14:textId="77777777" w:rsidR="00785BE5" w:rsidRPr="006B0C43"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4,145,402</w:t>
            </w:r>
          </w:p>
        </w:tc>
        <w:tc>
          <w:tcPr>
            <w:tcW w:w="1289" w:type="dxa"/>
            <w:gridSpan w:val="2"/>
            <w:tcBorders>
              <w:top w:val="nil"/>
              <w:left w:val="nil"/>
              <w:bottom w:val="nil"/>
              <w:right w:val="nil"/>
            </w:tcBorders>
            <w:shd w:val="clear" w:color="auto" w:fill="auto"/>
            <w:vAlign w:val="center"/>
          </w:tcPr>
          <w:p w14:paraId="1F0D661B"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362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126</w:t>
            </w:r>
          </w:p>
        </w:tc>
        <w:tc>
          <w:tcPr>
            <w:tcW w:w="263" w:type="dxa"/>
            <w:tcBorders>
              <w:top w:val="nil"/>
              <w:bottom w:val="nil"/>
            </w:tcBorders>
            <w:shd w:val="clear" w:color="auto" w:fill="auto"/>
            <w:vAlign w:val="center"/>
          </w:tcPr>
          <w:p w14:paraId="6012DA9F" w14:textId="77777777" w:rsidR="00785BE5" w:rsidRPr="006B0C43"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E59E42C" w14:textId="77777777" w:rsidR="00785BE5" w:rsidRPr="00D3343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c>
          <w:tcPr>
            <w:tcW w:w="1131" w:type="dxa"/>
            <w:tcBorders>
              <w:top w:val="nil"/>
              <w:left w:val="nil"/>
              <w:bottom w:val="nil"/>
              <w:right w:val="nil"/>
            </w:tcBorders>
            <w:shd w:val="clear" w:color="auto" w:fill="auto"/>
            <w:vAlign w:val="center"/>
          </w:tcPr>
          <w:p w14:paraId="699340BA"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w:t>
            </w:r>
          </w:p>
        </w:tc>
      </w:tr>
      <w:tr w:rsidR="00785BE5" w:rsidRPr="00281428" w14:paraId="7F6B645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1BC05FA"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053E22F0"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left w:val="nil"/>
              <w:bottom w:val="nil"/>
              <w:right w:val="nil"/>
            </w:tcBorders>
            <w:shd w:val="clear" w:color="auto" w:fill="auto"/>
            <w:vAlign w:val="center"/>
          </w:tcPr>
          <w:p w14:paraId="3BCEFFDE"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1289" w:type="dxa"/>
            <w:gridSpan w:val="2"/>
            <w:tcBorders>
              <w:top w:val="nil"/>
              <w:left w:val="nil"/>
              <w:bottom w:val="nil"/>
              <w:right w:val="nil"/>
            </w:tcBorders>
            <w:shd w:val="clear" w:color="auto" w:fill="auto"/>
            <w:vAlign w:val="center"/>
          </w:tcPr>
          <w:p w14:paraId="0F3AC7B6"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18</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827</w:t>
            </w:r>
          </w:p>
        </w:tc>
        <w:tc>
          <w:tcPr>
            <w:tcW w:w="263" w:type="dxa"/>
            <w:tcBorders>
              <w:top w:val="nil"/>
              <w:bottom w:val="nil"/>
            </w:tcBorders>
            <w:shd w:val="clear" w:color="auto" w:fill="auto"/>
            <w:vAlign w:val="center"/>
          </w:tcPr>
          <w:p w14:paraId="5D0C3F59"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9E715F2"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1131" w:type="dxa"/>
            <w:tcBorders>
              <w:top w:val="nil"/>
              <w:left w:val="nil"/>
              <w:bottom w:val="nil"/>
              <w:right w:val="nil"/>
            </w:tcBorders>
            <w:shd w:val="clear" w:color="auto" w:fill="auto"/>
            <w:vAlign w:val="center"/>
          </w:tcPr>
          <w:p w14:paraId="7141ABDE"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584</w:t>
            </w:r>
          </w:p>
        </w:tc>
      </w:tr>
      <w:tr w:rsidR="00785BE5" w:rsidRPr="00281428" w14:paraId="12A171B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5F6931C"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6F768A16"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left w:val="nil"/>
              <w:bottom w:val="nil"/>
              <w:right w:val="nil"/>
            </w:tcBorders>
            <w:shd w:val="clear" w:color="auto" w:fill="auto"/>
            <w:vAlign w:val="center"/>
          </w:tcPr>
          <w:p w14:paraId="319C63EE"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57B277B4"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74A710D9"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83E5A94" w14:textId="77777777" w:rsidR="00785BE5" w:rsidRPr="00D3343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87,117</w:t>
            </w:r>
          </w:p>
        </w:tc>
        <w:tc>
          <w:tcPr>
            <w:tcW w:w="1131" w:type="dxa"/>
            <w:tcBorders>
              <w:top w:val="nil"/>
              <w:left w:val="nil"/>
              <w:bottom w:val="nil"/>
              <w:right w:val="nil"/>
            </w:tcBorders>
            <w:shd w:val="clear" w:color="auto" w:fill="auto"/>
            <w:vAlign w:val="center"/>
          </w:tcPr>
          <w:p w14:paraId="1B25C273"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128</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077</w:t>
            </w:r>
          </w:p>
        </w:tc>
      </w:tr>
      <w:tr w:rsidR="00785BE5" w:rsidRPr="00281428" w14:paraId="0DF73D8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69485AC"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1AD8EB8E"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left w:val="nil"/>
              <w:bottom w:val="nil"/>
              <w:right w:val="nil"/>
            </w:tcBorders>
            <w:shd w:val="clear" w:color="auto" w:fill="auto"/>
            <w:vAlign w:val="center"/>
          </w:tcPr>
          <w:p w14:paraId="0ED178C9"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1289" w:type="dxa"/>
            <w:gridSpan w:val="2"/>
            <w:tcBorders>
              <w:top w:val="nil"/>
              <w:left w:val="nil"/>
              <w:bottom w:val="nil"/>
              <w:right w:val="nil"/>
            </w:tcBorders>
            <w:shd w:val="clear" w:color="auto" w:fill="auto"/>
            <w:vAlign w:val="center"/>
          </w:tcPr>
          <w:p w14:paraId="15137477"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526</w:t>
            </w:r>
          </w:p>
        </w:tc>
        <w:tc>
          <w:tcPr>
            <w:tcW w:w="263" w:type="dxa"/>
            <w:tcBorders>
              <w:top w:val="nil"/>
              <w:bottom w:val="nil"/>
            </w:tcBorders>
            <w:shd w:val="clear" w:color="auto" w:fill="auto"/>
            <w:vAlign w:val="center"/>
          </w:tcPr>
          <w:p w14:paraId="2667AA9C" w14:textId="77777777" w:rsidR="00785BE5" w:rsidRPr="00281428"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208F10B"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c>
          <w:tcPr>
            <w:tcW w:w="1131" w:type="dxa"/>
            <w:tcBorders>
              <w:top w:val="nil"/>
              <w:left w:val="nil"/>
              <w:bottom w:val="nil"/>
              <w:right w:val="nil"/>
            </w:tcBorders>
            <w:shd w:val="clear" w:color="auto" w:fill="auto"/>
            <w:vAlign w:val="center"/>
          </w:tcPr>
          <w:p w14:paraId="5C14330C"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911</w:t>
            </w:r>
          </w:p>
        </w:tc>
      </w:tr>
      <w:tr w:rsidR="00785BE5" w:rsidRPr="00281428" w14:paraId="6777E96C" w14:textId="7777777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1007301" w14:textId="77777777" w:rsidR="00785BE5" w:rsidRPr="005302A9" w:rsidRDefault="00785BE5">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6948DD14"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2B5641CD"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272720C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23213AD3"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4CDA83E6" w14:textId="77777777" w:rsidR="00785BE5" w:rsidRPr="00D33434"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7602E0D3"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71F4C6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E42CE4A" w14:textId="77777777" w:rsidR="00785BE5" w:rsidRPr="00851654" w:rsidRDefault="00785BE5">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705" w:type="dxa"/>
            <w:tcBorders>
              <w:top w:val="nil"/>
              <w:bottom w:val="nil"/>
            </w:tcBorders>
            <w:shd w:val="clear" w:color="auto" w:fill="auto"/>
            <w:vAlign w:val="center"/>
          </w:tcPr>
          <w:p w14:paraId="63F0E8F6"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2C261DC7"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9,621,146</w:t>
            </w:r>
          </w:p>
        </w:tc>
        <w:tc>
          <w:tcPr>
            <w:tcW w:w="1289" w:type="dxa"/>
            <w:gridSpan w:val="2"/>
            <w:tcBorders>
              <w:top w:val="nil"/>
              <w:left w:val="nil"/>
              <w:bottom w:val="nil"/>
              <w:right w:val="nil"/>
            </w:tcBorders>
            <w:shd w:val="clear" w:color="auto" w:fill="auto"/>
            <w:vAlign w:val="center"/>
          </w:tcPr>
          <w:p w14:paraId="4D513129"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8C6E2E">
              <w:rPr>
                <w:rFonts w:ascii="Arial" w:eastAsia="Times New Roman" w:hAnsi="Arial" w:cs="Arial"/>
                <w:b/>
                <w:spacing w:val="-2"/>
                <w:sz w:val="14"/>
                <w:szCs w:val="14"/>
                <w:lang w:eastAsia="pt-BR"/>
              </w:rPr>
              <w:t>9</w:t>
            </w:r>
            <w:r>
              <w:rPr>
                <w:rFonts w:ascii="Arial" w:eastAsia="Times New Roman" w:hAnsi="Arial" w:cs="Arial"/>
                <w:b/>
                <w:spacing w:val="-2"/>
                <w:sz w:val="14"/>
                <w:szCs w:val="14"/>
                <w:lang w:eastAsia="pt-BR"/>
              </w:rPr>
              <w:t>,</w:t>
            </w:r>
            <w:r w:rsidRPr="008C6E2E">
              <w:rPr>
                <w:rFonts w:ascii="Arial" w:eastAsia="Times New Roman" w:hAnsi="Arial" w:cs="Arial"/>
                <w:b/>
                <w:spacing w:val="-2"/>
                <w:sz w:val="14"/>
                <w:szCs w:val="14"/>
                <w:lang w:eastAsia="pt-BR"/>
              </w:rPr>
              <w:t>247</w:t>
            </w:r>
            <w:r>
              <w:rPr>
                <w:rFonts w:ascii="Arial" w:eastAsia="Times New Roman" w:hAnsi="Arial" w:cs="Arial"/>
                <w:b/>
                <w:spacing w:val="-2"/>
                <w:sz w:val="14"/>
                <w:szCs w:val="14"/>
                <w:lang w:eastAsia="pt-BR"/>
              </w:rPr>
              <w:t>,</w:t>
            </w:r>
            <w:r w:rsidRPr="008C6E2E">
              <w:rPr>
                <w:rFonts w:ascii="Arial" w:eastAsia="Times New Roman" w:hAnsi="Arial" w:cs="Arial"/>
                <w:b/>
                <w:spacing w:val="-2"/>
                <w:sz w:val="14"/>
                <w:szCs w:val="14"/>
                <w:lang w:eastAsia="pt-BR"/>
              </w:rPr>
              <w:t>072</w:t>
            </w:r>
          </w:p>
        </w:tc>
        <w:tc>
          <w:tcPr>
            <w:tcW w:w="263" w:type="dxa"/>
            <w:tcBorders>
              <w:top w:val="nil"/>
              <w:bottom w:val="nil"/>
            </w:tcBorders>
            <w:shd w:val="clear" w:color="auto" w:fill="auto"/>
            <w:vAlign w:val="center"/>
          </w:tcPr>
          <w:p w14:paraId="3ED7D1E1" w14:textId="77777777" w:rsidR="00785BE5" w:rsidRPr="00281428"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789B725C" w14:textId="77777777" w:rsidR="00785BE5" w:rsidRPr="00D33434"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c>
          <w:tcPr>
            <w:tcW w:w="1131" w:type="dxa"/>
            <w:tcBorders>
              <w:top w:val="nil"/>
              <w:left w:val="nil"/>
              <w:bottom w:val="nil"/>
              <w:right w:val="nil"/>
            </w:tcBorders>
            <w:shd w:val="clear" w:color="auto" w:fill="auto"/>
            <w:vAlign w:val="center"/>
          </w:tcPr>
          <w:p w14:paraId="7E7F3A84"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338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864</w:t>
            </w:r>
          </w:p>
        </w:tc>
      </w:tr>
      <w:tr w:rsidR="00785BE5" w:rsidRPr="00281428" w14:paraId="4A40586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6822362" w14:textId="77777777" w:rsidR="00785BE5" w:rsidRPr="00851654" w:rsidRDefault="00785BE5">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705" w:type="dxa"/>
            <w:tcBorders>
              <w:top w:val="nil"/>
              <w:bottom w:val="nil"/>
            </w:tcBorders>
            <w:shd w:val="clear" w:color="auto" w:fill="auto"/>
            <w:vAlign w:val="center"/>
          </w:tcPr>
          <w:p w14:paraId="59945A37"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338" w:type="dxa"/>
            <w:tcBorders>
              <w:top w:val="nil"/>
              <w:left w:val="nil"/>
              <w:bottom w:val="nil"/>
              <w:right w:val="nil"/>
            </w:tcBorders>
            <w:shd w:val="clear" w:color="auto" w:fill="auto"/>
            <w:vAlign w:val="center"/>
          </w:tcPr>
          <w:p w14:paraId="2B55D43C"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1289" w:type="dxa"/>
            <w:gridSpan w:val="2"/>
            <w:tcBorders>
              <w:top w:val="nil"/>
              <w:left w:val="nil"/>
              <w:bottom w:val="nil"/>
              <w:right w:val="nil"/>
            </w:tcBorders>
            <w:shd w:val="clear" w:color="auto" w:fill="auto"/>
            <w:vAlign w:val="center"/>
          </w:tcPr>
          <w:p w14:paraId="16BBDCFD"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4B7503">
              <w:rPr>
                <w:rFonts w:ascii="Arial" w:eastAsia="Times New Roman" w:hAnsi="Arial" w:cs="Arial"/>
                <w:spacing w:val="-2"/>
                <w:sz w:val="14"/>
                <w:szCs w:val="14"/>
                <w:lang w:eastAsia="pt-BR"/>
              </w:rPr>
              <w:t>21</w:t>
            </w:r>
            <w:r>
              <w:rPr>
                <w:rFonts w:ascii="Arial" w:eastAsia="Times New Roman" w:hAnsi="Arial" w:cs="Arial"/>
                <w:spacing w:val="-2"/>
                <w:sz w:val="14"/>
                <w:szCs w:val="14"/>
                <w:lang w:eastAsia="pt-BR"/>
              </w:rPr>
              <w:t>,</w:t>
            </w:r>
            <w:r w:rsidRPr="004B7503">
              <w:rPr>
                <w:rFonts w:ascii="Arial" w:eastAsia="Times New Roman" w:hAnsi="Arial" w:cs="Arial"/>
                <w:spacing w:val="-2"/>
                <w:sz w:val="14"/>
                <w:szCs w:val="14"/>
                <w:lang w:eastAsia="pt-BR"/>
              </w:rPr>
              <w:t>020</w:t>
            </w:r>
          </w:p>
        </w:tc>
        <w:tc>
          <w:tcPr>
            <w:tcW w:w="263" w:type="dxa"/>
            <w:tcBorders>
              <w:top w:val="nil"/>
              <w:bottom w:val="nil"/>
            </w:tcBorders>
            <w:shd w:val="clear" w:color="auto" w:fill="auto"/>
            <w:vAlign w:val="center"/>
          </w:tcPr>
          <w:p w14:paraId="40198B8F"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F0BC8E3"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1131" w:type="dxa"/>
            <w:tcBorders>
              <w:top w:val="nil"/>
              <w:left w:val="nil"/>
              <w:bottom w:val="nil"/>
              <w:right w:val="nil"/>
            </w:tcBorders>
            <w:shd w:val="clear" w:color="auto" w:fill="auto"/>
            <w:vAlign w:val="center"/>
          </w:tcPr>
          <w:p w14:paraId="7226816E"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4B7503">
              <w:rPr>
                <w:rFonts w:ascii="Arial" w:eastAsia="Times New Roman" w:hAnsi="Arial" w:cs="Arial"/>
                <w:spacing w:val="-2"/>
                <w:sz w:val="14"/>
                <w:szCs w:val="14"/>
                <w:lang w:eastAsia="pt-BR"/>
              </w:rPr>
              <w:t>607</w:t>
            </w:r>
            <w:r>
              <w:rPr>
                <w:rFonts w:ascii="Arial" w:eastAsia="Times New Roman" w:hAnsi="Arial" w:cs="Arial"/>
                <w:spacing w:val="-2"/>
                <w:sz w:val="14"/>
                <w:szCs w:val="14"/>
                <w:lang w:eastAsia="pt-BR"/>
              </w:rPr>
              <w:t>,</w:t>
            </w:r>
            <w:r w:rsidRPr="004B7503">
              <w:rPr>
                <w:rFonts w:ascii="Arial" w:eastAsia="Times New Roman" w:hAnsi="Arial" w:cs="Arial"/>
                <w:spacing w:val="-2"/>
                <w:sz w:val="14"/>
                <w:szCs w:val="14"/>
                <w:lang w:eastAsia="pt-BR"/>
              </w:rPr>
              <w:t>391</w:t>
            </w:r>
          </w:p>
        </w:tc>
      </w:tr>
      <w:tr w:rsidR="00785BE5" w:rsidRPr="00281428" w14:paraId="58C6FAD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18CB34D" w14:textId="77777777" w:rsidR="00785BE5" w:rsidRPr="007046FD" w:rsidRDefault="00785BE5">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705" w:type="dxa"/>
            <w:tcBorders>
              <w:top w:val="nil"/>
              <w:bottom w:val="nil"/>
            </w:tcBorders>
            <w:shd w:val="clear" w:color="auto" w:fill="auto"/>
            <w:vAlign w:val="center"/>
          </w:tcPr>
          <w:p w14:paraId="2DC74DD1"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52011148" w14:textId="77777777" w:rsidR="00785BE5" w:rsidRPr="00F24BD2"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0E00E681" w14:textId="77777777" w:rsidR="00785BE5" w:rsidRPr="00BF2AAF"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53979331" w14:textId="77777777" w:rsidR="00785BE5" w:rsidRPr="00281428"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78F69EB5" w14:textId="77777777" w:rsidR="00785BE5" w:rsidRPr="00F24BD2"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c>
          <w:tcPr>
            <w:tcW w:w="1131" w:type="dxa"/>
            <w:tcBorders>
              <w:top w:val="nil"/>
              <w:left w:val="nil"/>
              <w:bottom w:val="nil"/>
              <w:right w:val="nil"/>
            </w:tcBorders>
            <w:shd w:val="clear" w:color="auto" w:fill="auto"/>
            <w:vAlign w:val="center"/>
          </w:tcPr>
          <w:p w14:paraId="283372C7" w14:textId="77777777" w:rsidR="00785BE5" w:rsidRPr="00BF2AAF"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r>
      <w:tr w:rsidR="00785BE5" w:rsidRPr="00281428" w14:paraId="69AA814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4929719"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r>
              <w:rPr>
                <w:rFonts w:ascii="Arial" w:hAnsi="Arial" w:cs="Arial"/>
                <w:b w:val="0"/>
                <w:bCs w:val="0"/>
                <w:sz w:val="14"/>
                <w:szCs w:val="6"/>
              </w:rPr>
              <w:t>Non-</w:t>
            </w: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705" w:type="dxa"/>
            <w:tcBorders>
              <w:top w:val="nil"/>
              <w:bottom w:val="nil"/>
            </w:tcBorders>
            <w:shd w:val="clear" w:color="auto" w:fill="auto"/>
            <w:vAlign w:val="center"/>
          </w:tcPr>
          <w:p w14:paraId="66BB775E"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338" w:type="dxa"/>
            <w:tcBorders>
              <w:top w:val="nil"/>
              <w:bottom w:val="nil"/>
            </w:tcBorders>
            <w:shd w:val="clear" w:color="auto" w:fill="auto"/>
            <w:vAlign w:val="center"/>
          </w:tcPr>
          <w:p w14:paraId="40DF3075"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5,651</w:t>
            </w:r>
          </w:p>
        </w:tc>
        <w:tc>
          <w:tcPr>
            <w:tcW w:w="1289" w:type="dxa"/>
            <w:gridSpan w:val="2"/>
            <w:tcBorders>
              <w:top w:val="nil"/>
              <w:left w:val="nil"/>
              <w:bottom w:val="nil"/>
              <w:right w:val="nil"/>
            </w:tcBorders>
            <w:shd w:val="clear" w:color="auto" w:fill="auto"/>
            <w:vAlign w:val="center"/>
          </w:tcPr>
          <w:p w14:paraId="4D52D424"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93</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591</w:t>
            </w:r>
          </w:p>
        </w:tc>
        <w:tc>
          <w:tcPr>
            <w:tcW w:w="263" w:type="dxa"/>
            <w:tcBorders>
              <w:top w:val="nil"/>
              <w:bottom w:val="nil"/>
            </w:tcBorders>
            <w:shd w:val="clear" w:color="auto" w:fill="auto"/>
            <w:vAlign w:val="center"/>
          </w:tcPr>
          <w:p w14:paraId="7DA14889"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F689958"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144,477</w:t>
            </w:r>
          </w:p>
        </w:tc>
        <w:tc>
          <w:tcPr>
            <w:tcW w:w="1131" w:type="dxa"/>
            <w:tcBorders>
              <w:top w:val="nil"/>
              <w:left w:val="nil"/>
              <w:bottom w:val="nil"/>
              <w:right w:val="nil"/>
            </w:tcBorders>
            <w:shd w:val="clear" w:color="auto" w:fill="auto"/>
            <w:vAlign w:val="center"/>
          </w:tcPr>
          <w:p w14:paraId="5ACF9C42"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100</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967</w:t>
            </w:r>
          </w:p>
        </w:tc>
      </w:tr>
      <w:tr w:rsidR="00785BE5" w:rsidRPr="00281428" w14:paraId="145E76F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D2E001E"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Deferred</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tax</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78C766BF"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[12.e]</w:t>
            </w:r>
          </w:p>
        </w:tc>
        <w:tc>
          <w:tcPr>
            <w:tcW w:w="1338" w:type="dxa"/>
            <w:tcBorders>
              <w:top w:val="nil"/>
              <w:bottom w:val="nil"/>
            </w:tcBorders>
            <w:shd w:val="clear" w:color="auto" w:fill="auto"/>
            <w:vAlign w:val="center"/>
          </w:tcPr>
          <w:p w14:paraId="14BDA427" w14:textId="77777777" w:rsidR="00785BE5" w:rsidRPr="006E4E16"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w:t>
            </w:r>
          </w:p>
        </w:tc>
        <w:tc>
          <w:tcPr>
            <w:tcW w:w="1289" w:type="dxa"/>
            <w:gridSpan w:val="2"/>
            <w:tcBorders>
              <w:top w:val="nil"/>
              <w:left w:val="nil"/>
              <w:bottom w:val="nil"/>
              <w:right w:val="nil"/>
            </w:tcBorders>
            <w:shd w:val="clear" w:color="auto" w:fill="auto"/>
            <w:vAlign w:val="center"/>
          </w:tcPr>
          <w:p w14:paraId="4A4F1BE6"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222</w:t>
            </w:r>
          </w:p>
        </w:tc>
        <w:tc>
          <w:tcPr>
            <w:tcW w:w="263" w:type="dxa"/>
            <w:tcBorders>
              <w:top w:val="nil"/>
              <w:bottom w:val="nil"/>
            </w:tcBorders>
            <w:shd w:val="clear" w:color="auto" w:fill="auto"/>
            <w:vAlign w:val="center"/>
          </w:tcPr>
          <w:p w14:paraId="57EE1514" w14:textId="77777777" w:rsidR="00785BE5" w:rsidRPr="006E4E16"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3AB87E4" w14:textId="77777777" w:rsidR="00785BE5" w:rsidRPr="006E4E16"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28,951</w:t>
            </w:r>
          </w:p>
        </w:tc>
        <w:tc>
          <w:tcPr>
            <w:tcW w:w="1131" w:type="dxa"/>
            <w:tcBorders>
              <w:top w:val="nil"/>
              <w:left w:val="nil"/>
              <w:bottom w:val="nil"/>
              <w:right w:val="nil"/>
            </w:tcBorders>
            <w:shd w:val="clear" w:color="auto" w:fill="auto"/>
            <w:vAlign w:val="center"/>
          </w:tcPr>
          <w:p w14:paraId="468917AF"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244</w:t>
            </w:r>
          </w:p>
        </w:tc>
      </w:tr>
      <w:tr w:rsidR="00785BE5" w:rsidRPr="00281428" w14:paraId="001C4A3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7065B71"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705" w:type="dxa"/>
            <w:tcBorders>
              <w:top w:val="nil"/>
              <w:bottom w:val="nil"/>
            </w:tcBorders>
            <w:shd w:val="clear" w:color="auto" w:fill="auto"/>
            <w:vAlign w:val="center"/>
          </w:tcPr>
          <w:p w14:paraId="19EEA7A3"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338" w:type="dxa"/>
            <w:tcBorders>
              <w:top w:val="nil"/>
              <w:bottom w:val="nil"/>
            </w:tcBorders>
            <w:shd w:val="clear" w:color="auto" w:fill="auto"/>
            <w:vAlign w:val="center"/>
          </w:tcPr>
          <w:p w14:paraId="73A1EAC8"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25B9014E"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4573D08C"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07146214" w14:textId="77777777" w:rsidR="00785BE5" w:rsidRPr="003A0C4D" w:rsidRDefault="00785BE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87,299</w:t>
            </w:r>
          </w:p>
        </w:tc>
        <w:tc>
          <w:tcPr>
            <w:tcW w:w="1131" w:type="dxa"/>
            <w:tcBorders>
              <w:top w:val="nil"/>
              <w:left w:val="nil"/>
              <w:bottom w:val="nil"/>
              <w:right w:val="nil"/>
            </w:tcBorders>
            <w:shd w:val="clear" w:color="auto" w:fill="auto"/>
            <w:vAlign w:val="center"/>
          </w:tcPr>
          <w:p w14:paraId="34035D3A"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1</w:t>
            </w:r>
            <w:r>
              <w:rPr>
                <w:rFonts w:ascii="Arial" w:hAnsi="Arial" w:cs="Arial"/>
                <w:color w:val="000000"/>
                <w:sz w:val="14"/>
                <w:szCs w:val="14"/>
              </w:rPr>
              <w:t>,</w:t>
            </w:r>
            <w:r w:rsidRPr="00BF2AAF">
              <w:rPr>
                <w:rFonts w:ascii="Arial" w:hAnsi="Arial" w:cs="Arial"/>
                <w:color w:val="000000"/>
                <w:sz w:val="14"/>
                <w:szCs w:val="14"/>
              </w:rPr>
              <w:t>046</w:t>
            </w:r>
            <w:r>
              <w:rPr>
                <w:rFonts w:ascii="Arial" w:hAnsi="Arial" w:cs="Arial"/>
                <w:color w:val="000000"/>
                <w:sz w:val="14"/>
                <w:szCs w:val="14"/>
              </w:rPr>
              <w:t>,</w:t>
            </w:r>
            <w:r w:rsidRPr="00BF2AAF">
              <w:rPr>
                <w:rFonts w:ascii="Arial" w:hAnsi="Arial" w:cs="Arial"/>
                <w:color w:val="000000"/>
                <w:sz w:val="14"/>
                <w:szCs w:val="14"/>
              </w:rPr>
              <w:t>897</w:t>
            </w:r>
          </w:p>
        </w:tc>
      </w:tr>
      <w:tr w:rsidR="00785BE5" w:rsidRPr="00281428" w14:paraId="562C5B7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8591400"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705" w:type="dxa"/>
            <w:tcBorders>
              <w:top w:val="nil"/>
              <w:bottom w:val="nil"/>
            </w:tcBorders>
            <w:shd w:val="clear" w:color="auto" w:fill="auto"/>
            <w:vAlign w:val="center"/>
          </w:tcPr>
          <w:p w14:paraId="6C6117EB"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338" w:type="dxa"/>
            <w:tcBorders>
              <w:top w:val="nil"/>
              <w:left w:val="nil"/>
              <w:bottom w:val="nil"/>
              <w:right w:val="nil"/>
            </w:tcBorders>
            <w:shd w:val="clear" w:color="auto" w:fill="auto"/>
            <w:vAlign w:val="center"/>
          </w:tcPr>
          <w:p w14:paraId="63DF8B61"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9,473,239</w:t>
            </w:r>
          </w:p>
        </w:tc>
        <w:tc>
          <w:tcPr>
            <w:tcW w:w="1289" w:type="dxa"/>
            <w:gridSpan w:val="2"/>
            <w:tcBorders>
              <w:top w:val="nil"/>
              <w:left w:val="nil"/>
              <w:bottom w:val="nil"/>
              <w:right w:val="nil"/>
            </w:tcBorders>
            <w:shd w:val="clear" w:color="auto" w:fill="auto"/>
            <w:vAlign w:val="center"/>
          </w:tcPr>
          <w:p w14:paraId="11F2EF91"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8C6E2E">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8C6E2E">
              <w:rPr>
                <w:rFonts w:ascii="Arial" w:eastAsia="Times New Roman" w:hAnsi="Arial" w:cs="Arial"/>
                <w:spacing w:val="-2"/>
                <w:sz w:val="14"/>
                <w:szCs w:val="14"/>
                <w:lang w:eastAsia="pt-BR"/>
              </w:rPr>
              <w:t>128</w:t>
            </w:r>
            <w:r>
              <w:rPr>
                <w:rFonts w:ascii="Arial" w:eastAsia="Times New Roman" w:hAnsi="Arial" w:cs="Arial"/>
                <w:spacing w:val="-2"/>
                <w:sz w:val="14"/>
                <w:szCs w:val="14"/>
                <w:lang w:eastAsia="pt-BR"/>
              </w:rPr>
              <w:t>,</w:t>
            </w:r>
            <w:r w:rsidRPr="008C6E2E">
              <w:rPr>
                <w:rFonts w:ascii="Arial" w:eastAsia="Times New Roman" w:hAnsi="Arial" w:cs="Arial"/>
                <w:spacing w:val="-2"/>
                <w:sz w:val="14"/>
                <w:szCs w:val="14"/>
                <w:lang w:eastAsia="pt-BR"/>
              </w:rPr>
              <w:t>605</w:t>
            </w:r>
          </w:p>
        </w:tc>
        <w:tc>
          <w:tcPr>
            <w:tcW w:w="263" w:type="dxa"/>
            <w:tcBorders>
              <w:top w:val="nil"/>
              <w:bottom w:val="nil"/>
            </w:tcBorders>
            <w:shd w:val="clear" w:color="auto" w:fill="auto"/>
            <w:vAlign w:val="center"/>
          </w:tcPr>
          <w:p w14:paraId="2FDD53A9" w14:textId="77777777" w:rsidR="00785BE5" w:rsidRPr="00281428"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58DF46E5" w14:textId="77777777" w:rsidR="00785BE5" w:rsidRPr="00D33434" w:rsidRDefault="00785BE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c>
          <w:tcPr>
            <w:tcW w:w="1131" w:type="dxa"/>
            <w:tcBorders>
              <w:top w:val="nil"/>
              <w:left w:val="nil"/>
              <w:bottom w:val="nil"/>
              <w:right w:val="nil"/>
            </w:tcBorders>
            <w:shd w:val="clear" w:color="auto" w:fill="auto"/>
            <w:vAlign w:val="center"/>
          </w:tcPr>
          <w:p w14:paraId="08AFAA7E"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331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907</w:t>
            </w:r>
          </w:p>
        </w:tc>
      </w:tr>
      <w:tr w:rsidR="00785BE5" w:rsidRPr="00281428" w14:paraId="3B842B4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EBCFCAD"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705" w:type="dxa"/>
            <w:tcBorders>
              <w:top w:val="nil"/>
              <w:bottom w:val="nil"/>
            </w:tcBorders>
            <w:shd w:val="clear" w:color="auto" w:fill="auto"/>
            <w:vAlign w:val="center"/>
          </w:tcPr>
          <w:p w14:paraId="33367801"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338" w:type="dxa"/>
            <w:tcBorders>
              <w:top w:val="nil"/>
              <w:left w:val="nil"/>
              <w:bottom w:val="nil"/>
              <w:right w:val="nil"/>
            </w:tcBorders>
            <w:shd w:val="clear" w:color="auto" w:fill="auto"/>
            <w:vAlign w:val="center"/>
          </w:tcPr>
          <w:p w14:paraId="4BA67B48"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1289" w:type="dxa"/>
            <w:gridSpan w:val="2"/>
            <w:tcBorders>
              <w:top w:val="nil"/>
              <w:left w:val="nil"/>
              <w:bottom w:val="nil"/>
              <w:right w:val="nil"/>
            </w:tcBorders>
            <w:shd w:val="clear" w:color="auto" w:fill="auto"/>
            <w:vAlign w:val="center"/>
          </w:tcPr>
          <w:p w14:paraId="4CD4467B"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585</w:t>
            </w:r>
          </w:p>
        </w:tc>
        <w:tc>
          <w:tcPr>
            <w:tcW w:w="263" w:type="dxa"/>
            <w:tcBorders>
              <w:top w:val="nil"/>
              <w:bottom w:val="nil"/>
            </w:tcBorders>
            <w:shd w:val="clear" w:color="auto" w:fill="auto"/>
            <w:vAlign w:val="center"/>
          </w:tcPr>
          <w:p w14:paraId="06A0C7E9" w14:textId="77777777" w:rsidR="00785BE5" w:rsidRPr="00281428"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121E659" w14:textId="77777777" w:rsidR="00785BE5" w:rsidRPr="00D33434"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1131" w:type="dxa"/>
            <w:tcBorders>
              <w:top w:val="nil"/>
              <w:left w:val="nil"/>
              <w:bottom w:val="nil"/>
              <w:right w:val="nil"/>
            </w:tcBorders>
            <w:shd w:val="clear" w:color="auto" w:fill="auto"/>
            <w:vAlign w:val="center"/>
          </w:tcPr>
          <w:p w14:paraId="6C8EC0B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585</w:t>
            </w:r>
          </w:p>
        </w:tc>
      </w:tr>
      <w:tr w:rsidR="00785BE5" w:rsidRPr="00281428" w14:paraId="4CD6381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87C69B4" w14:textId="77777777" w:rsidR="00785BE5" w:rsidRPr="00851654" w:rsidRDefault="00785BE5">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705" w:type="dxa"/>
            <w:tcBorders>
              <w:top w:val="nil"/>
              <w:bottom w:val="nil"/>
            </w:tcBorders>
            <w:shd w:val="clear" w:color="auto" w:fill="auto"/>
            <w:vAlign w:val="center"/>
          </w:tcPr>
          <w:p w14:paraId="37EFF95B"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338" w:type="dxa"/>
            <w:tcBorders>
              <w:top w:val="nil"/>
              <w:bottom w:val="nil"/>
            </w:tcBorders>
            <w:shd w:val="clear" w:color="auto" w:fill="auto"/>
            <w:vAlign w:val="center"/>
          </w:tcPr>
          <w:p w14:paraId="0C3DDF2B"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1289" w:type="dxa"/>
            <w:gridSpan w:val="2"/>
            <w:tcBorders>
              <w:top w:val="nil"/>
              <w:bottom w:val="nil"/>
            </w:tcBorders>
            <w:shd w:val="clear" w:color="auto" w:fill="auto"/>
            <w:vAlign w:val="center"/>
          </w:tcPr>
          <w:p w14:paraId="3CA7368F"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49</w:t>
            </w:r>
          </w:p>
        </w:tc>
        <w:tc>
          <w:tcPr>
            <w:tcW w:w="263" w:type="dxa"/>
            <w:tcBorders>
              <w:top w:val="nil"/>
              <w:bottom w:val="nil"/>
            </w:tcBorders>
            <w:shd w:val="clear" w:color="auto" w:fill="auto"/>
            <w:vAlign w:val="center"/>
          </w:tcPr>
          <w:p w14:paraId="75E4DFCA"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686A5266"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c>
          <w:tcPr>
            <w:tcW w:w="1131" w:type="dxa"/>
            <w:tcBorders>
              <w:top w:val="nil"/>
              <w:bottom w:val="nil"/>
            </w:tcBorders>
            <w:shd w:val="clear" w:color="auto" w:fill="auto"/>
            <w:vAlign w:val="center"/>
          </w:tcPr>
          <w:p w14:paraId="51E8035F"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234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873</w:t>
            </w:r>
          </w:p>
        </w:tc>
      </w:tr>
      <w:tr w:rsidR="00785BE5" w:rsidRPr="00281428" w14:paraId="43D06E7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131B4DF" w14:textId="77777777" w:rsidR="00785BE5" w:rsidRPr="005302A9" w:rsidRDefault="00785BE5">
            <w:pPr>
              <w:keepNext/>
              <w:keepLines/>
              <w:spacing w:before="40" w:after="40"/>
              <w:rPr>
                <w:rFonts w:ascii="Arial" w:eastAsia="Times New Roman" w:hAnsi="Arial" w:cs="Arial"/>
                <w:spacing w:val="-2"/>
                <w:sz w:val="14"/>
                <w:szCs w:val="14"/>
                <w:highlight w:val="yellow"/>
                <w:lang w:eastAsia="pt-BR"/>
              </w:rPr>
            </w:pPr>
          </w:p>
        </w:tc>
        <w:tc>
          <w:tcPr>
            <w:tcW w:w="705" w:type="dxa"/>
            <w:tcBorders>
              <w:top w:val="nil"/>
              <w:bottom w:val="nil"/>
            </w:tcBorders>
            <w:shd w:val="clear" w:color="auto" w:fill="auto"/>
            <w:vAlign w:val="center"/>
          </w:tcPr>
          <w:p w14:paraId="7AF4C0E6"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338" w:type="dxa"/>
            <w:tcBorders>
              <w:top w:val="nil"/>
              <w:bottom w:val="nil"/>
            </w:tcBorders>
            <w:shd w:val="clear" w:color="auto" w:fill="auto"/>
            <w:vAlign w:val="center"/>
          </w:tcPr>
          <w:p w14:paraId="1A993B5B"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0386D905"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674048D1"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28365604"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478E93FF"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5CD6004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E2B6483" w14:textId="77777777" w:rsidR="00785BE5" w:rsidRPr="00851654" w:rsidRDefault="00785BE5">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705" w:type="dxa"/>
            <w:tcBorders>
              <w:top w:val="nil"/>
              <w:bottom w:val="nil"/>
            </w:tcBorders>
            <w:shd w:val="clear" w:color="auto" w:fill="auto"/>
            <w:vAlign w:val="center"/>
          </w:tcPr>
          <w:p w14:paraId="51BBCAC8"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noProof/>
                <w:spacing w:val="-2"/>
                <w:sz w:val="14"/>
                <w:szCs w:val="18"/>
                <w:lang w:eastAsia="pt-BR"/>
              </w:rPr>
            </w:pPr>
          </w:p>
        </w:tc>
        <w:tc>
          <w:tcPr>
            <w:tcW w:w="1338" w:type="dxa"/>
            <w:tcBorders>
              <w:top w:val="nil"/>
              <w:bottom w:val="nil"/>
            </w:tcBorders>
            <w:shd w:val="clear" w:color="auto" w:fill="auto"/>
            <w:vAlign w:val="center"/>
          </w:tcPr>
          <w:p w14:paraId="2C5F48A7"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1289" w:type="dxa"/>
            <w:gridSpan w:val="2"/>
            <w:tcBorders>
              <w:top w:val="nil"/>
              <w:bottom w:val="nil"/>
            </w:tcBorders>
            <w:shd w:val="clear" w:color="auto" w:fill="auto"/>
            <w:vAlign w:val="center"/>
          </w:tcPr>
          <w:p w14:paraId="5E72FB05"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286</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621</w:t>
            </w:r>
          </w:p>
        </w:tc>
        <w:tc>
          <w:tcPr>
            <w:tcW w:w="263" w:type="dxa"/>
            <w:tcBorders>
              <w:top w:val="nil"/>
              <w:bottom w:val="nil"/>
            </w:tcBorders>
            <w:shd w:val="clear" w:color="auto" w:fill="auto"/>
            <w:vAlign w:val="center"/>
          </w:tcPr>
          <w:p w14:paraId="7C14CC2C"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nil"/>
            </w:tcBorders>
            <w:shd w:val="clear" w:color="auto" w:fill="auto"/>
            <w:vAlign w:val="center"/>
          </w:tcPr>
          <w:p w14:paraId="44E9C0A0"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c>
          <w:tcPr>
            <w:tcW w:w="1131" w:type="dxa"/>
            <w:tcBorders>
              <w:top w:val="nil"/>
              <w:bottom w:val="nil"/>
            </w:tcBorders>
            <w:shd w:val="clear" w:color="auto" w:fill="auto"/>
            <w:vAlign w:val="center"/>
          </w:tcPr>
          <w:p w14:paraId="568F91B7"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272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622</w:t>
            </w:r>
          </w:p>
        </w:tc>
      </w:tr>
      <w:tr w:rsidR="00785BE5" w:rsidRPr="00281428" w14:paraId="522F4605"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8D5AC17" w14:textId="77777777" w:rsidR="00785BE5" w:rsidRPr="005302A9" w:rsidRDefault="00785BE5">
            <w:pPr>
              <w:keepNext/>
              <w:keepLines/>
              <w:spacing w:before="40" w:after="40"/>
              <w:rPr>
                <w:rFonts w:ascii="Arial" w:eastAsia="Times New Roman" w:hAnsi="Arial" w:cs="Arial"/>
                <w:color w:val="FF0000"/>
                <w:spacing w:val="-2"/>
                <w:sz w:val="14"/>
                <w:szCs w:val="14"/>
                <w:highlight w:val="yellow"/>
                <w:lang w:eastAsia="pt-BR"/>
              </w:rPr>
            </w:pPr>
          </w:p>
        </w:tc>
        <w:tc>
          <w:tcPr>
            <w:tcW w:w="705" w:type="dxa"/>
            <w:tcBorders>
              <w:top w:val="nil"/>
              <w:bottom w:val="nil"/>
            </w:tcBorders>
            <w:shd w:val="clear" w:color="auto" w:fill="auto"/>
            <w:vAlign w:val="center"/>
          </w:tcPr>
          <w:p w14:paraId="5837B157"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pacing w:val="-2"/>
                <w:sz w:val="14"/>
                <w:szCs w:val="14"/>
                <w:lang w:eastAsia="pt-BR"/>
              </w:rPr>
            </w:pPr>
          </w:p>
        </w:tc>
        <w:tc>
          <w:tcPr>
            <w:tcW w:w="1338" w:type="dxa"/>
            <w:tcBorders>
              <w:top w:val="nil"/>
              <w:bottom w:val="nil"/>
            </w:tcBorders>
            <w:shd w:val="clear" w:color="auto" w:fill="auto"/>
            <w:vAlign w:val="center"/>
          </w:tcPr>
          <w:p w14:paraId="6B9B3F47"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3DD77D7B"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EF5A6BC"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010A45FB"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22B4CD5"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4E90B34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A9E0D75" w14:textId="77777777" w:rsidR="00785BE5" w:rsidRPr="00851654" w:rsidRDefault="00785BE5">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1C7738B8"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338" w:type="dxa"/>
            <w:tcBorders>
              <w:top w:val="nil"/>
              <w:left w:val="nil"/>
              <w:bottom w:val="nil"/>
              <w:right w:val="nil"/>
            </w:tcBorders>
            <w:shd w:val="clear" w:color="auto" w:fill="auto"/>
            <w:vAlign w:val="center"/>
          </w:tcPr>
          <w:p w14:paraId="24C79E06"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4,426,026</w:t>
            </w:r>
          </w:p>
        </w:tc>
        <w:tc>
          <w:tcPr>
            <w:tcW w:w="1289" w:type="dxa"/>
            <w:gridSpan w:val="2"/>
            <w:tcBorders>
              <w:top w:val="nil"/>
              <w:left w:val="nil"/>
              <w:bottom w:val="nil"/>
              <w:right w:val="nil"/>
            </w:tcBorders>
            <w:shd w:val="clear" w:color="auto" w:fill="auto"/>
            <w:vAlign w:val="center"/>
          </w:tcPr>
          <w:p w14:paraId="190601FB"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bCs/>
                <w:spacing w:val="-2"/>
                <w:sz w:val="14"/>
                <w:szCs w:val="14"/>
                <w:lang w:eastAsia="pt-BR"/>
              </w:rPr>
              <w:t>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469</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986</w:t>
            </w:r>
          </w:p>
        </w:tc>
        <w:tc>
          <w:tcPr>
            <w:tcW w:w="263" w:type="dxa"/>
            <w:tcBorders>
              <w:top w:val="nil"/>
              <w:bottom w:val="nil"/>
            </w:tcBorders>
            <w:shd w:val="clear" w:color="auto" w:fill="auto"/>
            <w:vAlign w:val="center"/>
          </w:tcPr>
          <w:p w14:paraId="1686BDB2"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left w:val="nil"/>
              <w:bottom w:val="nil"/>
              <w:right w:val="nil"/>
            </w:tcBorders>
            <w:shd w:val="clear" w:color="auto" w:fill="auto"/>
            <w:vAlign w:val="center"/>
          </w:tcPr>
          <w:p w14:paraId="4A282264"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c>
          <w:tcPr>
            <w:tcW w:w="1131" w:type="dxa"/>
            <w:tcBorders>
              <w:top w:val="nil"/>
              <w:left w:val="nil"/>
              <w:bottom w:val="nil"/>
              <w:right w:val="nil"/>
            </w:tcBorders>
            <w:shd w:val="clear" w:color="auto" w:fill="auto"/>
            <w:vAlign w:val="center"/>
          </w:tcPr>
          <w:p w14:paraId="00BC302C"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5</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478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106</w:t>
            </w:r>
          </w:p>
        </w:tc>
      </w:tr>
      <w:tr w:rsidR="00785BE5" w:rsidRPr="00281428" w14:paraId="1B1B394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03B1DA4"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705" w:type="dxa"/>
            <w:tcBorders>
              <w:top w:val="nil"/>
              <w:bottom w:val="nil"/>
            </w:tcBorders>
            <w:shd w:val="clear" w:color="auto" w:fill="auto"/>
            <w:vAlign w:val="center"/>
          </w:tcPr>
          <w:p w14:paraId="16ECCFE8"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338" w:type="dxa"/>
            <w:tcBorders>
              <w:top w:val="nil"/>
              <w:left w:val="nil"/>
              <w:bottom w:val="nil"/>
              <w:right w:val="nil"/>
            </w:tcBorders>
            <w:shd w:val="clear" w:color="auto" w:fill="auto"/>
            <w:vAlign w:val="center"/>
          </w:tcPr>
          <w:p w14:paraId="15F0BB05"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c>
          <w:tcPr>
            <w:tcW w:w="1289" w:type="dxa"/>
            <w:gridSpan w:val="2"/>
            <w:tcBorders>
              <w:top w:val="nil"/>
              <w:left w:val="nil"/>
              <w:bottom w:val="nil"/>
              <w:right w:val="nil"/>
            </w:tcBorders>
            <w:shd w:val="clear" w:color="auto" w:fill="auto"/>
            <w:vAlign w:val="center"/>
          </w:tcPr>
          <w:p w14:paraId="4F436A16"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455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309</w:t>
            </w:r>
          </w:p>
        </w:tc>
        <w:tc>
          <w:tcPr>
            <w:tcW w:w="263" w:type="dxa"/>
            <w:tcBorders>
              <w:top w:val="nil"/>
              <w:bottom w:val="nil"/>
            </w:tcBorders>
            <w:shd w:val="clear" w:color="auto" w:fill="auto"/>
            <w:vAlign w:val="center"/>
          </w:tcPr>
          <w:p w14:paraId="68499B77"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ADE1D63"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c>
          <w:tcPr>
            <w:tcW w:w="1131" w:type="dxa"/>
            <w:tcBorders>
              <w:top w:val="nil"/>
              <w:left w:val="nil"/>
              <w:bottom w:val="nil"/>
              <w:right w:val="nil"/>
            </w:tcBorders>
            <w:shd w:val="clear" w:color="auto" w:fill="auto"/>
            <w:vAlign w:val="center"/>
          </w:tcPr>
          <w:p w14:paraId="661A542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455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309</w:t>
            </w:r>
          </w:p>
        </w:tc>
      </w:tr>
      <w:tr w:rsidR="00785BE5" w:rsidRPr="00281428" w14:paraId="736A050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7E7236B4"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7EA9A1A1"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left w:val="nil"/>
              <w:bottom w:val="nil"/>
              <w:right w:val="nil"/>
            </w:tcBorders>
            <w:shd w:val="clear" w:color="auto" w:fill="auto"/>
            <w:vAlign w:val="center"/>
          </w:tcPr>
          <w:p w14:paraId="4CAAA2A3"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1,249</w:t>
            </w:r>
          </w:p>
        </w:tc>
        <w:tc>
          <w:tcPr>
            <w:tcW w:w="1289" w:type="dxa"/>
            <w:gridSpan w:val="2"/>
            <w:tcBorders>
              <w:top w:val="nil"/>
              <w:left w:val="nil"/>
              <w:bottom w:val="nil"/>
              <w:right w:val="nil"/>
            </w:tcBorders>
            <w:shd w:val="clear" w:color="auto" w:fill="auto"/>
            <w:vAlign w:val="center"/>
          </w:tcPr>
          <w:p w14:paraId="492E1883"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500</w:t>
            </w:r>
          </w:p>
        </w:tc>
        <w:tc>
          <w:tcPr>
            <w:tcW w:w="263" w:type="dxa"/>
            <w:tcBorders>
              <w:top w:val="nil"/>
              <w:bottom w:val="nil"/>
            </w:tcBorders>
            <w:shd w:val="clear" w:color="auto" w:fill="auto"/>
            <w:vAlign w:val="center"/>
          </w:tcPr>
          <w:p w14:paraId="086F3681"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D8AAF55"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c>
          <w:tcPr>
            <w:tcW w:w="1131" w:type="dxa"/>
            <w:tcBorders>
              <w:top w:val="nil"/>
              <w:left w:val="nil"/>
              <w:bottom w:val="nil"/>
              <w:right w:val="nil"/>
            </w:tcBorders>
            <w:shd w:val="clear" w:color="auto" w:fill="auto"/>
            <w:vAlign w:val="center"/>
          </w:tcPr>
          <w:p w14:paraId="3C7519C2"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889</w:t>
            </w:r>
          </w:p>
        </w:tc>
      </w:tr>
      <w:tr w:rsidR="00785BE5" w:rsidRPr="00281428" w14:paraId="7E6C227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5510BA2"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1381101" w14:textId="4357F441"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w:t>
            </w:r>
            <w:r w:rsidR="007B6BD9">
              <w:rPr>
                <w:rFonts w:ascii="Arial" w:eastAsia="Times New Roman" w:hAnsi="Arial" w:cs="Times New Roman"/>
                <w:spacing w:val="-2"/>
                <w:sz w:val="14"/>
                <w:szCs w:val="18"/>
                <w:lang w:eastAsia="pt-BR"/>
              </w:rPr>
              <w:t>f</w:t>
            </w:r>
            <w:r w:rsidRPr="00851654">
              <w:rPr>
                <w:rFonts w:ascii="Arial" w:eastAsia="Times New Roman" w:hAnsi="Arial" w:cs="Times New Roman"/>
                <w:spacing w:val="-2"/>
                <w:sz w:val="14"/>
                <w:szCs w:val="18"/>
                <w:lang w:eastAsia="pt-BR"/>
              </w:rPr>
              <w:t>]</w:t>
            </w:r>
          </w:p>
        </w:tc>
        <w:tc>
          <w:tcPr>
            <w:tcW w:w="1338" w:type="dxa"/>
            <w:tcBorders>
              <w:top w:val="nil"/>
              <w:left w:val="nil"/>
              <w:bottom w:val="nil"/>
              <w:right w:val="nil"/>
            </w:tcBorders>
            <w:shd w:val="clear" w:color="auto" w:fill="auto"/>
            <w:vAlign w:val="center"/>
          </w:tcPr>
          <w:p w14:paraId="6EF13451"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602</w:t>
            </w:r>
          </w:p>
        </w:tc>
        <w:tc>
          <w:tcPr>
            <w:tcW w:w="1289" w:type="dxa"/>
            <w:gridSpan w:val="2"/>
            <w:tcBorders>
              <w:top w:val="nil"/>
              <w:left w:val="nil"/>
              <w:bottom w:val="nil"/>
              <w:right w:val="nil"/>
            </w:tcBorders>
            <w:shd w:val="clear" w:color="auto" w:fill="auto"/>
            <w:vAlign w:val="center"/>
          </w:tcPr>
          <w:p w14:paraId="3671094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689</w:t>
            </w:r>
          </w:p>
        </w:tc>
        <w:tc>
          <w:tcPr>
            <w:tcW w:w="263" w:type="dxa"/>
            <w:tcBorders>
              <w:top w:val="nil"/>
              <w:bottom w:val="nil"/>
            </w:tcBorders>
            <w:shd w:val="clear" w:color="auto" w:fill="auto"/>
            <w:vAlign w:val="center"/>
          </w:tcPr>
          <w:p w14:paraId="297DBA64"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576460C0"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c>
          <w:tcPr>
            <w:tcW w:w="1131" w:type="dxa"/>
            <w:tcBorders>
              <w:top w:val="nil"/>
              <w:left w:val="nil"/>
              <w:bottom w:val="nil"/>
              <w:right w:val="nil"/>
            </w:tcBorders>
            <w:shd w:val="clear" w:color="auto" w:fill="auto"/>
            <w:vAlign w:val="center"/>
          </w:tcPr>
          <w:p w14:paraId="40E07819"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950</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663</w:t>
            </w:r>
          </w:p>
        </w:tc>
      </w:tr>
      <w:tr w:rsidR="00785BE5" w:rsidRPr="00281428" w14:paraId="6E31B5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572D85E"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71E35D58"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left w:val="nil"/>
              <w:bottom w:val="nil"/>
              <w:right w:val="nil"/>
            </w:tcBorders>
            <w:shd w:val="clear" w:color="auto" w:fill="auto"/>
            <w:vAlign w:val="center"/>
          </w:tcPr>
          <w:p w14:paraId="3A80F8F2"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left w:val="nil"/>
              <w:bottom w:val="nil"/>
              <w:right w:val="nil"/>
            </w:tcBorders>
            <w:shd w:val="clear" w:color="auto" w:fill="auto"/>
            <w:vAlign w:val="center"/>
          </w:tcPr>
          <w:p w14:paraId="00DB3F0C"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760E6EBF"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2BB88DB"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c>
          <w:tcPr>
            <w:tcW w:w="1131" w:type="dxa"/>
            <w:tcBorders>
              <w:top w:val="nil"/>
              <w:left w:val="nil"/>
              <w:bottom w:val="nil"/>
              <w:right w:val="nil"/>
            </w:tcBorders>
            <w:shd w:val="clear" w:color="auto" w:fill="auto"/>
            <w:vAlign w:val="center"/>
          </w:tcPr>
          <w:p w14:paraId="0F7DF521"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952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798</w:t>
            </w:r>
          </w:p>
        </w:tc>
      </w:tr>
      <w:tr w:rsidR="00785BE5" w:rsidRPr="00281428" w14:paraId="164A6D9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41EFA23"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336EBAC0"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338" w:type="dxa"/>
            <w:tcBorders>
              <w:top w:val="nil"/>
              <w:left w:val="nil"/>
              <w:bottom w:val="nil"/>
              <w:right w:val="nil"/>
            </w:tcBorders>
            <w:shd w:val="clear" w:color="auto" w:fill="auto"/>
            <w:vAlign w:val="center"/>
          </w:tcPr>
          <w:p w14:paraId="39FF2DC5"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1289" w:type="dxa"/>
            <w:gridSpan w:val="2"/>
            <w:tcBorders>
              <w:top w:val="nil"/>
              <w:left w:val="nil"/>
              <w:bottom w:val="nil"/>
              <w:right w:val="nil"/>
            </w:tcBorders>
            <w:shd w:val="clear" w:color="auto" w:fill="auto"/>
            <w:vAlign w:val="center"/>
          </w:tcPr>
          <w:p w14:paraId="0D8BA620"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488</w:t>
            </w:r>
          </w:p>
        </w:tc>
        <w:tc>
          <w:tcPr>
            <w:tcW w:w="263" w:type="dxa"/>
            <w:tcBorders>
              <w:top w:val="nil"/>
              <w:bottom w:val="nil"/>
            </w:tcBorders>
            <w:shd w:val="clear" w:color="auto" w:fill="auto"/>
            <w:vAlign w:val="center"/>
          </w:tcPr>
          <w:p w14:paraId="4170DF02"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2283136"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c>
          <w:tcPr>
            <w:tcW w:w="1131" w:type="dxa"/>
            <w:tcBorders>
              <w:top w:val="nil"/>
              <w:left w:val="nil"/>
              <w:bottom w:val="nil"/>
              <w:right w:val="nil"/>
            </w:tcBorders>
            <w:shd w:val="clear" w:color="auto" w:fill="auto"/>
            <w:vAlign w:val="center"/>
          </w:tcPr>
          <w:p w14:paraId="7AF4A42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103</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447</w:t>
            </w:r>
          </w:p>
        </w:tc>
      </w:tr>
      <w:tr w:rsidR="00785BE5" w:rsidRPr="00281428" w14:paraId="3D33DD9A" w14:textId="7777777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05A4831" w14:textId="77777777" w:rsidR="00785BE5" w:rsidRPr="005302A9" w:rsidRDefault="00785BE5">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62904495"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53A3FE97"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556AC75D"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7C6F12D3"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4C3212E6"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380BF146"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72F8A7C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9C92840" w14:textId="77777777" w:rsidR="00785BE5" w:rsidRPr="00851654" w:rsidRDefault="00785BE5">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0519E7C9"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4DDDB6E7"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592</w:t>
            </w:r>
          </w:p>
        </w:tc>
        <w:tc>
          <w:tcPr>
            <w:tcW w:w="1289" w:type="dxa"/>
            <w:gridSpan w:val="2"/>
            <w:tcBorders>
              <w:top w:val="nil"/>
              <w:bottom w:val="nil"/>
            </w:tcBorders>
            <w:shd w:val="clear" w:color="auto" w:fill="auto"/>
            <w:vAlign w:val="center"/>
          </w:tcPr>
          <w:p w14:paraId="4DBE8E30"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153</w:t>
            </w:r>
          </w:p>
        </w:tc>
        <w:tc>
          <w:tcPr>
            <w:tcW w:w="263" w:type="dxa"/>
            <w:tcBorders>
              <w:top w:val="nil"/>
              <w:bottom w:val="nil"/>
            </w:tcBorders>
            <w:shd w:val="clear" w:color="auto" w:fill="auto"/>
            <w:vAlign w:val="center"/>
          </w:tcPr>
          <w:p w14:paraId="2261B236"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18FE953D"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c>
          <w:tcPr>
            <w:tcW w:w="1131" w:type="dxa"/>
            <w:tcBorders>
              <w:top w:val="nil"/>
              <w:bottom w:val="nil"/>
            </w:tcBorders>
            <w:shd w:val="clear" w:color="auto" w:fill="auto"/>
            <w:vAlign w:val="center"/>
          </w:tcPr>
          <w:p w14:paraId="79B013E8"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2</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978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034</w:t>
            </w:r>
          </w:p>
        </w:tc>
      </w:tr>
      <w:tr w:rsidR="00785BE5" w:rsidRPr="00281428" w14:paraId="23E90A0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84AAC35"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73BD3867"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338" w:type="dxa"/>
            <w:tcBorders>
              <w:top w:val="nil"/>
              <w:bottom w:val="nil"/>
            </w:tcBorders>
            <w:shd w:val="clear" w:color="auto" w:fill="auto"/>
            <w:vAlign w:val="center"/>
          </w:tcPr>
          <w:p w14:paraId="3D29CEBD"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592</w:t>
            </w:r>
          </w:p>
        </w:tc>
        <w:tc>
          <w:tcPr>
            <w:tcW w:w="1289" w:type="dxa"/>
            <w:gridSpan w:val="2"/>
            <w:tcBorders>
              <w:top w:val="nil"/>
              <w:bottom w:val="nil"/>
            </w:tcBorders>
            <w:shd w:val="clear" w:color="auto" w:fill="auto"/>
            <w:vAlign w:val="center"/>
          </w:tcPr>
          <w:p w14:paraId="07ED044D"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153</w:t>
            </w:r>
          </w:p>
        </w:tc>
        <w:tc>
          <w:tcPr>
            <w:tcW w:w="263" w:type="dxa"/>
            <w:tcBorders>
              <w:top w:val="nil"/>
              <w:bottom w:val="nil"/>
            </w:tcBorders>
            <w:shd w:val="clear" w:color="auto" w:fill="auto"/>
            <w:vAlign w:val="center"/>
          </w:tcPr>
          <w:p w14:paraId="2ACAB712"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DDDF0C0"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c>
          <w:tcPr>
            <w:tcW w:w="1131" w:type="dxa"/>
            <w:tcBorders>
              <w:top w:val="nil"/>
              <w:left w:val="nil"/>
              <w:bottom w:val="nil"/>
              <w:right w:val="nil"/>
            </w:tcBorders>
            <w:shd w:val="clear" w:color="auto" w:fill="auto"/>
            <w:vAlign w:val="center"/>
          </w:tcPr>
          <w:p w14:paraId="0669CCF8"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110</w:t>
            </w:r>
          </w:p>
        </w:tc>
      </w:tr>
      <w:tr w:rsidR="00785BE5" w:rsidRPr="00281428" w14:paraId="7B06B4F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E338B42"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705" w:type="dxa"/>
            <w:tcBorders>
              <w:top w:val="nil"/>
              <w:bottom w:val="nil"/>
            </w:tcBorders>
            <w:shd w:val="clear" w:color="auto" w:fill="auto"/>
            <w:vAlign w:val="center"/>
          </w:tcPr>
          <w:p w14:paraId="5A724A74" w14:textId="05C31AE8"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w:t>
            </w:r>
            <w:r w:rsidR="00CE6929">
              <w:rPr>
                <w:rFonts w:ascii="Arial" w:eastAsia="Times New Roman" w:hAnsi="Arial" w:cs="Times New Roman"/>
                <w:spacing w:val="-2"/>
                <w:sz w:val="14"/>
                <w:szCs w:val="14"/>
                <w:lang w:eastAsia="pt-BR"/>
              </w:rPr>
              <w:t>g</w:t>
            </w:r>
            <w:r w:rsidRPr="00851654">
              <w:rPr>
                <w:rFonts w:ascii="Arial" w:eastAsia="Times New Roman" w:hAnsi="Arial" w:cs="Times New Roman"/>
                <w:spacing w:val="-2"/>
                <w:sz w:val="14"/>
                <w:szCs w:val="14"/>
                <w:lang w:eastAsia="pt-BR"/>
              </w:rPr>
              <w:t>]</w:t>
            </w:r>
          </w:p>
        </w:tc>
        <w:tc>
          <w:tcPr>
            <w:tcW w:w="1338" w:type="dxa"/>
            <w:tcBorders>
              <w:top w:val="nil"/>
              <w:bottom w:val="nil"/>
            </w:tcBorders>
            <w:shd w:val="clear" w:color="auto" w:fill="auto"/>
            <w:vAlign w:val="center"/>
          </w:tcPr>
          <w:p w14:paraId="6D9F180F"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0B6AE213"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E6FB8AA"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3F0C095B"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c>
          <w:tcPr>
            <w:tcW w:w="1131" w:type="dxa"/>
            <w:tcBorders>
              <w:top w:val="nil"/>
              <w:left w:val="nil"/>
              <w:bottom w:val="nil"/>
              <w:right w:val="nil"/>
            </w:tcBorders>
            <w:shd w:val="clear" w:color="auto" w:fill="auto"/>
            <w:vAlign w:val="center"/>
          </w:tcPr>
          <w:p w14:paraId="4BCFB95B"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565</w:t>
            </w:r>
          </w:p>
        </w:tc>
      </w:tr>
      <w:tr w:rsidR="00785BE5" w:rsidRPr="00281428" w14:paraId="0A6D732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B5970EC"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705" w:type="dxa"/>
            <w:tcBorders>
              <w:top w:val="nil"/>
              <w:bottom w:val="nil"/>
            </w:tcBorders>
            <w:shd w:val="clear" w:color="auto" w:fill="auto"/>
            <w:vAlign w:val="center"/>
          </w:tcPr>
          <w:p w14:paraId="414DFE0D"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338" w:type="dxa"/>
            <w:tcBorders>
              <w:top w:val="nil"/>
              <w:bottom w:val="nil"/>
            </w:tcBorders>
            <w:shd w:val="clear" w:color="auto" w:fill="auto"/>
            <w:vAlign w:val="center"/>
          </w:tcPr>
          <w:p w14:paraId="68181D46"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89" w:type="dxa"/>
            <w:gridSpan w:val="2"/>
            <w:tcBorders>
              <w:top w:val="nil"/>
              <w:bottom w:val="nil"/>
            </w:tcBorders>
            <w:shd w:val="clear" w:color="auto" w:fill="auto"/>
            <w:vAlign w:val="center"/>
          </w:tcPr>
          <w:p w14:paraId="0027FD7F"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3" w:type="dxa"/>
            <w:tcBorders>
              <w:top w:val="nil"/>
              <w:bottom w:val="nil"/>
            </w:tcBorders>
            <w:shd w:val="clear" w:color="auto" w:fill="auto"/>
            <w:vAlign w:val="center"/>
          </w:tcPr>
          <w:p w14:paraId="1934964E"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1176E56A"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c>
          <w:tcPr>
            <w:tcW w:w="1131" w:type="dxa"/>
            <w:tcBorders>
              <w:top w:val="nil"/>
              <w:left w:val="nil"/>
              <w:bottom w:val="nil"/>
              <w:right w:val="nil"/>
            </w:tcBorders>
            <w:shd w:val="clear" w:color="auto" w:fill="auto"/>
            <w:vAlign w:val="center"/>
          </w:tcPr>
          <w:p w14:paraId="194BC266"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735</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359</w:t>
            </w:r>
          </w:p>
        </w:tc>
      </w:tr>
      <w:tr w:rsidR="00785BE5" w:rsidRPr="00281428" w14:paraId="5A690145"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3E6FEEF" w14:textId="77777777" w:rsidR="00785BE5" w:rsidRPr="005302A9" w:rsidRDefault="00785BE5">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6FCECE1A"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6BC59F19"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1775726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FB297B0"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171EC3D"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1A80CDEF"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4DCB9D2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9629DCB" w14:textId="77777777" w:rsidR="00785BE5" w:rsidRPr="00851654" w:rsidRDefault="00785BE5">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705" w:type="dxa"/>
            <w:tcBorders>
              <w:top w:val="nil"/>
              <w:bottom w:val="nil"/>
            </w:tcBorders>
            <w:shd w:val="clear" w:color="auto" w:fill="auto"/>
            <w:vAlign w:val="center"/>
          </w:tcPr>
          <w:p w14:paraId="274C338A"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bottom w:val="nil"/>
            </w:tcBorders>
            <w:shd w:val="clear" w:color="auto" w:fill="auto"/>
            <w:vAlign w:val="center"/>
          </w:tcPr>
          <w:p w14:paraId="3161F0DA"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5327A4">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426</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618</w:t>
            </w:r>
          </w:p>
        </w:tc>
        <w:tc>
          <w:tcPr>
            <w:tcW w:w="1289" w:type="dxa"/>
            <w:gridSpan w:val="2"/>
            <w:tcBorders>
              <w:top w:val="nil"/>
              <w:bottom w:val="nil"/>
            </w:tcBorders>
            <w:shd w:val="clear" w:color="auto" w:fill="auto"/>
            <w:vAlign w:val="center"/>
          </w:tcPr>
          <w:p w14:paraId="1561AC1F"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5327A4">
              <w:rPr>
                <w:rFonts w:ascii="Arial" w:eastAsia="Times New Roman" w:hAnsi="Arial" w:cs="Arial"/>
                <w:b/>
                <w:bCs/>
                <w:spacing w:val="-2"/>
                <w:sz w:val="14"/>
                <w:szCs w:val="14"/>
                <w:lang w:eastAsia="pt-BR"/>
              </w:rPr>
              <w:t>2</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470</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139</w:t>
            </w:r>
          </w:p>
        </w:tc>
        <w:tc>
          <w:tcPr>
            <w:tcW w:w="263" w:type="dxa"/>
            <w:tcBorders>
              <w:top w:val="nil"/>
              <w:bottom w:val="nil"/>
            </w:tcBorders>
            <w:shd w:val="clear" w:color="auto" w:fill="auto"/>
            <w:vAlign w:val="center"/>
          </w:tcPr>
          <w:p w14:paraId="5F14DB54"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78" w:type="dxa"/>
            <w:gridSpan w:val="2"/>
            <w:tcBorders>
              <w:top w:val="nil"/>
              <w:bottom w:val="nil"/>
            </w:tcBorders>
            <w:shd w:val="clear" w:color="auto" w:fill="auto"/>
            <w:vAlign w:val="center"/>
          </w:tcPr>
          <w:p w14:paraId="3E2F1CF4"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c>
          <w:tcPr>
            <w:tcW w:w="1131" w:type="dxa"/>
            <w:tcBorders>
              <w:top w:val="nil"/>
              <w:bottom w:val="nil"/>
            </w:tcBorders>
            <w:shd w:val="clear" w:color="auto" w:fill="auto"/>
            <w:vAlign w:val="center"/>
          </w:tcPr>
          <w:p w14:paraId="307684A6"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8</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456</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140</w:t>
            </w:r>
          </w:p>
        </w:tc>
      </w:tr>
      <w:tr w:rsidR="00785BE5" w:rsidRPr="00281428" w14:paraId="218FBD97"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17581079" w14:textId="77777777" w:rsidR="00785BE5" w:rsidRPr="005302A9" w:rsidRDefault="00785BE5">
            <w:pPr>
              <w:keepNext/>
              <w:keepLines/>
              <w:spacing w:before="40" w:after="40"/>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287CB3BF"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338" w:type="dxa"/>
            <w:tcBorders>
              <w:top w:val="nil"/>
              <w:bottom w:val="nil"/>
            </w:tcBorders>
            <w:shd w:val="clear" w:color="auto" w:fill="auto"/>
            <w:vAlign w:val="center"/>
          </w:tcPr>
          <w:p w14:paraId="53086C4B"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052F6526"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06480580"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1407B6CD"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06FC8BE6"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2C59BC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26904D3" w14:textId="77777777" w:rsidR="00785BE5" w:rsidRPr="00851654" w:rsidRDefault="00785BE5">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705" w:type="dxa"/>
            <w:tcBorders>
              <w:top w:val="nil"/>
              <w:bottom w:val="nil"/>
            </w:tcBorders>
            <w:shd w:val="clear" w:color="auto" w:fill="auto"/>
            <w:vAlign w:val="center"/>
          </w:tcPr>
          <w:p w14:paraId="31EAEA9F"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338" w:type="dxa"/>
            <w:tcBorders>
              <w:top w:val="nil"/>
              <w:left w:val="nil"/>
              <w:bottom w:val="nil"/>
              <w:right w:val="nil"/>
            </w:tcBorders>
            <w:shd w:val="clear" w:color="auto" w:fill="auto"/>
            <w:vAlign w:val="center"/>
          </w:tcPr>
          <w:p w14:paraId="1C3792AE" w14:textId="77777777" w:rsidR="00785BE5" w:rsidRPr="001F164D"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9,695,421</w:t>
            </w:r>
          </w:p>
        </w:tc>
        <w:tc>
          <w:tcPr>
            <w:tcW w:w="1289" w:type="dxa"/>
            <w:gridSpan w:val="2"/>
            <w:tcBorders>
              <w:top w:val="nil"/>
              <w:left w:val="nil"/>
              <w:bottom w:val="nil"/>
              <w:right w:val="nil"/>
            </w:tcBorders>
            <w:shd w:val="clear" w:color="auto" w:fill="auto"/>
            <w:vAlign w:val="center"/>
          </w:tcPr>
          <w:p w14:paraId="1B02EA8A"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4"/>
                <w:lang w:eastAsia="pt-BR"/>
              </w:rPr>
              <w:t>9</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816</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482</w:t>
            </w:r>
          </w:p>
        </w:tc>
        <w:tc>
          <w:tcPr>
            <w:tcW w:w="263" w:type="dxa"/>
            <w:tcBorders>
              <w:top w:val="nil"/>
              <w:bottom w:val="nil"/>
            </w:tcBorders>
            <w:shd w:val="clear" w:color="auto" w:fill="auto"/>
            <w:vAlign w:val="center"/>
          </w:tcPr>
          <w:p w14:paraId="59EC74FE"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left w:val="nil"/>
              <w:bottom w:val="nil"/>
              <w:right w:val="nil"/>
            </w:tcBorders>
            <w:shd w:val="clear" w:color="auto" w:fill="auto"/>
            <w:vAlign w:val="center"/>
          </w:tcPr>
          <w:p w14:paraId="5F510B57"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9,695,421</w:t>
            </w:r>
          </w:p>
        </w:tc>
        <w:tc>
          <w:tcPr>
            <w:tcW w:w="1131" w:type="dxa"/>
            <w:tcBorders>
              <w:top w:val="nil"/>
              <w:left w:val="nil"/>
              <w:bottom w:val="nil"/>
              <w:right w:val="nil"/>
            </w:tcBorders>
            <w:shd w:val="clear" w:color="auto" w:fill="auto"/>
            <w:vAlign w:val="center"/>
          </w:tcPr>
          <w:p w14:paraId="432CE4FE"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9</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816</w:t>
            </w:r>
            <w:r>
              <w:rPr>
                <w:rFonts w:ascii="Arial" w:eastAsia="Times New Roman" w:hAnsi="Arial" w:cs="Arial"/>
                <w:b/>
                <w:bCs/>
                <w:spacing w:val="-2"/>
                <w:sz w:val="14"/>
                <w:szCs w:val="14"/>
                <w:lang w:eastAsia="pt-BR"/>
              </w:rPr>
              <w:t>,</w:t>
            </w:r>
            <w:r w:rsidRPr="00BF2AAF">
              <w:rPr>
                <w:rFonts w:ascii="Arial" w:eastAsia="Times New Roman" w:hAnsi="Arial" w:cs="Arial"/>
                <w:b/>
                <w:bCs/>
                <w:spacing w:val="-2"/>
                <w:sz w:val="14"/>
                <w:szCs w:val="14"/>
                <w:lang w:eastAsia="pt-BR"/>
              </w:rPr>
              <w:t>482</w:t>
            </w:r>
          </w:p>
        </w:tc>
      </w:tr>
      <w:tr w:rsidR="00785BE5" w:rsidRPr="00281428" w14:paraId="455A286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09A892AB"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705" w:type="dxa"/>
            <w:tcBorders>
              <w:top w:val="nil"/>
              <w:bottom w:val="nil"/>
            </w:tcBorders>
            <w:shd w:val="clear" w:color="auto" w:fill="auto"/>
            <w:vAlign w:val="center"/>
          </w:tcPr>
          <w:p w14:paraId="230F5EB9"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338" w:type="dxa"/>
            <w:tcBorders>
              <w:top w:val="nil"/>
              <w:left w:val="nil"/>
              <w:bottom w:val="nil"/>
              <w:right w:val="nil"/>
            </w:tcBorders>
            <w:shd w:val="clear" w:color="auto" w:fill="auto"/>
            <w:vAlign w:val="center"/>
          </w:tcPr>
          <w:p w14:paraId="1FB1A651"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289" w:type="dxa"/>
            <w:gridSpan w:val="2"/>
            <w:tcBorders>
              <w:top w:val="nil"/>
              <w:left w:val="nil"/>
              <w:bottom w:val="nil"/>
              <w:right w:val="nil"/>
            </w:tcBorders>
            <w:shd w:val="clear" w:color="auto" w:fill="auto"/>
            <w:vAlign w:val="center"/>
          </w:tcPr>
          <w:p w14:paraId="7D46335C"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692</w:t>
            </w:r>
          </w:p>
        </w:tc>
        <w:tc>
          <w:tcPr>
            <w:tcW w:w="263" w:type="dxa"/>
            <w:tcBorders>
              <w:top w:val="nil"/>
              <w:bottom w:val="nil"/>
            </w:tcBorders>
            <w:shd w:val="clear" w:color="auto" w:fill="auto"/>
            <w:vAlign w:val="center"/>
          </w:tcPr>
          <w:p w14:paraId="092D4AA2"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2994E638" w14:textId="77777777" w:rsidR="00785BE5" w:rsidRPr="00D3343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131" w:type="dxa"/>
            <w:tcBorders>
              <w:top w:val="nil"/>
              <w:left w:val="nil"/>
              <w:bottom w:val="nil"/>
              <w:right w:val="nil"/>
            </w:tcBorders>
            <w:shd w:val="clear" w:color="auto" w:fill="auto"/>
            <w:vAlign w:val="center"/>
          </w:tcPr>
          <w:p w14:paraId="5050C31E"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269</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692</w:t>
            </w:r>
          </w:p>
        </w:tc>
      </w:tr>
      <w:tr w:rsidR="00785BE5" w:rsidRPr="00281428" w14:paraId="5970F8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ECC8402"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705" w:type="dxa"/>
            <w:tcBorders>
              <w:top w:val="nil"/>
              <w:bottom w:val="nil"/>
            </w:tcBorders>
            <w:shd w:val="clear" w:color="auto" w:fill="auto"/>
            <w:vAlign w:val="center"/>
          </w:tcPr>
          <w:p w14:paraId="76F107FB"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17CC1E6C"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289" w:type="dxa"/>
            <w:gridSpan w:val="2"/>
            <w:tcBorders>
              <w:top w:val="nil"/>
              <w:left w:val="nil"/>
              <w:bottom w:val="nil"/>
              <w:right w:val="nil"/>
            </w:tcBorders>
            <w:shd w:val="clear" w:color="auto" w:fill="auto"/>
            <w:vAlign w:val="center"/>
          </w:tcPr>
          <w:p w14:paraId="0CB7E0FE"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805</w:t>
            </w:r>
          </w:p>
        </w:tc>
        <w:tc>
          <w:tcPr>
            <w:tcW w:w="263" w:type="dxa"/>
            <w:tcBorders>
              <w:top w:val="nil"/>
              <w:bottom w:val="nil"/>
            </w:tcBorders>
            <w:shd w:val="clear" w:color="auto" w:fill="auto"/>
            <w:vAlign w:val="center"/>
          </w:tcPr>
          <w:p w14:paraId="053F15E4"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0378658"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131" w:type="dxa"/>
            <w:tcBorders>
              <w:top w:val="nil"/>
              <w:left w:val="nil"/>
              <w:bottom w:val="nil"/>
              <w:right w:val="nil"/>
            </w:tcBorders>
            <w:shd w:val="clear" w:color="auto" w:fill="auto"/>
            <w:vAlign w:val="center"/>
          </w:tcPr>
          <w:p w14:paraId="4D29D8DA"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805</w:t>
            </w:r>
          </w:p>
        </w:tc>
      </w:tr>
      <w:tr w:rsidR="00785BE5" w:rsidRPr="00281428" w14:paraId="3E683A6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5E071B2F"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705" w:type="dxa"/>
            <w:tcBorders>
              <w:top w:val="nil"/>
              <w:bottom w:val="nil"/>
            </w:tcBorders>
            <w:shd w:val="clear" w:color="auto" w:fill="auto"/>
            <w:vAlign w:val="center"/>
          </w:tcPr>
          <w:p w14:paraId="51AAB410"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338" w:type="dxa"/>
            <w:tcBorders>
              <w:top w:val="nil"/>
              <w:left w:val="nil"/>
              <w:bottom w:val="nil"/>
              <w:right w:val="nil"/>
            </w:tcBorders>
            <w:shd w:val="clear" w:color="auto" w:fill="auto"/>
            <w:vAlign w:val="center"/>
          </w:tcPr>
          <w:p w14:paraId="1CCAA96C"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289" w:type="dxa"/>
            <w:gridSpan w:val="2"/>
            <w:tcBorders>
              <w:top w:val="nil"/>
              <w:left w:val="nil"/>
              <w:bottom w:val="nil"/>
              <w:right w:val="nil"/>
            </w:tcBorders>
            <w:shd w:val="clear" w:color="auto" w:fill="auto"/>
            <w:vAlign w:val="center"/>
          </w:tcPr>
          <w:p w14:paraId="25D26562"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836</w:t>
            </w:r>
          </w:p>
        </w:tc>
        <w:tc>
          <w:tcPr>
            <w:tcW w:w="263" w:type="dxa"/>
            <w:tcBorders>
              <w:top w:val="nil"/>
              <w:bottom w:val="nil"/>
            </w:tcBorders>
            <w:shd w:val="clear" w:color="auto" w:fill="auto"/>
            <w:vAlign w:val="center"/>
          </w:tcPr>
          <w:p w14:paraId="13882F94"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6A960579" w14:textId="77777777" w:rsidR="00785BE5" w:rsidRPr="00D3343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131" w:type="dxa"/>
            <w:tcBorders>
              <w:top w:val="nil"/>
              <w:left w:val="nil"/>
              <w:bottom w:val="nil"/>
              <w:right w:val="nil"/>
            </w:tcBorders>
            <w:shd w:val="clear" w:color="auto" w:fill="auto"/>
            <w:vAlign w:val="center"/>
          </w:tcPr>
          <w:p w14:paraId="185CE274"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446</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836</w:t>
            </w:r>
          </w:p>
        </w:tc>
      </w:tr>
      <w:tr w:rsidR="00785BE5" w:rsidRPr="00281428" w14:paraId="7D3999E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3F957F73"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705" w:type="dxa"/>
            <w:tcBorders>
              <w:top w:val="nil"/>
              <w:bottom w:val="nil"/>
            </w:tcBorders>
            <w:shd w:val="clear" w:color="auto" w:fill="auto"/>
            <w:vAlign w:val="center"/>
          </w:tcPr>
          <w:p w14:paraId="6547262F" w14:textId="77777777" w:rsidR="00785BE5" w:rsidRPr="0085165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338" w:type="dxa"/>
            <w:tcBorders>
              <w:top w:val="nil"/>
              <w:left w:val="nil"/>
              <w:bottom w:val="nil"/>
              <w:right w:val="nil"/>
            </w:tcBorders>
            <w:shd w:val="clear" w:color="auto" w:fill="auto"/>
            <w:vAlign w:val="center"/>
          </w:tcPr>
          <w:p w14:paraId="7590B6E2"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289" w:type="dxa"/>
            <w:gridSpan w:val="2"/>
            <w:tcBorders>
              <w:top w:val="nil"/>
              <w:left w:val="nil"/>
              <w:bottom w:val="nil"/>
              <w:right w:val="nil"/>
            </w:tcBorders>
            <w:shd w:val="clear" w:color="auto" w:fill="auto"/>
            <w:vAlign w:val="center"/>
          </w:tcPr>
          <w:p w14:paraId="4BC4E5D3"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(704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030)</w:t>
            </w:r>
          </w:p>
        </w:tc>
        <w:tc>
          <w:tcPr>
            <w:tcW w:w="263" w:type="dxa"/>
            <w:tcBorders>
              <w:top w:val="nil"/>
              <w:bottom w:val="nil"/>
            </w:tcBorders>
            <w:shd w:val="clear" w:color="auto" w:fill="auto"/>
            <w:vAlign w:val="center"/>
          </w:tcPr>
          <w:p w14:paraId="5BB1B4E1"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left w:val="nil"/>
              <w:bottom w:val="nil"/>
              <w:right w:val="nil"/>
            </w:tcBorders>
            <w:shd w:val="clear" w:color="auto" w:fill="auto"/>
            <w:vAlign w:val="center"/>
          </w:tcPr>
          <w:p w14:paraId="4B7504CA"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131" w:type="dxa"/>
            <w:tcBorders>
              <w:top w:val="nil"/>
              <w:left w:val="nil"/>
              <w:bottom w:val="nil"/>
              <w:right w:val="nil"/>
            </w:tcBorders>
            <w:shd w:val="clear" w:color="auto" w:fill="auto"/>
            <w:vAlign w:val="center"/>
          </w:tcPr>
          <w:p w14:paraId="6345862F"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(704</w:t>
            </w:r>
            <w:r>
              <w:rPr>
                <w:rFonts w:ascii="Arial" w:eastAsia="Times New Roman" w:hAnsi="Arial" w:cs="Arial"/>
                <w:spacing w:val="-2"/>
                <w:sz w:val="14"/>
                <w:szCs w:val="14"/>
                <w:lang w:eastAsia="pt-BR"/>
              </w:rPr>
              <w:t>,</w:t>
            </w:r>
            <w:r w:rsidRPr="00BF2AAF">
              <w:rPr>
                <w:rFonts w:ascii="Arial" w:eastAsia="Times New Roman" w:hAnsi="Arial" w:cs="Arial"/>
                <w:spacing w:val="-2"/>
                <w:sz w:val="14"/>
                <w:szCs w:val="14"/>
                <w:lang w:eastAsia="pt-BR"/>
              </w:rPr>
              <w:t>030)</w:t>
            </w:r>
          </w:p>
        </w:tc>
      </w:tr>
      <w:tr w:rsidR="00785BE5" w:rsidRPr="00281428" w14:paraId="0163D4F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25D140A7" w14:textId="77777777" w:rsidR="00785BE5" w:rsidRPr="00851654" w:rsidRDefault="00785BE5">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705" w:type="dxa"/>
            <w:tcBorders>
              <w:top w:val="nil"/>
              <w:bottom w:val="nil"/>
            </w:tcBorders>
            <w:shd w:val="clear" w:color="auto" w:fill="auto"/>
            <w:vAlign w:val="center"/>
          </w:tcPr>
          <w:p w14:paraId="67AA2081" w14:textId="77777777" w:rsidR="00785BE5" w:rsidRPr="0085165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338" w:type="dxa"/>
            <w:tcBorders>
              <w:top w:val="nil"/>
              <w:left w:val="nil"/>
              <w:bottom w:val="nil"/>
              <w:right w:val="nil"/>
            </w:tcBorders>
            <w:shd w:val="clear" w:color="auto" w:fill="auto"/>
            <w:vAlign w:val="center"/>
          </w:tcPr>
          <w:p w14:paraId="04ADECE7" w14:textId="77777777" w:rsidR="00785BE5" w:rsidRPr="001F164D"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1289" w:type="dxa"/>
            <w:gridSpan w:val="2"/>
            <w:tcBorders>
              <w:top w:val="nil"/>
              <w:left w:val="nil"/>
              <w:bottom w:val="nil"/>
              <w:right w:val="nil"/>
            </w:tcBorders>
            <w:shd w:val="clear" w:color="auto" w:fill="auto"/>
            <w:vAlign w:val="center"/>
          </w:tcPr>
          <w:p w14:paraId="1F660CF2" w14:textId="77777777" w:rsidR="00785BE5" w:rsidRPr="0064696C"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(197</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821)</w:t>
            </w:r>
          </w:p>
        </w:tc>
        <w:tc>
          <w:tcPr>
            <w:tcW w:w="263" w:type="dxa"/>
            <w:tcBorders>
              <w:top w:val="nil"/>
              <w:bottom w:val="nil"/>
            </w:tcBorders>
            <w:shd w:val="clear" w:color="auto" w:fill="auto"/>
            <w:vAlign w:val="center"/>
          </w:tcPr>
          <w:p w14:paraId="290B6E24" w14:textId="77777777" w:rsidR="00785BE5" w:rsidRPr="001F164D"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78" w:type="dxa"/>
            <w:gridSpan w:val="2"/>
            <w:tcBorders>
              <w:top w:val="nil"/>
              <w:left w:val="nil"/>
              <w:bottom w:val="nil"/>
              <w:right w:val="nil"/>
            </w:tcBorders>
            <w:shd w:val="clear" w:color="auto" w:fill="auto"/>
            <w:vAlign w:val="center"/>
          </w:tcPr>
          <w:p w14:paraId="368D26D5" w14:textId="77777777" w:rsidR="00785BE5" w:rsidRPr="00D33434"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1131" w:type="dxa"/>
            <w:tcBorders>
              <w:top w:val="nil"/>
              <w:left w:val="nil"/>
              <w:bottom w:val="nil"/>
              <w:right w:val="nil"/>
            </w:tcBorders>
            <w:shd w:val="clear" w:color="auto" w:fill="auto"/>
            <w:vAlign w:val="center"/>
          </w:tcPr>
          <w:p w14:paraId="6017855B" w14:textId="77777777" w:rsidR="00785BE5" w:rsidRPr="0064696C" w:rsidRDefault="00785BE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sidRPr="00BF2AAF">
              <w:rPr>
                <w:rFonts w:ascii="Arial" w:eastAsia="Times New Roman" w:hAnsi="Arial" w:cs="Arial"/>
                <w:spacing w:val="-2"/>
                <w:sz w:val="14"/>
                <w:szCs w:val="18"/>
                <w:lang w:eastAsia="pt-BR"/>
              </w:rPr>
              <w:t>(197</w:t>
            </w:r>
            <w:r>
              <w:rPr>
                <w:rFonts w:ascii="Arial" w:eastAsia="Times New Roman" w:hAnsi="Arial" w:cs="Arial"/>
                <w:spacing w:val="-2"/>
                <w:sz w:val="14"/>
                <w:szCs w:val="18"/>
                <w:lang w:eastAsia="pt-BR"/>
              </w:rPr>
              <w:t>,</w:t>
            </w:r>
            <w:r w:rsidRPr="00BF2AAF">
              <w:rPr>
                <w:rFonts w:ascii="Arial" w:eastAsia="Times New Roman" w:hAnsi="Arial" w:cs="Arial"/>
                <w:spacing w:val="-2"/>
                <w:sz w:val="14"/>
                <w:szCs w:val="18"/>
                <w:lang w:eastAsia="pt-BR"/>
              </w:rPr>
              <w:t>821)</w:t>
            </w:r>
          </w:p>
        </w:tc>
      </w:tr>
      <w:tr w:rsidR="00785BE5" w:rsidRPr="00281428" w14:paraId="3A86359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6DECF611" w14:textId="77777777" w:rsidR="00785BE5" w:rsidRPr="00851654" w:rsidRDefault="00785BE5">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705" w:type="dxa"/>
            <w:tcBorders>
              <w:top w:val="nil"/>
              <w:bottom w:val="nil"/>
            </w:tcBorders>
            <w:shd w:val="clear" w:color="auto" w:fill="auto"/>
            <w:vAlign w:val="center"/>
          </w:tcPr>
          <w:p w14:paraId="36A8E62F" w14:textId="77777777" w:rsidR="00785BE5" w:rsidRPr="005302A9"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338" w:type="dxa"/>
            <w:tcBorders>
              <w:top w:val="nil"/>
              <w:left w:val="nil"/>
              <w:bottom w:val="nil"/>
              <w:right w:val="nil"/>
            </w:tcBorders>
            <w:shd w:val="clear" w:color="auto" w:fill="auto"/>
            <w:vAlign w:val="center"/>
          </w:tcPr>
          <w:p w14:paraId="08936FC5"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r>
              <w:rPr>
                <w:rFonts w:ascii="Arial" w:eastAsia="Times New Roman" w:hAnsi="Arial" w:cs="Times New Roman"/>
                <w:b/>
                <w:bCs/>
                <w:spacing w:val="-2"/>
                <w:sz w:val="14"/>
                <w:szCs w:val="18"/>
                <w:lang w:eastAsia="pt-BR"/>
              </w:rPr>
              <w:t>9,695,421</w:t>
            </w:r>
          </w:p>
        </w:tc>
        <w:tc>
          <w:tcPr>
            <w:tcW w:w="1289" w:type="dxa"/>
            <w:gridSpan w:val="2"/>
            <w:tcBorders>
              <w:top w:val="nil"/>
              <w:left w:val="nil"/>
              <w:bottom w:val="nil"/>
              <w:right w:val="nil"/>
            </w:tcBorders>
            <w:shd w:val="clear" w:color="auto" w:fill="auto"/>
            <w:vAlign w:val="center"/>
          </w:tcPr>
          <w:p w14:paraId="1B33921D"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8"/>
                <w:lang w:eastAsia="pt-BR"/>
              </w:rPr>
              <w:t>9</w:t>
            </w:r>
            <w:r>
              <w:rPr>
                <w:rFonts w:ascii="Arial" w:eastAsia="Times New Roman" w:hAnsi="Arial" w:cs="Arial"/>
                <w:b/>
                <w:spacing w:val="-2"/>
                <w:sz w:val="14"/>
                <w:szCs w:val="18"/>
                <w:lang w:eastAsia="pt-BR"/>
              </w:rPr>
              <w:t>,</w:t>
            </w:r>
            <w:r w:rsidRPr="00BF2AAF">
              <w:rPr>
                <w:rFonts w:ascii="Arial" w:eastAsia="Times New Roman" w:hAnsi="Arial" w:cs="Arial"/>
                <w:b/>
                <w:spacing w:val="-2"/>
                <w:sz w:val="14"/>
                <w:szCs w:val="18"/>
                <w:lang w:eastAsia="pt-BR"/>
              </w:rPr>
              <w:t>816</w:t>
            </w:r>
            <w:r>
              <w:rPr>
                <w:rFonts w:ascii="Arial" w:eastAsia="Times New Roman" w:hAnsi="Arial" w:cs="Arial"/>
                <w:b/>
                <w:spacing w:val="-2"/>
                <w:sz w:val="14"/>
                <w:szCs w:val="18"/>
                <w:lang w:eastAsia="pt-BR"/>
              </w:rPr>
              <w:t>,</w:t>
            </w:r>
            <w:r w:rsidRPr="00BF2AAF">
              <w:rPr>
                <w:rFonts w:ascii="Arial" w:eastAsia="Times New Roman" w:hAnsi="Arial" w:cs="Arial"/>
                <w:b/>
                <w:spacing w:val="-2"/>
                <w:sz w:val="14"/>
                <w:szCs w:val="18"/>
                <w:lang w:eastAsia="pt-BR"/>
              </w:rPr>
              <w:t>482</w:t>
            </w:r>
          </w:p>
        </w:tc>
        <w:tc>
          <w:tcPr>
            <w:tcW w:w="263" w:type="dxa"/>
            <w:tcBorders>
              <w:top w:val="nil"/>
              <w:bottom w:val="nil"/>
            </w:tcBorders>
            <w:shd w:val="clear" w:color="auto" w:fill="auto"/>
            <w:vAlign w:val="center"/>
          </w:tcPr>
          <w:p w14:paraId="24792932"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78" w:type="dxa"/>
            <w:gridSpan w:val="2"/>
            <w:tcBorders>
              <w:top w:val="nil"/>
              <w:left w:val="nil"/>
              <w:bottom w:val="nil"/>
              <w:right w:val="nil"/>
            </w:tcBorders>
            <w:shd w:val="clear" w:color="auto" w:fill="auto"/>
            <w:vAlign w:val="center"/>
          </w:tcPr>
          <w:p w14:paraId="572E21A7" w14:textId="77777777" w:rsidR="00785BE5" w:rsidRPr="00D33434"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Pr>
                <w:rFonts w:ascii="Arial" w:eastAsia="Times New Roman" w:hAnsi="Arial" w:cs="Arial"/>
                <w:b/>
                <w:bCs/>
                <w:spacing w:val="-2"/>
                <w:sz w:val="14"/>
                <w:szCs w:val="14"/>
                <w:lang w:eastAsia="pt-BR"/>
              </w:rPr>
              <w:t>9,695,421</w:t>
            </w:r>
          </w:p>
        </w:tc>
        <w:tc>
          <w:tcPr>
            <w:tcW w:w="1131" w:type="dxa"/>
            <w:tcBorders>
              <w:top w:val="nil"/>
              <w:left w:val="nil"/>
              <w:bottom w:val="nil"/>
              <w:right w:val="nil"/>
            </w:tcBorders>
            <w:shd w:val="clear" w:color="auto" w:fill="auto"/>
            <w:vAlign w:val="center"/>
          </w:tcPr>
          <w:p w14:paraId="1FCDF03E"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8"/>
                <w:lang w:eastAsia="pt-BR"/>
              </w:rPr>
              <w:t>9</w:t>
            </w:r>
            <w:r>
              <w:rPr>
                <w:rFonts w:ascii="Arial" w:eastAsia="Times New Roman" w:hAnsi="Arial" w:cs="Arial"/>
                <w:b/>
                <w:bCs/>
                <w:spacing w:val="-2"/>
                <w:sz w:val="14"/>
                <w:szCs w:val="18"/>
                <w:lang w:eastAsia="pt-BR"/>
              </w:rPr>
              <w:t>,</w:t>
            </w:r>
            <w:r w:rsidRPr="00BF2AAF">
              <w:rPr>
                <w:rFonts w:ascii="Arial" w:eastAsia="Times New Roman" w:hAnsi="Arial" w:cs="Arial"/>
                <w:b/>
                <w:bCs/>
                <w:spacing w:val="-2"/>
                <w:sz w:val="14"/>
                <w:szCs w:val="18"/>
                <w:lang w:eastAsia="pt-BR"/>
              </w:rPr>
              <w:t>816</w:t>
            </w:r>
            <w:r>
              <w:rPr>
                <w:rFonts w:ascii="Arial" w:eastAsia="Times New Roman" w:hAnsi="Arial" w:cs="Arial"/>
                <w:b/>
                <w:bCs/>
                <w:spacing w:val="-2"/>
                <w:sz w:val="14"/>
                <w:szCs w:val="18"/>
                <w:lang w:eastAsia="pt-BR"/>
              </w:rPr>
              <w:t>,</w:t>
            </w:r>
            <w:r w:rsidRPr="00BF2AAF">
              <w:rPr>
                <w:rFonts w:ascii="Arial" w:eastAsia="Times New Roman" w:hAnsi="Arial" w:cs="Arial"/>
                <w:b/>
                <w:bCs/>
                <w:spacing w:val="-2"/>
                <w:sz w:val="14"/>
                <w:szCs w:val="18"/>
                <w:lang w:eastAsia="pt-BR"/>
              </w:rPr>
              <w:t>482</w:t>
            </w:r>
          </w:p>
        </w:tc>
      </w:tr>
      <w:tr w:rsidR="00785BE5" w:rsidRPr="00281428" w14:paraId="0DE45C02"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nil"/>
            </w:tcBorders>
            <w:shd w:val="clear" w:color="auto" w:fill="auto"/>
            <w:vAlign w:val="center"/>
          </w:tcPr>
          <w:p w14:paraId="49C1DA9C" w14:textId="77777777" w:rsidR="00785BE5" w:rsidRPr="005302A9" w:rsidRDefault="00785BE5">
            <w:pPr>
              <w:keepNext/>
              <w:keepLines/>
              <w:spacing w:before="40" w:after="40"/>
              <w:ind w:left="113"/>
              <w:rPr>
                <w:rFonts w:ascii="Arial" w:eastAsia="Times New Roman" w:hAnsi="Arial" w:cs="Times New Roman"/>
                <w:spacing w:val="-2"/>
                <w:sz w:val="14"/>
                <w:szCs w:val="18"/>
                <w:highlight w:val="yellow"/>
                <w:lang w:eastAsia="pt-BR"/>
              </w:rPr>
            </w:pPr>
          </w:p>
        </w:tc>
        <w:tc>
          <w:tcPr>
            <w:tcW w:w="705" w:type="dxa"/>
            <w:tcBorders>
              <w:top w:val="nil"/>
              <w:bottom w:val="nil"/>
            </w:tcBorders>
            <w:shd w:val="clear" w:color="auto" w:fill="auto"/>
            <w:vAlign w:val="center"/>
          </w:tcPr>
          <w:p w14:paraId="2CEC71D5" w14:textId="77777777" w:rsidR="00785BE5" w:rsidRPr="005302A9"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338" w:type="dxa"/>
            <w:tcBorders>
              <w:top w:val="nil"/>
              <w:bottom w:val="nil"/>
            </w:tcBorders>
            <w:shd w:val="clear" w:color="auto" w:fill="auto"/>
            <w:vAlign w:val="center"/>
          </w:tcPr>
          <w:p w14:paraId="05D7C615"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9" w:type="dxa"/>
            <w:gridSpan w:val="2"/>
            <w:tcBorders>
              <w:top w:val="nil"/>
              <w:bottom w:val="nil"/>
            </w:tcBorders>
            <w:shd w:val="clear" w:color="auto" w:fill="auto"/>
            <w:vAlign w:val="center"/>
          </w:tcPr>
          <w:p w14:paraId="41D6D4F7"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3" w:type="dxa"/>
            <w:tcBorders>
              <w:top w:val="nil"/>
              <w:bottom w:val="nil"/>
            </w:tcBorders>
            <w:shd w:val="clear" w:color="auto" w:fill="auto"/>
            <w:vAlign w:val="center"/>
          </w:tcPr>
          <w:p w14:paraId="69B4F08E" w14:textId="77777777" w:rsidR="00785BE5" w:rsidRPr="00281428"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78" w:type="dxa"/>
            <w:gridSpan w:val="2"/>
            <w:tcBorders>
              <w:top w:val="nil"/>
              <w:bottom w:val="nil"/>
            </w:tcBorders>
            <w:shd w:val="clear" w:color="auto" w:fill="auto"/>
            <w:vAlign w:val="center"/>
          </w:tcPr>
          <w:p w14:paraId="5D7D55D8" w14:textId="77777777" w:rsidR="00785BE5" w:rsidRPr="00D33434"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1" w:type="dxa"/>
            <w:tcBorders>
              <w:top w:val="nil"/>
              <w:bottom w:val="nil"/>
            </w:tcBorders>
            <w:shd w:val="clear" w:color="auto" w:fill="auto"/>
            <w:vAlign w:val="center"/>
          </w:tcPr>
          <w:p w14:paraId="2C532CA4" w14:textId="77777777" w:rsidR="00785BE5" w:rsidRPr="0064696C" w:rsidRDefault="00785BE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785BE5" w:rsidRPr="00281428" w14:paraId="6A65D92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35" w:type="dxa"/>
            <w:tcBorders>
              <w:top w:val="nil"/>
              <w:bottom w:val="single" w:sz="2" w:space="0" w:color="1F3864" w:themeColor="accent1" w:themeShade="80"/>
            </w:tcBorders>
            <w:shd w:val="clear" w:color="auto" w:fill="auto"/>
            <w:vAlign w:val="center"/>
          </w:tcPr>
          <w:p w14:paraId="0CAA76B2" w14:textId="77777777" w:rsidR="00785BE5" w:rsidRPr="00851654" w:rsidRDefault="00785BE5">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705" w:type="dxa"/>
            <w:tcBorders>
              <w:top w:val="nil"/>
              <w:bottom w:val="single" w:sz="2" w:space="0" w:color="1F3864" w:themeColor="accent1" w:themeShade="80"/>
            </w:tcBorders>
            <w:shd w:val="clear" w:color="auto" w:fill="auto"/>
            <w:vAlign w:val="center"/>
          </w:tcPr>
          <w:p w14:paraId="02984676" w14:textId="77777777" w:rsidR="00785BE5" w:rsidRPr="005302A9"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338" w:type="dxa"/>
            <w:tcBorders>
              <w:top w:val="nil"/>
              <w:bottom w:val="single" w:sz="2" w:space="0" w:color="1F3864" w:themeColor="accent1" w:themeShade="80"/>
            </w:tcBorders>
            <w:shd w:val="clear" w:color="auto" w:fill="auto"/>
            <w:vAlign w:val="center"/>
          </w:tcPr>
          <w:p w14:paraId="26D3CE66"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14,122,039</w:t>
            </w:r>
          </w:p>
        </w:tc>
        <w:tc>
          <w:tcPr>
            <w:tcW w:w="1289" w:type="dxa"/>
            <w:gridSpan w:val="2"/>
            <w:tcBorders>
              <w:top w:val="nil"/>
              <w:bottom w:val="single" w:sz="2" w:space="0" w:color="1F3864" w:themeColor="accent1" w:themeShade="80"/>
            </w:tcBorders>
            <w:shd w:val="clear" w:color="auto" w:fill="auto"/>
            <w:vAlign w:val="center"/>
          </w:tcPr>
          <w:p w14:paraId="26A1D502"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286</w:t>
            </w:r>
            <w:r>
              <w:rPr>
                <w:rFonts w:ascii="Arial" w:eastAsia="Times New Roman" w:hAnsi="Arial" w:cs="Arial"/>
                <w:b/>
                <w:spacing w:val="-2"/>
                <w:sz w:val="14"/>
                <w:szCs w:val="14"/>
                <w:lang w:eastAsia="pt-BR"/>
              </w:rPr>
              <w:t>,</w:t>
            </w:r>
            <w:r w:rsidRPr="00BF2AAF">
              <w:rPr>
                <w:rFonts w:ascii="Arial" w:eastAsia="Times New Roman" w:hAnsi="Arial" w:cs="Arial"/>
                <w:b/>
                <w:spacing w:val="-2"/>
                <w:sz w:val="14"/>
                <w:szCs w:val="14"/>
                <w:lang w:eastAsia="pt-BR"/>
              </w:rPr>
              <w:t>621</w:t>
            </w:r>
          </w:p>
        </w:tc>
        <w:tc>
          <w:tcPr>
            <w:tcW w:w="263" w:type="dxa"/>
            <w:tcBorders>
              <w:top w:val="nil"/>
              <w:bottom w:val="single" w:sz="2" w:space="0" w:color="1F3864" w:themeColor="accent1" w:themeShade="80"/>
            </w:tcBorders>
            <w:shd w:val="clear" w:color="auto" w:fill="auto"/>
            <w:vAlign w:val="center"/>
          </w:tcPr>
          <w:p w14:paraId="29756FD1" w14:textId="77777777" w:rsidR="00785BE5" w:rsidRPr="00281428"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78" w:type="dxa"/>
            <w:gridSpan w:val="2"/>
            <w:tcBorders>
              <w:top w:val="nil"/>
              <w:bottom w:val="single" w:sz="2" w:space="0" w:color="1F3864" w:themeColor="accent1" w:themeShade="80"/>
            </w:tcBorders>
            <w:shd w:val="clear" w:color="auto" w:fill="auto"/>
            <w:vAlign w:val="center"/>
          </w:tcPr>
          <w:p w14:paraId="194F6059" w14:textId="77777777" w:rsidR="00785BE5" w:rsidRPr="003A0C4D" w:rsidRDefault="00785BE5">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Pr>
                <w:rFonts w:ascii="Arial" w:eastAsia="Times New Roman" w:hAnsi="Arial" w:cs="Arial"/>
                <w:b/>
                <w:spacing w:val="-2"/>
                <w:sz w:val="14"/>
                <w:szCs w:val="14"/>
                <w:lang w:eastAsia="pt-BR"/>
              </w:rPr>
              <w:t>21,615,587</w:t>
            </w:r>
          </w:p>
        </w:tc>
        <w:tc>
          <w:tcPr>
            <w:tcW w:w="1131" w:type="dxa"/>
            <w:tcBorders>
              <w:top w:val="nil"/>
              <w:bottom w:val="single" w:sz="2" w:space="0" w:color="1F3864" w:themeColor="accent1" w:themeShade="80"/>
            </w:tcBorders>
            <w:shd w:val="clear" w:color="auto" w:fill="auto"/>
            <w:vAlign w:val="center"/>
          </w:tcPr>
          <w:p w14:paraId="152FEB62" w14:textId="77777777" w:rsidR="00785BE5" w:rsidRPr="0064696C" w:rsidRDefault="00785BE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hAnsi="Arial" w:cs="Arial"/>
                <w:b/>
                <w:bCs/>
                <w:color w:val="000000"/>
                <w:sz w:val="14"/>
                <w:szCs w:val="14"/>
              </w:rPr>
              <w:t>18</w:t>
            </w:r>
            <w:r>
              <w:rPr>
                <w:rFonts w:ascii="Arial" w:hAnsi="Arial" w:cs="Arial"/>
                <w:b/>
                <w:bCs/>
                <w:color w:val="000000"/>
                <w:sz w:val="14"/>
                <w:szCs w:val="14"/>
              </w:rPr>
              <w:t>,</w:t>
            </w:r>
            <w:r w:rsidRPr="00BF2AAF">
              <w:rPr>
                <w:rFonts w:ascii="Arial" w:hAnsi="Arial" w:cs="Arial"/>
                <w:b/>
                <w:bCs/>
                <w:color w:val="000000"/>
                <w:sz w:val="14"/>
                <w:szCs w:val="14"/>
              </w:rPr>
              <w:t>272</w:t>
            </w:r>
            <w:r>
              <w:rPr>
                <w:rFonts w:ascii="Arial" w:hAnsi="Arial" w:cs="Arial"/>
                <w:b/>
                <w:bCs/>
                <w:color w:val="000000"/>
                <w:sz w:val="14"/>
                <w:szCs w:val="14"/>
              </w:rPr>
              <w:t>,</w:t>
            </w:r>
            <w:r w:rsidRPr="00BF2AAF">
              <w:rPr>
                <w:rFonts w:ascii="Arial" w:hAnsi="Arial" w:cs="Arial"/>
                <w:b/>
                <w:bCs/>
                <w:color w:val="000000"/>
                <w:sz w:val="14"/>
                <w:szCs w:val="14"/>
              </w:rPr>
              <w:t>622</w:t>
            </w:r>
          </w:p>
        </w:tc>
      </w:tr>
    </w:tbl>
    <w:p w14:paraId="48D92CA4" w14:textId="6048A31A" w:rsidR="00634647" w:rsidRPr="00634647" w:rsidRDefault="00785BE5" w:rsidP="00634647">
      <w:pPr>
        <w:rPr>
          <w:lang w:val="en-US"/>
        </w:rPr>
      </w:pPr>
      <w:r w:rsidRPr="00C929DB">
        <w:rPr>
          <w:rFonts w:ascii="Arial" w:hAnsi="Arial" w:cs="Arial"/>
          <w:sz w:val="14"/>
          <w:szCs w:val="14"/>
          <w:lang w:val="en-US"/>
        </w:rPr>
        <w:t>The explanatory notes are an integral part of the financial statement</w:t>
      </w:r>
      <w:r>
        <w:rPr>
          <w:rFonts w:ascii="Arial" w:hAnsi="Arial" w:cs="Arial"/>
          <w:sz w:val="14"/>
          <w:szCs w:val="14"/>
          <w:lang w:val="en-US"/>
        </w:rPr>
        <w:t>.</w:t>
      </w:r>
    </w:p>
    <w:p w14:paraId="383464A2" w14:textId="77777777" w:rsidR="0004123C" w:rsidRDefault="0004123C" w:rsidP="008E63BC">
      <w:pPr>
        <w:pStyle w:val="Ttulo1"/>
        <w:spacing w:line="259" w:lineRule="auto"/>
        <w:jc w:val="both"/>
        <w:rPr>
          <w:rFonts w:ascii="Arial" w:hAnsi="Arial" w:cs="Arial"/>
          <w:b/>
          <w:color w:val="1F3864" w:themeColor="accent1" w:themeShade="80"/>
          <w:sz w:val="20"/>
          <w:lang w:val="en-US"/>
        </w:rPr>
      </w:pPr>
      <w:bookmarkStart w:id="13" w:name="_Toc149573381"/>
      <w:bookmarkStart w:id="14" w:name="_Toc157446708"/>
      <w:r>
        <w:rPr>
          <w:rFonts w:ascii="Arial" w:hAnsi="Arial" w:cs="Arial"/>
          <w:b/>
          <w:color w:val="1F3864" w:themeColor="accent1" w:themeShade="80"/>
          <w:sz w:val="20"/>
          <w:lang w:val="en-US"/>
        </w:rPr>
        <w:br w:type="page"/>
      </w:r>
    </w:p>
    <w:p w14:paraId="7B181073" w14:textId="1D509A19"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15" w:name="_Toc190680618"/>
      <w:r w:rsidRPr="00432934">
        <w:rPr>
          <w:rFonts w:ascii="Arial" w:hAnsi="Arial" w:cs="Arial"/>
          <w:b/>
          <w:color w:val="1F3864" w:themeColor="accent1" w:themeShade="80"/>
          <w:sz w:val="20"/>
          <w:lang w:val="en-US"/>
        </w:rPr>
        <w:lastRenderedPageBreak/>
        <w:t>STATEMENT OF CASH FLOWS</w:t>
      </w:r>
      <w:bookmarkEnd w:id="13"/>
      <w:bookmarkEnd w:id="14"/>
      <w:bookmarkEnd w:id="15"/>
    </w:p>
    <w:p w14:paraId="7F8E210B" w14:textId="77777777" w:rsidR="00FE3BD4" w:rsidRDefault="00FE3BD4" w:rsidP="00FE3BD4">
      <w:pPr>
        <w:pStyle w:val="01-TtulodeNota"/>
        <w:spacing w:before="0" w:after="0"/>
        <w:jc w:val="right"/>
        <w:rPr>
          <w:sz w:val="12"/>
          <w:szCs w:val="12"/>
          <w:lang w:val="en-US"/>
        </w:rPr>
      </w:pPr>
      <w:r w:rsidRPr="00BD6C7E">
        <w:rPr>
          <w:sz w:val="12"/>
          <w:szCs w:val="12"/>
          <w:lang w:val="en-US"/>
        </w:rPr>
        <w:t>R$ thousand</w:t>
      </w:r>
    </w:p>
    <w:tbl>
      <w:tblPr>
        <w:tblStyle w:val="TabeladeLista6Colorida-nfase5"/>
        <w:tblW w:w="9640" w:type="dxa"/>
        <w:jc w:val="center"/>
        <w:tblLayout w:type="fixed"/>
        <w:tblLook w:val="04A0" w:firstRow="1" w:lastRow="0" w:firstColumn="1" w:lastColumn="0" w:noHBand="0" w:noVBand="1"/>
      </w:tblPr>
      <w:tblGrid>
        <w:gridCol w:w="3261"/>
        <w:gridCol w:w="567"/>
        <w:gridCol w:w="1496"/>
        <w:gridCol w:w="1339"/>
        <w:gridCol w:w="280"/>
        <w:gridCol w:w="1280"/>
        <w:gridCol w:w="1417"/>
      </w:tblGrid>
      <w:tr w:rsidR="00FE3BD4" w14:paraId="243AF2EA" w14:textId="77777777" w:rsidTr="00D962E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1F3864" w:themeColor="accent1" w:themeShade="80"/>
              <w:bottom w:val="nil"/>
            </w:tcBorders>
            <w:shd w:val="clear" w:color="auto" w:fill="auto"/>
            <w:vAlign w:val="center"/>
          </w:tcPr>
          <w:p w14:paraId="0A96B290" w14:textId="77777777" w:rsidR="00FE3BD4" w:rsidRPr="00BD6C7E" w:rsidRDefault="00FE3BD4" w:rsidP="00FE3BD4">
            <w:pPr>
              <w:jc w:val="center"/>
              <w:rPr>
                <w:rFonts w:cs="Arial"/>
                <w:b w:val="0"/>
                <w:szCs w:val="18"/>
                <w:lang w:val="en-US"/>
              </w:rPr>
            </w:pPr>
          </w:p>
        </w:tc>
        <w:tc>
          <w:tcPr>
            <w:tcW w:w="567" w:type="dxa"/>
            <w:tcBorders>
              <w:top w:val="single" w:sz="2" w:space="0" w:color="1F3864" w:themeColor="accent1" w:themeShade="80"/>
              <w:bottom w:val="nil"/>
            </w:tcBorders>
            <w:shd w:val="clear" w:color="auto" w:fill="auto"/>
            <w:vAlign w:val="center"/>
          </w:tcPr>
          <w:p w14:paraId="524CF2B0" w14:textId="77777777" w:rsidR="00FE3BD4" w:rsidRPr="00BD6C7E" w:rsidRDefault="00FE3BD4" w:rsidP="00FE3BD4">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6D072280" w14:textId="77777777" w:rsidR="00FE3BD4" w:rsidRPr="00C54B13" w:rsidRDefault="00FE3BD4" w:rsidP="00FE3BD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Parent</w:t>
            </w:r>
          </w:p>
        </w:tc>
        <w:tc>
          <w:tcPr>
            <w:tcW w:w="280" w:type="dxa"/>
            <w:tcBorders>
              <w:top w:val="single" w:sz="2" w:space="0" w:color="1F3864" w:themeColor="accent1" w:themeShade="80"/>
              <w:bottom w:val="nil"/>
            </w:tcBorders>
            <w:shd w:val="clear" w:color="auto" w:fill="auto"/>
            <w:vAlign w:val="center"/>
          </w:tcPr>
          <w:p w14:paraId="45C37D2A" w14:textId="77777777" w:rsidR="00FE3BD4" w:rsidRPr="001D6BE8" w:rsidRDefault="00FE3BD4" w:rsidP="00FE3BD4">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697" w:type="dxa"/>
            <w:gridSpan w:val="2"/>
            <w:tcBorders>
              <w:top w:val="single" w:sz="2" w:space="0" w:color="1F3864" w:themeColor="accent1" w:themeShade="80"/>
              <w:bottom w:val="single" w:sz="2" w:space="0" w:color="1F3864" w:themeColor="accent1" w:themeShade="80"/>
            </w:tcBorders>
            <w:shd w:val="clear" w:color="auto" w:fill="auto"/>
            <w:vAlign w:val="center"/>
          </w:tcPr>
          <w:p w14:paraId="77A5870D" w14:textId="77777777" w:rsidR="00FE3BD4" w:rsidRPr="00C54B13" w:rsidRDefault="00FE3BD4" w:rsidP="00FE3BD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Consolidated</w:t>
            </w:r>
          </w:p>
        </w:tc>
      </w:tr>
      <w:tr w:rsidR="00FE3BD4" w:rsidRPr="001D6BE8" w14:paraId="7A7739EF" w14:textId="77777777" w:rsidTr="00D962E7">
        <w:trPr>
          <w:cnfStyle w:val="000000100000" w:firstRow="0" w:lastRow="0" w:firstColumn="0" w:lastColumn="0" w:oddVBand="0" w:evenVBand="0" w:oddHBand="1" w:evenHBand="0" w:firstRowFirstColumn="0" w:firstRowLastColumn="0" w:lastRowFirstColumn="0" w:lastRowLastColumn="0"/>
          <w:trHeight w:hRule="exact" w:val="326"/>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2" w:space="0" w:color="1F3864" w:themeColor="accent1" w:themeShade="80"/>
            </w:tcBorders>
            <w:shd w:val="clear" w:color="auto" w:fill="auto"/>
            <w:vAlign w:val="center"/>
          </w:tcPr>
          <w:p w14:paraId="0485B1C9" w14:textId="77777777" w:rsidR="00FE3BD4" w:rsidRPr="001D6BE8" w:rsidRDefault="00FE3BD4" w:rsidP="00FE3BD4">
            <w:pPr>
              <w:pStyle w:val="08-Tabelageral"/>
              <w:jc w:val="left"/>
              <w:rPr>
                <w:rFonts w:cs="Arial"/>
                <w:b w:val="0"/>
              </w:rPr>
            </w:pPr>
          </w:p>
        </w:tc>
        <w:tc>
          <w:tcPr>
            <w:tcW w:w="567" w:type="dxa"/>
            <w:tcBorders>
              <w:top w:val="nil"/>
              <w:bottom w:val="single" w:sz="2" w:space="0" w:color="1F3864" w:themeColor="accent1" w:themeShade="80"/>
            </w:tcBorders>
            <w:shd w:val="clear" w:color="auto" w:fill="auto"/>
            <w:vAlign w:val="center"/>
          </w:tcPr>
          <w:p w14:paraId="18021708" w14:textId="77777777" w:rsidR="00FE3BD4" w:rsidRPr="001D6BE8"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496" w:type="dxa"/>
            <w:tcBorders>
              <w:top w:val="single" w:sz="2" w:space="0" w:color="1F3864" w:themeColor="accent1" w:themeShade="80"/>
              <w:bottom w:val="single" w:sz="2" w:space="0" w:color="1F3864" w:themeColor="accent1" w:themeShade="80"/>
            </w:tcBorders>
            <w:shd w:val="clear" w:color="auto" w:fill="auto"/>
            <w:vAlign w:val="center"/>
          </w:tcPr>
          <w:p w14:paraId="233A4B6D" w14:textId="77777777" w:rsidR="00FE3BD4" w:rsidRPr="001D6BE8"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E27EC">
              <w:rPr>
                <w:b/>
                <w:bCs/>
                <w:szCs w:val="14"/>
              </w:rPr>
              <w:t>202</w:t>
            </w:r>
            <w:r>
              <w:rPr>
                <w:b/>
                <w:bCs/>
                <w:szCs w:val="14"/>
              </w:rPr>
              <w:t>4</w:t>
            </w:r>
          </w:p>
        </w:tc>
        <w:tc>
          <w:tcPr>
            <w:tcW w:w="1339" w:type="dxa"/>
            <w:tcBorders>
              <w:top w:val="single" w:sz="2" w:space="0" w:color="1F3864" w:themeColor="accent1" w:themeShade="80"/>
              <w:bottom w:val="single" w:sz="2" w:space="0" w:color="1F3864" w:themeColor="accent1" w:themeShade="80"/>
            </w:tcBorders>
            <w:shd w:val="clear" w:color="auto" w:fill="auto"/>
            <w:vAlign w:val="center"/>
          </w:tcPr>
          <w:p w14:paraId="0E6C4CF2" w14:textId="77777777" w:rsidR="00FE3BD4" w:rsidRPr="00DF3F38"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E27EC">
              <w:rPr>
                <w:b/>
                <w:bCs/>
                <w:szCs w:val="14"/>
              </w:rPr>
              <w:t>2023</w:t>
            </w:r>
          </w:p>
        </w:tc>
        <w:tc>
          <w:tcPr>
            <w:tcW w:w="280" w:type="dxa"/>
            <w:tcBorders>
              <w:top w:val="nil"/>
              <w:bottom w:val="single" w:sz="2" w:space="0" w:color="1F3864" w:themeColor="accent1" w:themeShade="80"/>
            </w:tcBorders>
            <w:shd w:val="clear" w:color="auto" w:fill="auto"/>
            <w:vAlign w:val="center"/>
          </w:tcPr>
          <w:p w14:paraId="6BD0AA2A" w14:textId="77777777" w:rsidR="00FE3BD4" w:rsidRPr="001D6BE8"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80" w:type="dxa"/>
            <w:tcBorders>
              <w:top w:val="single" w:sz="2" w:space="0" w:color="1F3864" w:themeColor="accent1" w:themeShade="80"/>
              <w:bottom w:val="single" w:sz="2" w:space="0" w:color="1F3864" w:themeColor="accent1" w:themeShade="80"/>
            </w:tcBorders>
            <w:shd w:val="clear" w:color="auto" w:fill="auto"/>
            <w:vAlign w:val="center"/>
          </w:tcPr>
          <w:p w14:paraId="3F1D0DAF" w14:textId="77777777" w:rsidR="00FE3BD4" w:rsidRPr="00C54B1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4E27EC">
              <w:rPr>
                <w:b/>
                <w:bCs/>
                <w:szCs w:val="14"/>
              </w:rPr>
              <w:t>202</w:t>
            </w:r>
            <w:r>
              <w:rPr>
                <w:b/>
                <w:bCs/>
                <w:szCs w:val="14"/>
              </w:rPr>
              <w:t>4</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58A2D94D" w14:textId="77777777" w:rsidR="00FE3BD4" w:rsidRPr="00C54B1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4E27EC">
              <w:rPr>
                <w:b/>
                <w:bCs/>
                <w:szCs w:val="14"/>
              </w:rPr>
              <w:t>2023</w:t>
            </w:r>
          </w:p>
        </w:tc>
      </w:tr>
      <w:tr w:rsidR="00FE3BD4" w:rsidRPr="001A7DD8" w14:paraId="63CE163B"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1F3864" w:themeColor="accent1" w:themeShade="80"/>
              <w:bottom w:val="nil"/>
            </w:tcBorders>
            <w:shd w:val="clear" w:color="auto" w:fill="FFFFFF" w:themeFill="background1"/>
            <w:vAlign w:val="center"/>
          </w:tcPr>
          <w:p w14:paraId="4AF6734B" w14:textId="77777777" w:rsidR="00FE3BD4" w:rsidRPr="00BD6C7E" w:rsidRDefault="00FE3BD4" w:rsidP="00FE3BD4">
            <w:pPr>
              <w:pStyle w:val="08-Tabelageral"/>
              <w:jc w:val="left"/>
              <w:rPr>
                <w:b w:val="0"/>
                <w:lang w:val="en-US"/>
              </w:rPr>
            </w:pPr>
            <w:r w:rsidRPr="00BD6C7E">
              <w:rPr>
                <w:lang w:val="en-US"/>
              </w:rPr>
              <w:t>Cash flow from operating activities</w:t>
            </w:r>
          </w:p>
        </w:tc>
        <w:tc>
          <w:tcPr>
            <w:tcW w:w="567" w:type="dxa"/>
            <w:tcBorders>
              <w:top w:val="single" w:sz="2" w:space="0" w:color="1F3864" w:themeColor="accent1" w:themeShade="80"/>
              <w:bottom w:val="nil"/>
            </w:tcBorders>
            <w:shd w:val="clear" w:color="auto" w:fill="FFFFFF" w:themeFill="background1"/>
            <w:vAlign w:val="center"/>
          </w:tcPr>
          <w:p w14:paraId="6BB1EC9E" w14:textId="77777777" w:rsidR="00FE3BD4" w:rsidRPr="00BD6C7E"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496" w:type="dxa"/>
            <w:tcBorders>
              <w:top w:val="single" w:sz="2" w:space="0" w:color="1F3864" w:themeColor="accent1" w:themeShade="80"/>
              <w:bottom w:val="nil"/>
            </w:tcBorders>
            <w:shd w:val="clear" w:color="auto" w:fill="FFFFFF" w:themeFill="background1"/>
            <w:vAlign w:val="center"/>
          </w:tcPr>
          <w:p w14:paraId="23CF6A94" w14:textId="77777777" w:rsidR="00FE3BD4" w:rsidRPr="00BD6C7E"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39" w:type="dxa"/>
            <w:tcBorders>
              <w:top w:val="single" w:sz="2" w:space="0" w:color="1F3864" w:themeColor="accent1" w:themeShade="80"/>
              <w:bottom w:val="nil"/>
            </w:tcBorders>
            <w:shd w:val="clear" w:color="auto" w:fill="FFFFFF" w:themeFill="background1"/>
            <w:vAlign w:val="center"/>
          </w:tcPr>
          <w:p w14:paraId="673868EF" w14:textId="77777777" w:rsidR="00FE3BD4" w:rsidRPr="00BD6C7E"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80" w:type="dxa"/>
            <w:tcBorders>
              <w:top w:val="nil"/>
              <w:bottom w:val="nil"/>
            </w:tcBorders>
            <w:shd w:val="clear" w:color="auto" w:fill="FFFFFF" w:themeFill="background1"/>
            <w:vAlign w:val="center"/>
          </w:tcPr>
          <w:p w14:paraId="7A1E895D" w14:textId="77777777" w:rsidR="00FE3BD4" w:rsidRPr="00BD6C7E"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80" w:type="dxa"/>
            <w:tcBorders>
              <w:top w:val="single" w:sz="2" w:space="0" w:color="1F3864" w:themeColor="accent1" w:themeShade="80"/>
              <w:bottom w:val="nil"/>
            </w:tcBorders>
            <w:shd w:val="clear" w:color="auto" w:fill="FFFFFF" w:themeFill="background1"/>
            <w:vAlign w:val="center"/>
          </w:tcPr>
          <w:p w14:paraId="0088AE40" w14:textId="77777777" w:rsidR="00FE3BD4" w:rsidRPr="00BD6C7E"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7" w:type="dxa"/>
            <w:tcBorders>
              <w:top w:val="single" w:sz="2" w:space="0" w:color="1F3864" w:themeColor="accent1" w:themeShade="80"/>
              <w:bottom w:val="nil"/>
            </w:tcBorders>
            <w:shd w:val="clear" w:color="auto" w:fill="FFFFFF" w:themeFill="background1"/>
            <w:vAlign w:val="center"/>
          </w:tcPr>
          <w:p w14:paraId="16916B4D" w14:textId="77777777" w:rsidR="00FE3BD4" w:rsidRPr="00BD6C7E"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FE3BD4" w:rsidRPr="00351E1D" w14:paraId="15C5451E"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7437AFAF" w14:textId="77777777" w:rsidR="00FE3BD4" w:rsidRPr="00351E1D" w:rsidRDefault="00FE3BD4" w:rsidP="00FE3BD4">
            <w:pPr>
              <w:pStyle w:val="08-Tabelageral"/>
              <w:ind w:left="113"/>
              <w:jc w:val="left"/>
            </w:pPr>
            <w:r w:rsidRPr="004F2E05">
              <w:rPr>
                <w:bCs w:val="0"/>
              </w:rPr>
              <w:t xml:space="preserve">Net </w:t>
            </w:r>
            <w:proofErr w:type="spellStart"/>
            <w:r w:rsidRPr="004F2E05">
              <w:rPr>
                <w:bCs w:val="0"/>
              </w:rPr>
              <w:t>profit</w:t>
            </w:r>
            <w:proofErr w:type="spellEnd"/>
            <w:r w:rsidRPr="00E03629">
              <w:t xml:space="preserve"> </w:t>
            </w:r>
          </w:p>
        </w:tc>
        <w:tc>
          <w:tcPr>
            <w:tcW w:w="567" w:type="dxa"/>
            <w:tcBorders>
              <w:top w:val="nil"/>
              <w:bottom w:val="nil"/>
            </w:tcBorders>
            <w:vAlign w:val="center"/>
          </w:tcPr>
          <w:p w14:paraId="175BB16E" w14:textId="77777777" w:rsidR="00FE3BD4" w:rsidRPr="00351E1D"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496" w:type="dxa"/>
            <w:tcBorders>
              <w:top w:val="nil"/>
              <w:bottom w:val="nil"/>
            </w:tcBorders>
            <w:shd w:val="clear" w:color="auto" w:fill="auto"/>
          </w:tcPr>
          <w:p w14:paraId="33B28F52" w14:textId="77777777" w:rsidR="00FE3BD4" w:rsidRPr="00E426A7"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E426A7">
              <w:rPr>
                <w:b/>
                <w:bCs/>
              </w:rPr>
              <w:t>8</w:t>
            </w:r>
            <w:r>
              <w:rPr>
                <w:b/>
                <w:bCs/>
              </w:rPr>
              <w:t>,</w:t>
            </w:r>
            <w:r w:rsidRPr="00E426A7">
              <w:rPr>
                <w:b/>
                <w:bCs/>
              </w:rPr>
              <w:t>703</w:t>
            </w:r>
            <w:r>
              <w:rPr>
                <w:b/>
                <w:bCs/>
              </w:rPr>
              <w:t>,</w:t>
            </w:r>
            <w:r w:rsidRPr="00E426A7">
              <w:rPr>
                <w:b/>
                <w:bCs/>
              </w:rPr>
              <w:t>353</w:t>
            </w:r>
          </w:p>
        </w:tc>
        <w:tc>
          <w:tcPr>
            <w:tcW w:w="1339" w:type="dxa"/>
            <w:tcBorders>
              <w:top w:val="nil"/>
              <w:bottom w:val="nil"/>
            </w:tcBorders>
            <w:shd w:val="clear" w:color="auto" w:fill="auto"/>
          </w:tcPr>
          <w:p w14:paraId="643105C4" w14:textId="77777777" w:rsidR="00FE3BD4" w:rsidRPr="00E426A7"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E426A7">
              <w:rPr>
                <w:b/>
                <w:bCs/>
              </w:rPr>
              <w:t>7</w:t>
            </w:r>
            <w:r>
              <w:rPr>
                <w:b/>
                <w:bCs/>
              </w:rPr>
              <w:t>,</w:t>
            </w:r>
            <w:r w:rsidRPr="00E426A7">
              <w:rPr>
                <w:b/>
                <w:bCs/>
              </w:rPr>
              <w:t>947</w:t>
            </w:r>
            <w:r>
              <w:rPr>
                <w:b/>
                <w:bCs/>
              </w:rPr>
              <w:t>,</w:t>
            </w:r>
            <w:r w:rsidRPr="00E426A7">
              <w:rPr>
                <w:b/>
                <w:bCs/>
              </w:rPr>
              <w:t>203</w:t>
            </w:r>
          </w:p>
        </w:tc>
        <w:tc>
          <w:tcPr>
            <w:tcW w:w="280" w:type="dxa"/>
            <w:tcBorders>
              <w:top w:val="nil"/>
              <w:bottom w:val="nil"/>
            </w:tcBorders>
            <w:shd w:val="clear" w:color="auto" w:fill="auto"/>
          </w:tcPr>
          <w:p w14:paraId="47B72D42" w14:textId="77777777" w:rsidR="00FE3BD4" w:rsidRPr="00E426A7"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80" w:type="dxa"/>
            <w:tcBorders>
              <w:top w:val="nil"/>
              <w:bottom w:val="nil"/>
            </w:tcBorders>
            <w:shd w:val="clear" w:color="auto" w:fill="auto"/>
          </w:tcPr>
          <w:p w14:paraId="59501CE2" w14:textId="77777777" w:rsidR="00FE3BD4" w:rsidRPr="00E426A7"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E426A7">
              <w:rPr>
                <w:b/>
                <w:bCs/>
              </w:rPr>
              <w:t>8</w:t>
            </w:r>
            <w:r>
              <w:rPr>
                <w:b/>
                <w:bCs/>
              </w:rPr>
              <w:t>,</w:t>
            </w:r>
            <w:r w:rsidRPr="00E426A7">
              <w:rPr>
                <w:b/>
                <w:bCs/>
              </w:rPr>
              <w:t>703</w:t>
            </w:r>
            <w:r>
              <w:rPr>
                <w:b/>
                <w:bCs/>
              </w:rPr>
              <w:t>,</w:t>
            </w:r>
            <w:r w:rsidRPr="00E426A7">
              <w:rPr>
                <w:b/>
                <w:bCs/>
              </w:rPr>
              <w:t>353</w:t>
            </w:r>
          </w:p>
        </w:tc>
        <w:tc>
          <w:tcPr>
            <w:tcW w:w="1417" w:type="dxa"/>
            <w:tcBorders>
              <w:top w:val="nil"/>
              <w:bottom w:val="nil"/>
            </w:tcBorders>
            <w:shd w:val="clear" w:color="auto" w:fill="auto"/>
          </w:tcPr>
          <w:p w14:paraId="7170F71F" w14:textId="77777777" w:rsidR="00FE3BD4" w:rsidRPr="00E426A7"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E426A7">
              <w:rPr>
                <w:b/>
                <w:bCs/>
              </w:rPr>
              <w:t>7</w:t>
            </w:r>
            <w:r>
              <w:rPr>
                <w:b/>
                <w:bCs/>
              </w:rPr>
              <w:t>,</w:t>
            </w:r>
            <w:r w:rsidRPr="00E426A7">
              <w:rPr>
                <w:b/>
                <w:bCs/>
              </w:rPr>
              <w:t>947</w:t>
            </w:r>
            <w:r>
              <w:rPr>
                <w:b/>
                <w:bCs/>
              </w:rPr>
              <w:t>,</w:t>
            </w:r>
            <w:r w:rsidRPr="00E426A7">
              <w:rPr>
                <w:b/>
                <w:bCs/>
              </w:rPr>
              <w:t>203</w:t>
            </w:r>
          </w:p>
        </w:tc>
      </w:tr>
      <w:tr w:rsidR="00FE3BD4" w:rsidRPr="004F2E05" w14:paraId="749B8CE6"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4BF95641" w14:textId="77777777" w:rsidR="00FE3BD4" w:rsidRPr="004F2E05" w:rsidRDefault="00FE3BD4" w:rsidP="00FE3BD4">
            <w:pPr>
              <w:pStyle w:val="08-Tabelageral"/>
              <w:ind w:left="113"/>
              <w:jc w:val="left"/>
              <w:rPr>
                <w:bCs w:val="0"/>
              </w:rPr>
            </w:pPr>
            <w:proofErr w:type="spellStart"/>
            <w:r w:rsidRPr="004F2E05">
              <w:rPr>
                <w:bCs w:val="0"/>
              </w:rPr>
              <w:t>Adjustment</w:t>
            </w:r>
            <w:proofErr w:type="spellEnd"/>
            <w:r w:rsidRPr="004F2E05">
              <w:rPr>
                <w:bCs w:val="0"/>
              </w:rPr>
              <w:t xml:space="preserve"> </w:t>
            </w:r>
            <w:proofErr w:type="spellStart"/>
            <w:r w:rsidRPr="004F2E05">
              <w:rPr>
                <w:bCs w:val="0"/>
              </w:rPr>
              <w:t>to</w:t>
            </w:r>
            <w:proofErr w:type="spellEnd"/>
            <w:r w:rsidRPr="004F2E05">
              <w:rPr>
                <w:bCs w:val="0"/>
              </w:rPr>
              <w:t xml:space="preserve"> net </w:t>
            </w:r>
            <w:proofErr w:type="spellStart"/>
            <w:r w:rsidRPr="004F2E05">
              <w:rPr>
                <w:bCs w:val="0"/>
              </w:rPr>
              <w:t>profit</w:t>
            </w:r>
            <w:proofErr w:type="spellEnd"/>
            <w:r w:rsidRPr="004F2E05">
              <w:rPr>
                <w:bCs w:val="0"/>
              </w:rPr>
              <w:t>:</w:t>
            </w:r>
          </w:p>
        </w:tc>
        <w:tc>
          <w:tcPr>
            <w:tcW w:w="567" w:type="dxa"/>
            <w:tcBorders>
              <w:top w:val="nil"/>
              <w:bottom w:val="nil"/>
            </w:tcBorders>
            <w:shd w:val="clear" w:color="auto" w:fill="FFFFFF" w:themeFill="background1"/>
            <w:vAlign w:val="center"/>
          </w:tcPr>
          <w:p w14:paraId="376EEAF5" w14:textId="77777777" w:rsidR="00FE3BD4" w:rsidRPr="004F2E05" w:rsidRDefault="00FE3BD4" w:rsidP="00FE3BD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496" w:type="dxa"/>
            <w:tcBorders>
              <w:top w:val="nil"/>
              <w:bottom w:val="nil"/>
            </w:tcBorders>
            <w:shd w:val="clear" w:color="auto" w:fill="auto"/>
            <w:vAlign w:val="center"/>
          </w:tcPr>
          <w:p w14:paraId="35388FB2" w14:textId="77777777" w:rsidR="00FE3BD4" w:rsidRPr="004F2E05" w:rsidRDefault="00FE3BD4" w:rsidP="00FE3BD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339" w:type="dxa"/>
            <w:tcBorders>
              <w:top w:val="nil"/>
              <w:bottom w:val="nil"/>
            </w:tcBorders>
            <w:shd w:val="clear" w:color="auto" w:fill="auto"/>
            <w:vAlign w:val="center"/>
          </w:tcPr>
          <w:p w14:paraId="55ED7F92" w14:textId="77777777" w:rsidR="00FE3BD4" w:rsidRPr="004F2E05" w:rsidRDefault="00FE3BD4" w:rsidP="00FE3BD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auto"/>
            <w:vAlign w:val="center"/>
          </w:tcPr>
          <w:p w14:paraId="1343F110" w14:textId="77777777" w:rsidR="00FE3BD4" w:rsidRPr="004F2E05" w:rsidRDefault="00FE3BD4" w:rsidP="00FE3BD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280" w:type="dxa"/>
            <w:tcBorders>
              <w:top w:val="nil"/>
              <w:bottom w:val="nil"/>
            </w:tcBorders>
            <w:shd w:val="clear" w:color="auto" w:fill="auto"/>
            <w:vAlign w:val="center"/>
          </w:tcPr>
          <w:p w14:paraId="3083B14E" w14:textId="77777777" w:rsidR="00FE3BD4" w:rsidRPr="004F2E05" w:rsidRDefault="00FE3BD4" w:rsidP="00FE3BD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417" w:type="dxa"/>
            <w:tcBorders>
              <w:top w:val="nil"/>
              <w:bottom w:val="nil"/>
            </w:tcBorders>
            <w:shd w:val="clear" w:color="auto" w:fill="auto"/>
            <w:vAlign w:val="center"/>
          </w:tcPr>
          <w:p w14:paraId="4735C38B" w14:textId="77777777" w:rsidR="00FE3BD4" w:rsidRPr="004F2E05" w:rsidRDefault="00FE3BD4" w:rsidP="00FE3BD4">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r>
      <w:tr w:rsidR="00FE3BD4" w:rsidRPr="001C7112" w14:paraId="58FB993F"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0E7958DB" w14:textId="77777777" w:rsidR="00FE3BD4" w:rsidRPr="001C7112" w:rsidRDefault="00FE3BD4" w:rsidP="00FE3BD4">
            <w:pPr>
              <w:pStyle w:val="08-Tabelageral"/>
              <w:ind w:left="113"/>
              <w:jc w:val="left"/>
              <w:rPr>
                <w:b w:val="0"/>
              </w:rPr>
            </w:pPr>
            <w:proofErr w:type="spellStart"/>
            <w:r w:rsidRPr="00E03629">
              <w:rPr>
                <w:b w:val="0"/>
              </w:rPr>
              <w:t>Equity</w:t>
            </w:r>
            <w:proofErr w:type="spellEnd"/>
            <w:r w:rsidRPr="00E03629">
              <w:rPr>
                <w:b w:val="0"/>
              </w:rPr>
              <w:t xml:space="preserve"> income</w:t>
            </w:r>
          </w:p>
        </w:tc>
        <w:tc>
          <w:tcPr>
            <w:tcW w:w="567" w:type="dxa"/>
            <w:tcBorders>
              <w:top w:val="nil"/>
              <w:bottom w:val="nil"/>
            </w:tcBorders>
            <w:vAlign w:val="center"/>
          </w:tcPr>
          <w:p w14:paraId="6052826D" w14:textId="77777777" w:rsidR="00FE3BD4" w:rsidRPr="001C7112"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496" w:type="dxa"/>
            <w:tcBorders>
              <w:top w:val="nil"/>
              <w:bottom w:val="nil"/>
            </w:tcBorders>
            <w:shd w:val="clear" w:color="auto" w:fill="auto"/>
          </w:tcPr>
          <w:p w14:paraId="58628AA1" w14:textId="77777777" w:rsidR="00FE3BD4" w:rsidRPr="001C7112"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2040A">
              <w:t>(8</w:t>
            </w:r>
            <w:r>
              <w:t>,</w:t>
            </w:r>
            <w:r w:rsidRPr="0072040A">
              <w:t>683</w:t>
            </w:r>
            <w:r>
              <w:t>,</w:t>
            </w:r>
            <w:r w:rsidRPr="0072040A">
              <w:t>817)</w:t>
            </w:r>
          </w:p>
        </w:tc>
        <w:tc>
          <w:tcPr>
            <w:tcW w:w="1339" w:type="dxa"/>
            <w:tcBorders>
              <w:top w:val="nil"/>
              <w:bottom w:val="nil"/>
            </w:tcBorders>
            <w:shd w:val="clear" w:color="auto" w:fill="auto"/>
          </w:tcPr>
          <w:p w14:paraId="576D2611" w14:textId="77777777" w:rsidR="00FE3BD4" w:rsidRPr="001C7112" w:rsidRDefault="00FE3BD4" w:rsidP="00FE3BD4">
            <w:pPr>
              <w:pStyle w:val="08-Tabelageral"/>
              <w:cnfStyle w:val="000000100000" w:firstRow="0" w:lastRow="0" w:firstColumn="0" w:lastColumn="0" w:oddVBand="0" w:evenVBand="0" w:oddHBand="1" w:evenHBand="0" w:firstRowFirstColumn="0" w:firstRowLastColumn="0" w:lastRowFirstColumn="0" w:lastRowLastColumn="0"/>
            </w:pPr>
            <w:r w:rsidRPr="0072040A">
              <w:t>(7</w:t>
            </w:r>
            <w:r>
              <w:t>,</w:t>
            </w:r>
            <w:r w:rsidRPr="0072040A">
              <w:t>925</w:t>
            </w:r>
            <w:r>
              <w:t>,</w:t>
            </w:r>
            <w:r w:rsidRPr="0072040A">
              <w:t>902)</w:t>
            </w:r>
          </w:p>
        </w:tc>
        <w:tc>
          <w:tcPr>
            <w:tcW w:w="280" w:type="dxa"/>
            <w:tcBorders>
              <w:top w:val="nil"/>
              <w:bottom w:val="nil"/>
            </w:tcBorders>
            <w:shd w:val="clear" w:color="auto" w:fill="auto"/>
          </w:tcPr>
          <w:p w14:paraId="115A4361" w14:textId="77777777" w:rsidR="00FE3BD4" w:rsidRPr="001C7112"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bottom w:val="nil"/>
            </w:tcBorders>
            <w:shd w:val="clear" w:color="auto" w:fill="auto"/>
          </w:tcPr>
          <w:p w14:paraId="4ED7949D" w14:textId="77777777" w:rsidR="00FE3BD4" w:rsidRPr="001C7112"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2040A">
              <w:t>(5</w:t>
            </w:r>
            <w:r>
              <w:t>,</w:t>
            </w:r>
            <w:r w:rsidRPr="0072040A">
              <w:t>311</w:t>
            </w:r>
            <w:r>
              <w:t>,</w:t>
            </w:r>
            <w:r w:rsidRPr="0072040A">
              <w:t>964)</w:t>
            </w:r>
          </w:p>
        </w:tc>
        <w:tc>
          <w:tcPr>
            <w:tcW w:w="1417" w:type="dxa"/>
            <w:tcBorders>
              <w:top w:val="nil"/>
              <w:bottom w:val="nil"/>
            </w:tcBorders>
            <w:shd w:val="clear" w:color="auto" w:fill="auto"/>
          </w:tcPr>
          <w:p w14:paraId="3F6D239A" w14:textId="77777777" w:rsidR="00FE3BD4" w:rsidRPr="001C7112" w:rsidRDefault="00FE3BD4" w:rsidP="00FE3BD4">
            <w:pPr>
              <w:pStyle w:val="08-Tabelageral"/>
              <w:cnfStyle w:val="000000100000" w:firstRow="0" w:lastRow="0" w:firstColumn="0" w:lastColumn="0" w:oddVBand="0" w:evenVBand="0" w:oddHBand="1" w:evenHBand="0" w:firstRowFirstColumn="0" w:firstRowLastColumn="0" w:lastRowFirstColumn="0" w:lastRowLastColumn="0"/>
            </w:pPr>
            <w:r w:rsidRPr="0072040A">
              <w:t>(4</w:t>
            </w:r>
            <w:r>
              <w:t>,</w:t>
            </w:r>
            <w:r w:rsidRPr="0072040A">
              <w:t>890</w:t>
            </w:r>
            <w:r>
              <w:t>,</w:t>
            </w:r>
            <w:r w:rsidRPr="0072040A">
              <w:t>458)</w:t>
            </w:r>
          </w:p>
        </w:tc>
      </w:tr>
      <w:tr w:rsidR="00FE3BD4" w:rsidRPr="00832F7B" w14:paraId="33A2122C"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4732D89C" w14:textId="77777777" w:rsidR="00FE3BD4" w:rsidRPr="00530226" w:rsidRDefault="00FE3BD4" w:rsidP="00FE3BD4">
            <w:pPr>
              <w:pStyle w:val="08-Tabelageral"/>
              <w:ind w:left="113"/>
              <w:jc w:val="left"/>
              <w:rPr>
                <w:b w:val="0"/>
                <w:bCs w:val="0"/>
                <w:lang w:val="en-US"/>
              </w:rPr>
            </w:pPr>
            <w:r w:rsidRPr="00530226">
              <w:rPr>
                <w:b w:val="0"/>
                <w:bCs w:val="0"/>
                <w:lang w:val="en-US"/>
              </w:rPr>
              <w:t xml:space="preserve">Financial income from monetary </w:t>
            </w:r>
            <w:proofErr w:type="spellStart"/>
            <w:r w:rsidRPr="00530226">
              <w:rPr>
                <w:b w:val="0"/>
                <w:bCs w:val="0"/>
                <w:lang w:val="en-US"/>
              </w:rPr>
              <w:t>tadjustment</w:t>
            </w:r>
            <w:proofErr w:type="spellEnd"/>
            <w:r w:rsidRPr="00530226">
              <w:rPr>
                <w:b w:val="0"/>
                <w:bCs w:val="0"/>
                <w:lang w:val="en-US"/>
              </w:rPr>
              <w:t xml:space="preserve"> of dividends</w:t>
            </w:r>
          </w:p>
        </w:tc>
        <w:tc>
          <w:tcPr>
            <w:tcW w:w="567" w:type="dxa"/>
            <w:tcBorders>
              <w:top w:val="nil"/>
              <w:bottom w:val="nil"/>
            </w:tcBorders>
            <w:shd w:val="clear" w:color="auto" w:fill="auto"/>
            <w:vAlign w:val="center"/>
          </w:tcPr>
          <w:p w14:paraId="04ACA088" w14:textId="77777777" w:rsidR="00FE3BD4" w:rsidRPr="00530226"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pPr>
            <w:r w:rsidRPr="00530226">
              <w:rPr>
                <w:rFonts w:cs="Arial"/>
                <w:szCs w:val="14"/>
              </w:rPr>
              <w:t>[14]</w:t>
            </w:r>
          </w:p>
        </w:tc>
        <w:tc>
          <w:tcPr>
            <w:tcW w:w="1496" w:type="dxa"/>
            <w:tcBorders>
              <w:top w:val="nil"/>
              <w:bottom w:val="nil"/>
            </w:tcBorders>
            <w:shd w:val="clear" w:color="auto" w:fill="auto"/>
            <w:vAlign w:val="center"/>
          </w:tcPr>
          <w:p w14:paraId="6D973C4C" w14:textId="77777777" w:rsidR="00FE3BD4" w:rsidRPr="00530226"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(33</w:t>
            </w:r>
            <w:r>
              <w:rPr>
                <w:rFonts w:cs="Arial"/>
                <w:szCs w:val="14"/>
              </w:rPr>
              <w:t>,</w:t>
            </w:r>
            <w:r w:rsidRPr="00530226">
              <w:rPr>
                <w:rFonts w:cs="Arial"/>
                <w:szCs w:val="14"/>
              </w:rPr>
              <w:t>904)</w:t>
            </w:r>
          </w:p>
        </w:tc>
        <w:tc>
          <w:tcPr>
            <w:tcW w:w="1339" w:type="dxa"/>
            <w:tcBorders>
              <w:top w:val="nil"/>
              <w:bottom w:val="nil"/>
            </w:tcBorders>
            <w:shd w:val="clear" w:color="auto" w:fill="auto"/>
            <w:vAlign w:val="center"/>
          </w:tcPr>
          <w:p w14:paraId="5DF126F8" w14:textId="77777777" w:rsidR="00FE3BD4" w:rsidRPr="00530226"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(77</w:t>
            </w:r>
            <w:r>
              <w:rPr>
                <w:rFonts w:cs="Arial"/>
                <w:szCs w:val="14"/>
              </w:rPr>
              <w:t>,</w:t>
            </w:r>
            <w:r w:rsidRPr="00530226">
              <w:rPr>
                <w:rFonts w:cs="Arial"/>
                <w:szCs w:val="14"/>
              </w:rPr>
              <w:t>483)</w:t>
            </w:r>
          </w:p>
        </w:tc>
        <w:tc>
          <w:tcPr>
            <w:tcW w:w="280" w:type="dxa"/>
            <w:tcBorders>
              <w:top w:val="nil"/>
              <w:bottom w:val="nil"/>
            </w:tcBorders>
            <w:shd w:val="clear" w:color="auto" w:fill="auto"/>
            <w:vAlign w:val="center"/>
          </w:tcPr>
          <w:p w14:paraId="0770DF93" w14:textId="77777777" w:rsidR="00FE3BD4" w:rsidRPr="00530226"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bottom w:val="nil"/>
            </w:tcBorders>
            <w:shd w:val="clear" w:color="auto" w:fill="auto"/>
            <w:vAlign w:val="center"/>
          </w:tcPr>
          <w:p w14:paraId="103DB7F6" w14:textId="77777777" w:rsidR="00FE3BD4" w:rsidRPr="00530226"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w:t>
            </w:r>
          </w:p>
        </w:tc>
        <w:tc>
          <w:tcPr>
            <w:tcW w:w="1417" w:type="dxa"/>
            <w:tcBorders>
              <w:top w:val="nil"/>
              <w:bottom w:val="nil"/>
            </w:tcBorders>
            <w:shd w:val="clear" w:color="auto" w:fill="auto"/>
            <w:vAlign w:val="center"/>
          </w:tcPr>
          <w:p w14:paraId="2AC71CA1" w14:textId="77777777" w:rsidR="00FE3BD4" w:rsidRPr="00530226"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530226">
              <w:rPr>
                <w:rFonts w:cs="Arial"/>
                <w:szCs w:val="14"/>
              </w:rPr>
              <w:t>--</w:t>
            </w:r>
          </w:p>
        </w:tc>
      </w:tr>
      <w:tr w:rsidR="00FE3BD4" w:rsidRPr="001C7112" w14:paraId="23931F02"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6B9FF8F9" w14:textId="77777777" w:rsidR="00FE3BD4" w:rsidRPr="00530226" w:rsidRDefault="00FE3BD4" w:rsidP="00FE3BD4">
            <w:pPr>
              <w:pStyle w:val="08-Tabelageral"/>
              <w:ind w:left="113"/>
              <w:jc w:val="left"/>
              <w:rPr>
                <w:b w:val="0"/>
                <w:lang w:val="en-US"/>
              </w:rPr>
            </w:pPr>
            <w:r w:rsidRPr="00530226">
              <w:rPr>
                <w:b w:val="0"/>
                <w:lang w:val="en-US"/>
              </w:rPr>
              <w:t xml:space="preserve">Financial Expenses from monetary </w:t>
            </w:r>
            <w:proofErr w:type="spellStart"/>
            <w:r w:rsidRPr="00530226">
              <w:rPr>
                <w:b w:val="0"/>
                <w:lang w:val="en-US"/>
              </w:rPr>
              <w:t>tadjustment</w:t>
            </w:r>
            <w:proofErr w:type="spellEnd"/>
            <w:r w:rsidRPr="00530226">
              <w:rPr>
                <w:b w:val="0"/>
                <w:lang w:val="en-US"/>
              </w:rPr>
              <w:t xml:space="preserve"> of dividends</w:t>
            </w:r>
          </w:p>
        </w:tc>
        <w:tc>
          <w:tcPr>
            <w:tcW w:w="567" w:type="dxa"/>
            <w:tcBorders>
              <w:top w:val="nil"/>
              <w:bottom w:val="nil"/>
            </w:tcBorders>
            <w:shd w:val="clear" w:color="auto" w:fill="auto"/>
            <w:vAlign w:val="center"/>
          </w:tcPr>
          <w:p w14:paraId="731F643C" w14:textId="77777777" w:rsidR="00FE3BD4" w:rsidRPr="00530226"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530226">
              <w:rPr>
                <w:rFonts w:cs="Arial"/>
                <w:szCs w:val="14"/>
              </w:rPr>
              <w:t>[14]</w:t>
            </w:r>
          </w:p>
        </w:tc>
        <w:tc>
          <w:tcPr>
            <w:tcW w:w="1496" w:type="dxa"/>
            <w:tcBorders>
              <w:top w:val="nil"/>
              <w:bottom w:val="nil"/>
            </w:tcBorders>
            <w:shd w:val="clear" w:color="auto" w:fill="auto"/>
            <w:vAlign w:val="center"/>
          </w:tcPr>
          <w:p w14:paraId="165554B3" w14:textId="77777777" w:rsidR="00FE3BD4" w:rsidRPr="00530226"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30226">
              <w:rPr>
                <w:rFonts w:cs="Arial"/>
                <w:szCs w:val="14"/>
              </w:rPr>
              <w:t>38</w:t>
            </w:r>
            <w:r>
              <w:rPr>
                <w:rFonts w:cs="Arial"/>
                <w:szCs w:val="14"/>
              </w:rPr>
              <w:t>,</w:t>
            </w:r>
            <w:r w:rsidRPr="00530226">
              <w:rPr>
                <w:rFonts w:cs="Arial"/>
                <w:szCs w:val="14"/>
              </w:rPr>
              <w:t>377</w:t>
            </w:r>
          </w:p>
        </w:tc>
        <w:tc>
          <w:tcPr>
            <w:tcW w:w="1339" w:type="dxa"/>
            <w:tcBorders>
              <w:top w:val="nil"/>
              <w:bottom w:val="nil"/>
            </w:tcBorders>
            <w:shd w:val="clear" w:color="auto" w:fill="auto"/>
            <w:vAlign w:val="center"/>
          </w:tcPr>
          <w:p w14:paraId="629F1717" w14:textId="77777777" w:rsidR="00FE3BD4" w:rsidRPr="00530226" w:rsidRDefault="00FE3BD4" w:rsidP="00FE3BD4">
            <w:pPr>
              <w:pStyle w:val="08-Tabelageral"/>
              <w:cnfStyle w:val="000000100000" w:firstRow="0" w:lastRow="0" w:firstColumn="0" w:lastColumn="0" w:oddVBand="0" w:evenVBand="0" w:oddHBand="1" w:evenHBand="0" w:firstRowFirstColumn="0" w:firstRowLastColumn="0" w:lastRowFirstColumn="0" w:lastRowLastColumn="0"/>
            </w:pPr>
            <w:r w:rsidRPr="00530226">
              <w:rPr>
                <w:rFonts w:cs="Arial"/>
                <w:szCs w:val="14"/>
              </w:rPr>
              <w:t>77</w:t>
            </w:r>
            <w:r>
              <w:rPr>
                <w:rFonts w:cs="Arial"/>
                <w:szCs w:val="14"/>
              </w:rPr>
              <w:t>,</w:t>
            </w:r>
            <w:r w:rsidRPr="00530226">
              <w:rPr>
                <w:rFonts w:cs="Arial"/>
                <w:szCs w:val="14"/>
              </w:rPr>
              <w:t>280</w:t>
            </w:r>
          </w:p>
        </w:tc>
        <w:tc>
          <w:tcPr>
            <w:tcW w:w="280" w:type="dxa"/>
            <w:tcBorders>
              <w:top w:val="nil"/>
              <w:bottom w:val="nil"/>
            </w:tcBorders>
            <w:shd w:val="clear" w:color="auto" w:fill="auto"/>
            <w:vAlign w:val="center"/>
          </w:tcPr>
          <w:p w14:paraId="0C45B2D0" w14:textId="77777777" w:rsidR="00FE3BD4" w:rsidRPr="00530226"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bottom w:val="nil"/>
            </w:tcBorders>
            <w:shd w:val="clear" w:color="auto" w:fill="auto"/>
            <w:vAlign w:val="center"/>
          </w:tcPr>
          <w:p w14:paraId="68E986CA"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7E3763">
              <w:rPr>
                <w:rFonts w:cs="Arial"/>
                <w:color w:val="auto"/>
                <w:szCs w:val="14"/>
              </w:rPr>
              <w:t>38,377</w:t>
            </w:r>
          </w:p>
        </w:tc>
        <w:tc>
          <w:tcPr>
            <w:tcW w:w="1417" w:type="dxa"/>
            <w:tcBorders>
              <w:top w:val="nil"/>
              <w:bottom w:val="nil"/>
            </w:tcBorders>
            <w:shd w:val="clear" w:color="auto" w:fill="auto"/>
            <w:vAlign w:val="center"/>
          </w:tcPr>
          <w:p w14:paraId="61E4DA2F"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7E3763">
              <w:rPr>
                <w:rFonts w:cs="Arial"/>
                <w:color w:val="auto"/>
                <w:szCs w:val="14"/>
              </w:rPr>
              <w:t>77,280</w:t>
            </w:r>
          </w:p>
        </w:tc>
      </w:tr>
      <w:tr w:rsidR="00FE3BD4" w:rsidRPr="007E3763" w14:paraId="7D6C8FC0"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5E1952B6" w14:textId="77777777" w:rsidR="00FE3BD4" w:rsidRPr="007E3763" w:rsidRDefault="00FE3BD4" w:rsidP="00FE3BD4">
            <w:pPr>
              <w:pStyle w:val="08-Tabelageral"/>
              <w:ind w:left="113"/>
              <w:jc w:val="left"/>
              <w:rPr>
                <w:b w:val="0"/>
                <w:bCs w:val="0"/>
                <w:lang w:val="en-US"/>
              </w:rPr>
            </w:pPr>
            <w:r w:rsidRPr="007E3763">
              <w:rPr>
                <w:b w:val="0"/>
                <w:bCs w:val="0"/>
                <w:lang w:val="en-US"/>
              </w:rPr>
              <w:t>Net increase in financial assets at fair value through profit or loss</w:t>
            </w:r>
          </w:p>
        </w:tc>
        <w:tc>
          <w:tcPr>
            <w:tcW w:w="567" w:type="dxa"/>
            <w:tcBorders>
              <w:top w:val="nil"/>
              <w:bottom w:val="nil"/>
            </w:tcBorders>
            <w:shd w:val="clear" w:color="auto" w:fill="FFFFFF" w:themeFill="background1"/>
            <w:vAlign w:val="center"/>
          </w:tcPr>
          <w:p w14:paraId="0C86F8CC"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lang w:val="en-US"/>
              </w:rPr>
              <w:t>[16.a]</w:t>
            </w:r>
          </w:p>
        </w:tc>
        <w:tc>
          <w:tcPr>
            <w:tcW w:w="1496" w:type="dxa"/>
            <w:tcBorders>
              <w:top w:val="nil"/>
              <w:bottom w:val="nil"/>
            </w:tcBorders>
            <w:shd w:val="clear" w:color="auto" w:fill="auto"/>
            <w:vAlign w:val="center"/>
          </w:tcPr>
          <w:p w14:paraId="31035412"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w:t>
            </w:r>
          </w:p>
        </w:tc>
        <w:tc>
          <w:tcPr>
            <w:tcW w:w="1339" w:type="dxa"/>
            <w:tcBorders>
              <w:top w:val="nil"/>
              <w:bottom w:val="nil"/>
            </w:tcBorders>
            <w:shd w:val="clear" w:color="auto" w:fill="auto"/>
            <w:vAlign w:val="center"/>
          </w:tcPr>
          <w:p w14:paraId="67BD0596"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w:t>
            </w:r>
          </w:p>
        </w:tc>
        <w:tc>
          <w:tcPr>
            <w:tcW w:w="280" w:type="dxa"/>
            <w:tcBorders>
              <w:top w:val="nil"/>
              <w:bottom w:val="nil"/>
            </w:tcBorders>
            <w:shd w:val="clear" w:color="auto" w:fill="auto"/>
            <w:vAlign w:val="center"/>
          </w:tcPr>
          <w:p w14:paraId="598C3D88"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left w:val="nil"/>
              <w:bottom w:val="nil"/>
              <w:right w:val="nil"/>
            </w:tcBorders>
            <w:shd w:val="clear" w:color="auto" w:fill="auto"/>
            <w:vAlign w:val="center"/>
          </w:tcPr>
          <w:p w14:paraId="742175C7"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7E3763">
              <w:rPr>
                <w:rFonts w:cs="Arial"/>
                <w:color w:val="auto"/>
                <w:szCs w:val="14"/>
              </w:rPr>
              <w:t>--</w:t>
            </w:r>
          </w:p>
        </w:tc>
        <w:tc>
          <w:tcPr>
            <w:tcW w:w="1417" w:type="dxa"/>
            <w:tcBorders>
              <w:top w:val="nil"/>
              <w:left w:val="nil"/>
              <w:bottom w:val="nil"/>
              <w:right w:val="nil"/>
            </w:tcBorders>
            <w:shd w:val="clear" w:color="auto" w:fill="auto"/>
            <w:vAlign w:val="center"/>
          </w:tcPr>
          <w:p w14:paraId="42B0384C"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7E3763">
              <w:rPr>
                <w:rFonts w:cs="Arial"/>
                <w:color w:val="auto"/>
                <w:szCs w:val="14"/>
              </w:rPr>
              <w:t>(150</w:t>
            </w:r>
            <w:r>
              <w:rPr>
                <w:rFonts w:cs="Arial"/>
                <w:color w:val="auto"/>
                <w:szCs w:val="14"/>
              </w:rPr>
              <w:t>,</w:t>
            </w:r>
            <w:r w:rsidRPr="007E3763">
              <w:rPr>
                <w:rFonts w:cs="Arial"/>
                <w:color w:val="auto"/>
                <w:szCs w:val="14"/>
              </w:rPr>
              <w:t>063)</w:t>
            </w:r>
          </w:p>
        </w:tc>
      </w:tr>
      <w:tr w:rsidR="00FE3BD4" w:rsidRPr="007E3763" w14:paraId="173FC02A"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48D3B847" w14:textId="77777777" w:rsidR="00FE3BD4" w:rsidRPr="007E3763" w:rsidRDefault="00FE3BD4" w:rsidP="00FE3BD4">
            <w:pPr>
              <w:pStyle w:val="08-Tabelageral"/>
              <w:ind w:left="113"/>
              <w:jc w:val="left"/>
              <w:rPr>
                <w:lang w:val="en-US"/>
              </w:rPr>
            </w:pPr>
            <w:r w:rsidRPr="007E3763">
              <w:rPr>
                <w:b w:val="0"/>
                <w:bCs w:val="0"/>
                <w:lang w:val="en-US"/>
              </w:rPr>
              <w:t>Net increase in financial assets at amortized cost</w:t>
            </w:r>
          </w:p>
        </w:tc>
        <w:tc>
          <w:tcPr>
            <w:tcW w:w="567" w:type="dxa"/>
            <w:tcBorders>
              <w:top w:val="nil"/>
              <w:bottom w:val="nil"/>
            </w:tcBorders>
            <w:vAlign w:val="center"/>
          </w:tcPr>
          <w:p w14:paraId="7D515B9F"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7E3763">
              <w:rPr>
                <w:lang w:val="en-US"/>
              </w:rPr>
              <w:t>[16.b]</w:t>
            </w:r>
          </w:p>
        </w:tc>
        <w:tc>
          <w:tcPr>
            <w:tcW w:w="1496" w:type="dxa"/>
            <w:tcBorders>
              <w:top w:val="nil"/>
              <w:bottom w:val="nil"/>
            </w:tcBorders>
            <w:shd w:val="clear" w:color="auto" w:fill="auto"/>
            <w:vAlign w:val="center"/>
          </w:tcPr>
          <w:p w14:paraId="3534EF2E"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w:t>
            </w:r>
          </w:p>
        </w:tc>
        <w:tc>
          <w:tcPr>
            <w:tcW w:w="1339" w:type="dxa"/>
            <w:tcBorders>
              <w:top w:val="nil"/>
              <w:bottom w:val="nil"/>
            </w:tcBorders>
            <w:shd w:val="clear" w:color="auto" w:fill="auto"/>
            <w:vAlign w:val="center"/>
          </w:tcPr>
          <w:p w14:paraId="4AC87A79"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w:t>
            </w:r>
          </w:p>
        </w:tc>
        <w:tc>
          <w:tcPr>
            <w:tcW w:w="280" w:type="dxa"/>
            <w:tcBorders>
              <w:top w:val="nil"/>
              <w:bottom w:val="nil"/>
            </w:tcBorders>
            <w:shd w:val="clear" w:color="auto" w:fill="auto"/>
            <w:vAlign w:val="center"/>
          </w:tcPr>
          <w:p w14:paraId="080F47BB"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bottom w:val="nil"/>
            </w:tcBorders>
            <w:shd w:val="clear" w:color="auto" w:fill="auto"/>
            <w:vAlign w:val="center"/>
          </w:tcPr>
          <w:p w14:paraId="4D3F8742"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7E3763">
              <w:rPr>
                <w:rFonts w:cs="Arial"/>
                <w:color w:val="auto"/>
                <w:szCs w:val="14"/>
              </w:rPr>
              <w:t>(172</w:t>
            </w:r>
            <w:r>
              <w:rPr>
                <w:rFonts w:cs="Arial"/>
                <w:color w:val="auto"/>
                <w:szCs w:val="14"/>
              </w:rPr>
              <w:t>,</w:t>
            </w:r>
            <w:r w:rsidRPr="007E3763">
              <w:rPr>
                <w:rFonts w:cs="Arial"/>
                <w:color w:val="auto"/>
                <w:szCs w:val="14"/>
              </w:rPr>
              <w:t>640)</w:t>
            </w:r>
          </w:p>
        </w:tc>
        <w:tc>
          <w:tcPr>
            <w:tcW w:w="1417" w:type="dxa"/>
            <w:tcBorders>
              <w:top w:val="nil"/>
              <w:bottom w:val="nil"/>
            </w:tcBorders>
            <w:shd w:val="clear" w:color="auto" w:fill="auto"/>
            <w:vAlign w:val="center"/>
          </w:tcPr>
          <w:p w14:paraId="1934BCE8"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7E3763">
              <w:rPr>
                <w:rFonts w:cs="Arial"/>
                <w:color w:val="auto"/>
                <w:szCs w:val="14"/>
              </w:rPr>
              <w:t>--</w:t>
            </w:r>
          </w:p>
        </w:tc>
      </w:tr>
      <w:tr w:rsidR="00FE3BD4" w:rsidRPr="007E3763" w14:paraId="58A98B27"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03BBC15C" w14:textId="77777777" w:rsidR="00FE3BD4" w:rsidRPr="007E3763" w:rsidRDefault="00FE3BD4" w:rsidP="00FE3BD4">
            <w:pPr>
              <w:pStyle w:val="08-Tabelageral"/>
              <w:ind w:left="113"/>
              <w:jc w:val="left"/>
              <w:rPr>
                <w:lang w:val="en-US"/>
              </w:rPr>
            </w:pPr>
            <w:proofErr w:type="spellStart"/>
            <w:r w:rsidRPr="007E3763">
              <w:rPr>
                <w:rFonts w:cs="Arial"/>
                <w:b w:val="0"/>
                <w:bCs w:val="0"/>
                <w:szCs w:val="14"/>
              </w:rPr>
              <w:t>Result</w:t>
            </w:r>
            <w:proofErr w:type="spellEnd"/>
            <w:r w:rsidRPr="007E3763">
              <w:rPr>
                <w:rFonts w:cs="Arial"/>
                <w:b w:val="0"/>
                <w:bCs w:val="0"/>
                <w:szCs w:val="14"/>
              </w:rPr>
              <w:t xml:space="preserve"> </w:t>
            </w:r>
            <w:proofErr w:type="spellStart"/>
            <w:r w:rsidRPr="007E3763">
              <w:rPr>
                <w:rFonts w:cs="Arial"/>
                <w:b w:val="0"/>
                <w:bCs w:val="0"/>
                <w:szCs w:val="14"/>
              </w:rPr>
              <w:t>of</w:t>
            </w:r>
            <w:proofErr w:type="spellEnd"/>
            <w:r w:rsidRPr="007E3763">
              <w:rPr>
                <w:rFonts w:cs="Arial"/>
                <w:b w:val="0"/>
                <w:bCs w:val="0"/>
                <w:szCs w:val="14"/>
              </w:rPr>
              <w:t xml:space="preserve"> </w:t>
            </w:r>
            <w:proofErr w:type="spellStart"/>
            <w:r w:rsidRPr="007E3763">
              <w:rPr>
                <w:rFonts w:cs="Arial"/>
                <w:b w:val="0"/>
                <w:bCs w:val="0"/>
                <w:szCs w:val="14"/>
              </w:rPr>
              <w:t>deferred</w:t>
            </w:r>
            <w:proofErr w:type="spellEnd"/>
            <w:r w:rsidRPr="007E3763">
              <w:rPr>
                <w:rFonts w:cs="Arial"/>
                <w:b w:val="0"/>
                <w:bCs w:val="0"/>
                <w:szCs w:val="14"/>
              </w:rPr>
              <w:t xml:space="preserve"> taxes</w:t>
            </w:r>
          </w:p>
        </w:tc>
        <w:tc>
          <w:tcPr>
            <w:tcW w:w="567" w:type="dxa"/>
            <w:tcBorders>
              <w:top w:val="nil"/>
              <w:bottom w:val="nil"/>
            </w:tcBorders>
            <w:shd w:val="clear" w:color="auto" w:fill="auto"/>
            <w:vAlign w:val="center"/>
          </w:tcPr>
          <w:p w14:paraId="54F59F71"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[14]</w:t>
            </w:r>
          </w:p>
        </w:tc>
        <w:tc>
          <w:tcPr>
            <w:tcW w:w="1496" w:type="dxa"/>
            <w:tcBorders>
              <w:top w:val="nil"/>
              <w:left w:val="nil"/>
              <w:bottom w:val="nil"/>
              <w:right w:val="nil"/>
            </w:tcBorders>
            <w:shd w:val="clear" w:color="auto" w:fill="auto"/>
            <w:vAlign w:val="center"/>
          </w:tcPr>
          <w:p w14:paraId="6DF294A7"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(8</w:t>
            </w:r>
            <w:r>
              <w:rPr>
                <w:rFonts w:cs="Arial"/>
                <w:szCs w:val="14"/>
              </w:rPr>
              <w:t>,</w:t>
            </w:r>
            <w:r w:rsidRPr="007E3763">
              <w:rPr>
                <w:rFonts w:cs="Arial"/>
                <w:szCs w:val="14"/>
              </w:rPr>
              <w:t>196)</w:t>
            </w:r>
          </w:p>
        </w:tc>
        <w:tc>
          <w:tcPr>
            <w:tcW w:w="1339" w:type="dxa"/>
            <w:tcBorders>
              <w:top w:val="nil"/>
              <w:left w:val="nil"/>
              <w:bottom w:val="nil"/>
              <w:right w:val="nil"/>
            </w:tcBorders>
            <w:shd w:val="clear" w:color="auto" w:fill="auto"/>
            <w:vAlign w:val="center"/>
          </w:tcPr>
          <w:p w14:paraId="0E3DCC5F"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w:t>
            </w:r>
          </w:p>
        </w:tc>
        <w:tc>
          <w:tcPr>
            <w:tcW w:w="280" w:type="dxa"/>
            <w:tcBorders>
              <w:top w:val="nil"/>
              <w:bottom w:val="nil"/>
            </w:tcBorders>
            <w:shd w:val="clear" w:color="auto" w:fill="auto"/>
            <w:vAlign w:val="center"/>
          </w:tcPr>
          <w:p w14:paraId="73D61C2B"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left w:val="nil"/>
              <w:bottom w:val="nil"/>
              <w:right w:val="nil"/>
            </w:tcBorders>
            <w:shd w:val="clear" w:color="auto" w:fill="auto"/>
            <w:vAlign w:val="center"/>
          </w:tcPr>
          <w:p w14:paraId="78039EA5"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(10</w:t>
            </w:r>
            <w:r>
              <w:rPr>
                <w:rFonts w:cs="Arial"/>
                <w:szCs w:val="14"/>
              </w:rPr>
              <w:t>,</w:t>
            </w:r>
            <w:r w:rsidRPr="007E3763">
              <w:rPr>
                <w:rFonts w:cs="Arial"/>
                <w:szCs w:val="14"/>
              </w:rPr>
              <w:t>758)</w:t>
            </w:r>
          </w:p>
        </w:tc>
        <w:tc>
          <w:tcPr>
            <w:tcW w:w="1417" w:type="dxa"/>
            <w:tcBorders>
              <w:top w:val="nil"/>
              <w:left w:val="nil"/>
              <w:bottom w:val="nil"/>
              <w:right w:val="nil"/>
            </w:tcBorders>
            <w:shd w:val="clear" w:color="auto" w:fill="auto"/>
            <w:vAlign w:val="center"/>
          </w:tcPr>
          <w:p w14:paraId="3DEA180D"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w:t>
            </w:r>
          </w:p>
        </w:tc>
      </w:tr>
      <w:tr w:rsidR="00FE3BD4" w:rsidRPr="007E3763" w14:paraId="66EBA3D8"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7B4C4E9A" w14:textId="77777777" w:rsidR="00FE3BD4" w:rsidRPr="007E3763" w:rsidRDefault="00FE3BD4" w:rsidP="00FE3BD4">
            <w:pPr>
              <w:pStyle w:val="08-Tabelageral"/>
              <w:ind w:left="113"/>
              <w:jc w:val="left"/>
              <w:rPr>
                <w:rFonts w:cs="Arial"/>
                <w:szCs w:val="14"/>
                <w:lang w:val="en-US"/>
              </w:rPr>
            </w:pPr>
            <w:r w:rsidRPr="007E3763">
              <w:rPr>
                <w:rFonts w:cs="Arial"/>
                <w:b w:val="0"/>
                <w:bCs w:val="0"/>
                <w:szCs w:val="14"/>
                <w:lang w:val="en-US"/>
              </w:rPr>
              <w:t>Income Tax and Social Contribution</w:t>
            </w:r>
          </w:p>
        </w:tc>
        <w:tc>
          <w:tcPr>
            <w:tcW w:w="567" w:type="dxa"/>
            <w:tcBorders>
              <w:top w:val="nil"/>
              <w:bottom w:val="nil"/>
            </w:tcBorders>
            <w:shd w:val="clear" w:color="auto" w:fill="auto"/>
            <w:vAlign w:val="center"/>
          </w:tcPr>
          <w:p w14:paraId="39705851"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96" w:type="dxa"/>
            <w:tcBorders>
              <w:top w:val="nil"/>
              <w:left w:val="nil"/>
              <w:bottom w:val="nil"/>
              <w:right w:val="nil"/>
            </w:tcBorders>
            <w:shd w:val="clear" w:color="auto" w:fill="auto"/>
            <w:vAlign w:val="center"/>
          </w:tcPr>
          <w:p w14:paraId="25F8E455"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3</w:t>
            </w:r>
            <w:r>
              <w:rPr>
                <w:rFonts w:cs="Arial"/>
                <w:szCs w:val="14"/>
              </w:rPr>
              <w:t>,</w:t>
            </w:r>
            <w:r w:rsidRPr="007E3763">
              <w:rPr>
                <w:rFonts w:cs="Arial"/>
                <w:szCs w:val="14"/>
              </w:rPr>
              <w:t>285</w:t>
            </w:r>
          </w:p>
        </w:tc>
        <w:tc>
          <w:tcPr>
            <w:tcW w:w="1339" w:type="dxa"/>
            <w:tcBorders>
              <w:top w:val="nil"/>
              <w:left w:val="nil"/>
              <w:bottom w:val="nil"/>
              <w:right w:val="nil"/>
            </w:tcBorders>
            <w:shd w:val="clear" w:color="auto" w:fill="auto"/>
            <w:vAlign w:val="center"/>
          </w:tcPr>
          <w:p w14:paraId="585C609A"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w:t>
            </w:r>
          </w:p>
        </w:tc>
        <w:tc>
          <w:tcPr>
            <w:tcW w:w="280" w:type="dxa"/>
            <w:tcBorders>
              <w:top w:val="nil"/>
              <w:bottom w:val="nil"/>
            </w:tcBorders>
            <w:shd w:val="clear" w:color="auto" w:fill="auto"/>
            <w:vAlign w:val="center"/>
          </w:tcPr>
          <w:p w14:paraId="6AF2D7F9"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left w:val="nil"/>
              <w:bottom w:val="nil"/>
              <w:right w:val="nil"/>
            </w:tcBorders>
            <w:shd w:val="clear" w:color="auto" w:fill="auto"/>
            <w:vAlign w:val="center"/>
          </w:tcPr>
          <w:p w14:paraId="0154581B"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1</w:t>
            </w:r>
            <w:r>
              <w:rPr>
                <w:rFonts w:cs="Arial"/>
                <w:szCs w:val="14"/>
              </w:rPr>
              <w:t>,</w:t>
            </w:r>
            <w:r w:rsidRPr="007E3763">
              <w:rPr>
                <w:rFonts w:cs="Arial"/>
                <w:szCs w:val="14"/>
              </w:rPr>
              <w:t>573</w:t>
            </w:r>
            <w:r>
              <w:rPr>
                <w:rFonts w:cs="Arial"/>
                <w:szCs w:val="14"/>
              </w:rPr>
              <w:t>,</w:t>
            </w:r>
            <w:r w:rsidRPr="007E3763">
              <w:rPr>
                <w:rFonts w:cs="Arial"/>
                <w:szCs w:val="14"/>
              </w:rPr>
              <w:t>765</w:t>
            </w:r>
          </w:p>
        </w:tc>
        <w:tc>
          <w:tcPr>
            <w:tcW w:w="1417" w:type="dxa"/>
            <w:tcBorders>
              <w:top w:val="nil"/>
              <w:left w:val="nil"/>
              <w:bottom w:val="nil"/>
              <w:right w:val="nil"/>
            </w:tcBorders>
            <w:shd w:val="clear" w:color="auto" w:fill="auto"/>
            <w:vAlign w:val="center"/>
          </w:tcPr>
          <w:p w14:paraId="1BC4C5F9"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w:t>
            </w:r>
          </w:p>
        </w:tc>
      </w:tr>
      <w:tr w:rsidR="004D7275" w:rsidRPr="007E3763" w14:paraId="159B4847"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78F97842" w14:textId="77777777" w:rsidR="004D7275" w:rsidRPr="007E3763" w:rsidRDefault="004D7275" w:rsidP="004D7275">
            <w:pPr>
              <w:pStyle w:val="08-Tabelageral"/>
              <w:ind w:left="113"/>
              <w:jc w:val="left"/>
              <w:rPr>
                <w:lang w:val="en-US"/>
              </w:rPr>
            </w:pPr>
            <w:r w:rsidRPr="007E3763">
              <w:rPr>
                <w:rFonts w:cs="Arial"/>
                <w:b w:val="0"/>
                <w:bCs w:val="0"/>
                <w:szCs w:val="14"/>
                <w:lang w:val="en-US"/>
              </w:rPr>
              <w:t>provisions for labor, tax and civil lawsuits</w:t>
            </w:r>
          </w:p>
        </w:tc>
        <w:tc>
          <w:tcPr>
            <w:tcW w:w="567" w:type="dxa"/>
            <w:tcBorders>
              <w:top w:val="nil"/>
              <w:bottom w:val="nil"/>
            </w:tcBorders>
            <w:shd w:val="clear" w:color="auto" w:fill="auto"/>
            <w:vAlign w:val="center"/>
          </w:tcPr>
          <w:p w14:paraId="15877BF5" w14:textId="77777777" w:rsidR="004D7275" w:rsidRPr="007E3763" w:rsidRDefault="004D7275" w:rsidP="004D7275">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[13]</w:t>
            </w:r>
          </w:p>
        </w:tc>
        <w:tc>
          <w:tcPr>
            <w:tcW w:w="1496" w:type="dxa"/>
            <w:tcBorders>
              <w:top w:val="nil"/>
              <w:left w:val="nil"/>
              <w:bottom w:val="nil"/>
              <w:right w:val="nil"/>
            </w:tcBorders>
            <w:shd w:val="clear" w:color="auto" w:fill="auto"/>
            <w:vAlign w:val="center"/>
          </w:tcPr>
          <w:p w14:paraId="09AB22C6" w14:textId="77777777" w:rsidR="004D7275" w:rsidRPr="007E3763" w:rsidRDefault="004D7275" w:rsidP="004D727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1</w:t>
            </w:r>
            <w:r>
              <w:rPr>
                <w:rFonts w:cs="Arial"/>
                <w:szCs w:val="14"/>
              </w:rPr>
              <w:t>,</w:t>
            </w:r>
            <w:r w:rsidRPr="007E3763">
              <w:rPr>
                <w:rFonts w:cs="Arial"/>
                <w:szCs w:val="14"/>
              </w:rPr>
              <w:t>188</w:t>
            </w:r>
          </w:p>
        </w:tc>
        <w:tc>
          <w:tcPr>
            <w:tcW w:w="1339" w:type="dxa"/>
            <w:tcBorders>
              <w:top w:val="nil"/>
              <w:left w:val="nil"/>
              <w:bottom w:val="nil"/>
              <w:right w:val="nil"/>
            </w:tcBorders>
            <w:shd w:val="clear" w:color="auto" w:fill="auto"/>
            <w:vAlign w:val="center"/>
          </w:tcPr>
          <w:p w14:paraId="0561C553" w14:textId="6CB63519" w:rsidR="004D7275" w:rsidRPr="007E3763" w:rsidRDefault="004D7275" w:rsidP="004D727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04281F">
              <w:rPr>
                <w:rFonts w:cs="Arial"/>
                <w:szCs w:val="14"/>
              </w:rPr>
              <w:t>572</w:t>
            </w:r>
          </w:p>
        </w:tc>
        <w:tc>
          <w:tcPr>
            <w:tcW w:w="280" w:type="dxa"/>
            <w:tcBorders>
              <w:top w:val="nil"/>
              <w:bottom w:val="nil"/>
            </w:tcBorders>
            <w:shd w:val="clear" w:color="auto" w:fill="auto"/>
            <w:vAlign w:val="center"/>
          </w:tcPr>
          <w:p w14:paraId="12DBA7E5" w14:textId="77777777" w:rsidR="004D7275" w:rsidRPr="007E3763" w:rsidRDefault="004D7275" w:rsidP="004D7275">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left w:val="nil"/>
              <w:bottom w:val="nil"/>
              <w:right w:val="nil"/>
            </w:tcBorders>
            <w:shd w:val="clear" w:color="auto" w:fill="auto"/>
            <w:vAlign w:val="center"/>
          </w:tcPr>
          <w:p w14:paraId="0FC4AC26" w14:textId="77777777" w:rsidR="004D7275" w:rsidRPr="007E3763" w:rsidRDefault="004D7275" w:rsidP="004D727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20</w:t>
            </w:r>
            <w:r>
              <w:rPr>
                <w:rFonts w:cs="Arial"/>
                <w:szCs w:val="14"/>
              </w:rPr>
              <w:t>,</w:t>
            </w:r>
            <w:r w:rsidRPr="007E3763">
              <w:rPr>
                <w:rFonts w:cs="Arial"/>
                <w:szCs w:val="14"/>
              </w:rPr>
              <w:t>429</w:t>
            </w:r>
          </w:p>
        </w:tc>
        <w:tc>
          <w:tcPr>
            <w:tcW w:w="1417" w:type="dxa"/>
            <w:tcBorders>
              <w:top w:val="nil"/>
              <w:left w:val="nil"/>
              <w:bottom w:val="nil"/>
              <w:right w:val="nil"/>
            </w:tcBorders>
            <w:shd w:val="clear" w:color="auto" w:fill="auto"/>
            <w:vAlign w:val="center"/>
          </w:tcPr>
          <w:p w14:paraId="070CEAE0" w14:textId="5BFC9DEB" w:rsidR="004D7275" w:rsidRPr="007E3763" w:rsidRDefault="004D7275" w:rsidP="004D727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04281F">
              <w:rPr>
                <w:rFonts w:cs="Arial"/>
                <w:szCs w:val="14"/>
              </w:rPr>
              <w:t>16</w:t>
            </w:r>
            <w:r>
              <w:rPr>
                <w:rFonts w:cs="Arial"/>
                <w:szCs w:val="14"/>
              </w:rPr>
              <w:t>,</w:t>
            </w:r>
            <w:r w:rsidRPr="0004281F">
              <w:rPr>
                <w:rFonts w:cs="Arial"/>
                <w:szCs w:val="14"/>
              </w:rPr>
              <w:t>117</w:t>
            </w:r>
          </w:p>
        </w:tc>
      </w:tr>
      <w:tr w:rsidR="004D7275" w:rsidRPr="007E3763" w14:paraId="46DCC33C"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0130886A" w14:textId="77777777" w:rsidR="004D7275" w:rsidRPr="007E3763" w:rsidRDefault="004D7275" w:rsidP="004D7275">
            <w:pPr>
              <w:pStyle w:val="08-Tabelageral"/>
              <w:ind w:left="113"/>
              <w:jc w:val="left"/>
              <w:rPr>
                <w:b w:val="0"/>
              </w:rPr>
            </w:pPr>
            <w:r w:rsidRPr="007E3763">
              <w:rPr>
                <w:b w:val="0"/>
              </w:rPr>
              <w:t xml:space="preserve">Other </w:t>
            </w:r>
            <w:proofErr w:type="spellStart"/>
            <w:r w:rsidRPr="007E3763">
              <w:rPr>
                <w:b w:val="0"/>
              </w:rPr>
              <w:t>adjustments</w:t>
            </w:r>
            <w:proofErr w:type="spellEnd"/>
          </w:p>
        </w:tc>
        <w:tc>
          <w:tcPr>
            <w:tcW w:w="567" w:type="dxa"/>
            <w:tcBorders>
              <w:top w:val="nil"/>
              <w:bottom w:val="nil"/>
            </w:tcBorders>
            <w:shd w:val="clear" w:color="auto" w:fill="auto"/>
            <w:vAlign w:val="center"/>
          </w:tcPr>
          <w:p w14:paraId="3DEDFBF6" w14:textId="77777777" w:rsidR="004D7275" w:rsidRPr="007E3763" w:rsidRDefault="004D7275" w:rsidP="004D7275">
            <w:pPr>
              <w:pStyle w:val="08-Tabelageral"/>
              <w:jc w:val="left"/>
              <w:cnfStyle w:val="000000100000" w:firstRow="0" w:lastRow="0" w:firstColumn="0" w:lastColumn="0" w:oddVBand="0" w:evenVBand="0" w:oddHBand="1" w:evenHBand="0" w:firstRowFirstColumn="0" w:firstRowLastColumn="0" w:lastRowFirstColumn="0" w:lastRowLastColumn="0"/>
            </w:pPr>
            <w:r w:rsidRPr="007E3763">
              <w:rPr>
                <w:rFonts w:cs="Arial"/>
                <w:szCs w:val="14"/>
              </w:rPr>
              <w:t>[13]</w:t>
            </w:r>
          </w:p>
        </w:tc>
        <w:tc>
          <w:tcPr>
            <w:tcW w:w="1496" w:type="dxa"/>
            <w:tcBorders>
              <w:top w:val="nil"/>
              <w:left w:val="nil"/>
              <w:bottom w:val="nil"/>
              <w:right w:val="nil"/>
            </w:tcBorders>
            <w:shd w:val="clear" w:color="auto" w:fill="auto"/>
            <w:vAlign w:val="center"/>
          </w:tcPr>
          <w:p w14:paraId="6DE7E1B6" w14:textId="77777777" w:rsidR="004D7275" w:rsidRPr="007E3763" w:rsidRDefault="004D7275" w:rsidP="004D727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910</w:t>
            </w:r>
          </w:p>
        </w:tc>
        <w:tc>
          <w:tcPr>
            <w:tcW w:w="1339" w:type="dxa"/>
            <w:tcBorders>
              <w:top w:val="nil"/>
              <w:left w:val="nil"/>
              <w:bottom w:val="nil"/>
              <w:right w:val="nil"/>
            </w:tcBorders>
            <w:shd w:val="clear" w:color="auto" w:fill="auto"/>
            <w:vAlign w:val="center"/>
          </w:tcPr>
          <w:p w14:paraId="73CAE426" w14:textId="64D7DC30" w:rsidR="004D7275" w:rsidRPr="007E3763" w:rsidRDefault="004D7275" w:rsidP="004D7275">
            <w:pPr>
              <w:pStyle w:val="08-Tabelageral"/>
              <w:cnfStyle w:val="000000100000" w:firstRow="0" w:lastRow="0" w:firstColumn="0" w:lastColumn="0" w:oddVBand="0" w:evenVBand="0" w:oddHBand="1" w:evenHBand="0" w:firstRowFirstColumn="0" w:firstRowLastColumn="0" w:lastRowFirstColumn="0" w:lastRowLastColumn="0"/>
            </w:pPr>
            <w:r w:rsidRPr="0004281F">
              <w:rPr>
                <w:rFonts w:cs="Arial"/>
                <w:szCs w:val="14"/>
              </w:rPr>
              <w:t>1</w:t>
            </w:r>
            <w:r>
              <w:rPr>
                <w:rFonts w:cs="Arial"/>
                <w:szCs w:val="14"/>
              </w:rPr>
              <w:t>,</w:t>
            </w:r>
            <w:r w:rsidRPr="0004281F">
              <w:rPr>
                <w:rFonts w:cs="Arial"/>
                <w:szCs w:val="14"/>
              </w:rPr>
              <w:t>678</w:t>
            </w:r>
          </w:p>
        </w:tc>
        <w:tc>
          <w:tcPr>
            <w:tcW w:w="280" w:type="dxa"/>
            <w:tcBorders>
              <w:top w:val="nil"/>
              <w:bottom w:val="nil"/>
            </w:tcBorders>
            <w:shd w:val="clear" w:color="auto" w:fill="auto"/>
            <w:vAlign w:val="center"/>
          </w:tcPr>
          <w:p w14:paraId="499F6856" w14:textId="77777777" w:rsidR="004D7275" w:rsidRPr="007E3763" w:rsidRDefault="004D7275" w:rsidP="004D7275">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left w:val="nil"/>
              <w:bottom w:val="nil"/>
              <w:right w:val="nil"/>
            </w:tcBorders>
            <w:shd w:val="clear" w:color="auto" w:fill="auto"/>
            <w:vAlign w:val="center"/>
          </w:tcPr>
          <w:p w14:paraId="03727FB1" w14:textId="77777777" w:rsidR="004D7275" w:rsidRPr="007E3763" w:rsidRDefault="004D7275" w:rsidP="004D727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E3763">
              <w:rPr>
                <w:rFonts w:cs="Arial"/>
                <w:szCs w:val="14"/>
              </w:rPr>
              <w:t>908</w:t>
            </w:r>
          </w:p>
        </w:tc>
        <w:tc>
          <w:tcPr>
            <w:tcW w:w="1417" w:type="dxa"/>
            <w:tcBorders>
              <w:top w:val="nil"/>
              <w:left w:val="nil"/>
              <w:bottom w:val="nil"/>
              <w:right w:val="nil"/>
            </w:tcBorders>
            <w:shd w:val="clear" w:color="auto" w:fill="auto"/>
            <w:vAlign w:val="center"/>
          </w:tcPr>
          <w:p w14:paraId="5A99519C" w14:textId="7EE90664" w:rsidR="004D7275" w:rsidRPr="007E3763" w:rsidRDefault="004D7275" w:rsidP="004D7275">
            <w:pPr>
              <w:pStyle w:val="08-Tabelageral"/>
              <w:cnfStyle w:val="000000100000" w:firstRow="0" w:lastRow="0" w:firstColumn="0" w:lastColumn="0" w:oddVBand="0" w:evenVBand="0" w:oddHBand="1" w:evenHBand="0" w:firstRowFirstColumn="0" w:firstRowLastColumn="0" w:lastRowFirstColumn="0" w:lastRowLastColumn="0"/>
            </w:pPr>
            <w:r w:rsidRPr="0004281F">
              <w:rPr>
                <w:rFonts w:cs="Arial"/>
                <w:szCs w:val="14"/>
              </w:rPr>
              <w:t>1</w:t>
            </w:r>
            <w:r>
              <w:rPr>
                <w:rFonts w:cs="Arial"/>
                <w:szCs w:val="14"/>
              </w:rPr>
              <w:t>,</w:t>
            </w:r>
            <w:r w:rsidRPr="0004281F">
              <w:rPr>
                <w:rFonts w:cs="Arial"/>
                <w:szCs w:val="14"/>
              </w:rPr>
              <w:t>679</w:t>
            </w:r>
          </w:p>
        </w:tc>
      </w:tr>
      <w:tr w:rsidR="00FE3BD4" w:rsidRPr="007E3763" w14:paraId="7BF5C701"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1E3AAE6A" w14:textId="77777777" w:rsidR="00FE3BD4" w:rsidRPr="007E3763" w:rsidRDefault="00FE3BD4" w:rsidP="00FE3BD4">
            <w:pPr>
              <w:pStyle w:val="08-Tabelageral"/>
              <w:ind w:left="113"/>
              <w:jc w:val="left"/>
              <w:rPr>
                <w:bCs w:val="0"/>
              </w:rPr>
            </w:pPr>
            <w:proofErr w:type="spellStart"/>
            <w:r w:rsidRPr="007E3763">
              <w:rPr>
                <w:bCs w:val="0"/>
              </w:rPr>
              <w:t>Adjustment</w:t>
            </w:r>
            <w:proofErr w:type="spellEnd"/>
            <w:r w:rsidRPr="007E3763">
              <w:rPr>
                <w:bCs w:val="0"/>
              </w:rPr>
              <w:t xml:space="preserve"> </w:t>
            </w:r>
            <w:proofErr w:type="spellStart"/>
            <w:r w:rsidRPr="007E3763">
              <w:rPr>
                <w:bCs w:val="0"/>
              </w:rPr>
              <w:t>to</w:t>
            </w:r>
            <w:proofErr w:type="spellEnd"/>
            <w:r w:rsidRPr="007E3763">
              <w:rPr>
                <w:bCs w:val="0"/>
              </w:rPr>
              <w:t xml:space="preserve"> net </w:t>
            </w:r>
            <w:proofErr w:type="spellStart"/>
            <w:r w:rsidRPr="007E3763">
              <w:rPr>
                <w:bCs w:val="0"/>
              </w:rPr>
              <w:t>profit</w:t>
            </w:r>
            <w:proofErr w:type="spellEnd"/>
          </w:p>
        </w:tc>
        <w:tc>
          <w:tcPr>
            <w:tcW w:w="567" w:type="dxa"/>
            <w:tcBorders>
              <w:top w:val="nil"/>
              <w:bottom w:val="nil"/>
            </w:tcBorders>
            <w:shd w:val="clear" w:color="auto" w:fill="FFFFFF" w:themeFill="background1"/>
            <w:vAlign w:val="center"/>
          </w:tcPr>
          <w:p w14:paraId="4C41D546"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rPr>
            </w:pPr>
          </w:p>
        </w:tc>
        <w:tc>
          <w:tcPr>
            <w:tcW w:w="1496" w:type="dxa"/>
            <w:tcBorders>
              <w:top w:val="nil"/>
              <w:left w:val="nil"/>
              <w:bottom w:val="nil"/>
              <w:right w:val="nil"/>
            </w:tcBorders>
            <w:shd w:val="clear" w:color="auto" w:fill="auto"/>
            <w:vAlign w:val="center"/>
          </w:tcPr>
          <w:p w14:paraId="149FC42F"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rPr>
            </w:pPr>
            <w:r w:rsidRPr="007E3763">
              <w:rPr>
                <w:rFonts w:cs="Arial"/>
                <w:b/>
                <w:bCs/>
                <w:szCs w:val="14"/>
              </w:rPr>
              <w:t>20</w:t>
            </w:r>
            <w:r>
              <w:rPr>
                <w:rFonts w:cs="Arial"/>
                <w:b/>
                <w:bCs/>
                <w:szCs w:val="14"/>
              </w:rPr>
              <w:t>,</w:t>
            </w:r>
            <w:r w:rsidRPr="007E3763">
              <w:rPr>
                <w:rFonts w:cs="Arial"/>
                <w:b/>
                <w:bCs/>
                <w:szCs w:val="14"/>
              </w:rPr>
              <w:t>792</w:t>
            </w:r>
          </w:p>
        </w:tc>
        <w:tc>
          <w:tcPr>
            <w:tcW w:w="1339" w:type="dxa"/>
            <w:tcBorders>
              <w:top w:val="nil"/>
              <w:left w:val="nil"/>
              <w:bottom w:val="nil"/>
              <w:right w:val="nil"/>
            </w:tcBorders>
            <w:shd w:val="clear" w:color="auto" w:fill="auto"/>
            <w:vAlign w:val="center"/>
          </w:tcPr>
          <w:p w14:paraId="50360C2D"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23</w:t>
            </w:r>
            <w:r>
              <w:rPr>
                <w:rFonts w:cs="Arial"/>
                <w:b/>
                <w:bCs/>
                <w:szCs w:val="14"/>
              </w:rPr>
              <w:t>,</w:t>
            </w:r>
            <w:r w:rsidRPr="007E3763">
              <w:rPr>
                <w:rFonts w:cs="Arial"/>
                <w:b/>
                <w:bCs/>
                <w:szCs w:val="14"/>
              </w:rPr>
              <w:t>348</w:t>
            </w:r>
          </w:p>
        </w:tc>
        <w:tc>
          <w:tcPr>
            <w:tcW w:w="280" w:type="dxa"/>
            <w:tcBorders>
              <w:top w:val="nil"/>
              <w:bottom w:val="nil"/>
            </w:tcBorders>
            <w:shd w:val="clear" w:color="auto" w:fill="auto"/>
            <w:vAlign w:val="center"/>
          </w:tcPr>
          <w:p w14:paraId="447DF0AA"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80" w:type="dxa"/>
            <w:tcBorders>
              <w:top w:val="nil"/>
              <w:left w:val="nil"/>
              <w:bottom w:val="nil"/>
              <w:right w:val="nil"/>
            </w:tcBorders>
            <w:shd w:val="clear" w:color="auto" w:fill="auto"/>
            <w:vAlign w:val="center"/>
          </w:tcPr>
          <w:p w14:paraId="2E868D30"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rPr>
            </w:pPr>
            <w:r w:rsidRPr="007E3763">
              <w:rPr>
                <w:rFonts w:cs="Arial"/>
                <w:b/>
                <w:bCs/>
                <w:szCs w:val="14"/>
              </w:rPr>
              <w:t>4</w:t>
            </w:r>
            <w:r>
              <w:rPr>
                <w:rFonts w:cs="Arial"/>
                <w:b/>
                <w:bCs/>
                <w:szCs w:val="14"/>
              </w:rPr>
              <w:t>,</w:t>
            </w:r>
            <w:r w:rsidRPr="007E3763">
              <w:rPr>
                <w:rFonts w:cs="Arial"/>
                <w:b/>
                <w:bCs/>
                <w:szCs w:val="14"/>
              </w:rPr>
              <w:t>825</w:t>
            </w:r>
            <w:r>
              <w:rPr>
                <w:rFonts w:cs="Arial"/>
                <w:b/>
                <w:bCs/>
                <w:szCs w:val="14"/>
              </w:rPr>
              <w:t>,</w:t>
            </w:r>
            <w:r w:rsidRPr="007E3763">
              <w:rPr>
                <w:rFonts w:cs="Arial"/>
                <w:b/>
                <w:bCs/>
                <w:szCs w:val="14"/>
              </w:rPr>
              <w:t>764</w:t>
            </w:r>
          </w:p>
        </w:tc>
        <w:tc>
          <w:tcPr>
            <w:tcW w:w="1417" w:type="dxa"/>
            <w:tcBorders>
              <w:top w:val="nil"/>
              <w:left w:val="nil"/>
              <w:bottom w:val="nil"/>
              <w:right w:val="nil"/>
            </w:tcBorders>
            <w:shd w:val="clear" w:color="auto" w:fill="auto"/>
            <w:vAlign w:val="center"/>
          </w:tcPr>
          <w:p w14:paraId="7AE345B2"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3</w:t>
            </w:r>
            <w:r>
              <w:rPr>
                <w:rFonts w:cs="Arial"/>
                <w:b/>
                <w:bCs/>
                <w:szCs w:val="14"/>
              </w:rPr>
              <w:t>,</w:t>
            </w:r>
            <w:r w:rsidRPr="007E3763">
              <w:rPr>
                <w:rFonts w:cs="Arial"/>
                <w:b/>
                <w:bCs/>
                <w:szCs w:val="14"/>
              </w:rPr>
              <w:t>001</w:t>
            </w:r>
            <w:r>
              <w:rPr>
                <w:rFonts w:cs="Arial"/>
                <w:b/>
                <w:bCs/>
                <w:szCs w:val="14"/>
              </w:rPr>
              <w:t>,</w:t>
            </w:r>
            <w:r w:rsidRPr="007E3763">
              <w:rPr>
                <w:rFonts w:cs="Arial"/>
                <w:b/>
                <w:bCs/>
                <w:szCs w:val="14"/>
              </w:rPr>
              <w:t>758</w:t>
            </w:r>
          </w:p>
        </w:tc>
      </w:tr>
      <w:tr w:rsidR="00FE3BD4" w:rsidRPr="001A7DD8" w14:paraId="02626D75"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1EE06F9F" w14:textId="77777777" w:rsidR="00FE3BD4" w:rsidRPr="007E3763" w:rsidRDefault="00FE3BD4" w:rsidP="00FE3BD4">
            <w:pPr>
              <w:pStyle w:val="08-Tabelageral"/>
              <w:ind w:left="113"/>
              <w:jc w:val="left"/>
              <w:rPr>
                <w:bCs w:val="0"/>
                <w:lang w:val="en-US"/>
              </w:rPr>
            </w:pPr>
            <w:r w:rsidRPr="007E3763">
              <w:rPr>
                <w:bCs w:val="0"/>
                <w:lang w:val="en-US"/>
              </w:rPr>
              <w:t>Changes in balance sheet items:</w:t>
            </w:r>
          </w:p>
        </w:tc>
        <w:tc>
          <w:tcPr>
            <w:tcW w:w="567" w:type="dxa"/>
            <w:tcBorders>
              <w:top w:val="nil"/>
              <w:bottom w:val="nil"/>
            </w:tcBorders>
            <w:vAlign w:val="center"/>
          </w:tcPr>
          <w:p w14:paraId="2326DCC9" w14:textId="77777777" w:rsidR="00FE3BD4" w:rsidRPr="007E3763" w:rsidRDefault="00FE3BD4" w:rsidP="00FE3BD4">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496" w:type="dxa"/>
            <w:tcBorders>
              <w:top w:val="nil"/>
              <w:left w:val="nil"/>
              <w:bottom w:val="nil"/>
              <w:right w:val="nil"/>
            </w:tcBorders>
            <w:vAlign w:val="center"/>
          </w:tcPr>
          <w:p w14:paraId="24F0E370" w14:textId="77777777" w:rsidR="00FE3BD4" w:rsidRPr="007E3763" w:rsidRDefault="00FE3BD4" w:rsidP="00FE3BD4">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339" w:type="dxa"/>
            <w:tcBorders>
              <w:top w:val="nil"/>
              <w:bottom w:val="nil"/>
            </w:tcBorders>
            <w:vAlign w:val="center"/>
          </w:tcPr>
          <w:p w14:paraId="4852000D" w14:textId="77777777" w:rsidR="00FE3BD4" w:rsidRPr="007E3763" w:rsidRDefault="00FE3BD4" w:rsidP="00FE3BD4">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280" w:type="dxa"/>
            <w:tcBorders>
              <w:top w:val="nil"/>
              <w:bottom w:val="nil"/>
            </w:tcBorders>
            <w:vAlign w:val="center"/>
          </w:tcPr>
          <w:p w14:paraId="0CD8CDB0" w14:textId="77777777" w:rsidR="00FE3BD4" w:rsidRPr="007E3763" w:rsidRDefault="00FE3BD4" w:rsidP="00FE3BD4">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280" w:type="dxa"/>
            <w:tcBorders>
              <w:top w:val="nil"/>
              <w:left w:val="nil"/>
              <w:bottom w:val="nil"/>
              <w:right w:val="nil"/>
            </w:tcBorders>
            <w:vAlign w:val="center"/>
          </w:tcPr>
          <w:p w14:paraId="7457A00B" w14:textId="77777777" w:rsidR="00FE3BD4" w:rsidRPr="007E3763" w:rsidRDefault="00FE3BD4" w:rsidP="00FE3BD4">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417" w:type="dxa"/>
            <w:tcBorders>
              <w:top w:val="nil"/>
              <w:bottom w:val="nil"/>
            </w:tcBorders>
            <w:vAlign w:val="center"/>
          </w:tcPr>
          <w:p w14:paraId="60A3AE4B" w14:textId="77777777" w:rsidR="00FE3BD4" w:rsidRPr="007E3763" w:rsidRDefault="00FE3BD4" w:rsidP="00FE3BD4">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r>
      <w:tr w:rsidR="00FE3BD4" w:rsidRPr="007E3763" w14:paraId="44F3D434"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150DDECC" w14:textId="77777777" w:rsidR="00FE3BD4" w:rsidRPr="007E3763" w:rsidRDefault="00FE3BD4" w:rsidP="00FE3BD4">
            <w:pPr>
              <w:pStyle w:val="08-Tabelageral"/>
              <w:ind w:left="113"/>
              <w:jc w:val="left"/>
              <w:rPr>
                <w:b w:val="0"/>
                <w:lang w:val="en-US"/>
              </w:rPr>
            </w:pPr>
            <w:r w:rsidRPr="007E3763">
              <w:rPr>
                <w:b w:val="0"/>
                <w:lang w:val="en-US"/>
              </w:rPr>
              <w:t>Financial assets at fair value through profit or loss</w:t>
            </w:r>
          </w:p>
        </w:tc>
        <w:tc>
          <w:tcPr>
            <w:tcW w:w="567" w:type="dxa"/>
            <w:tcBorders>
              <w:top w:val="nil"/>
              <w:bottom w:val="nil"/>
            </w:tcBorders>
            <w:shd w:val="clear" w:color="auto" w:fill="FFFFFF" w:themeFill="background1"/>
            <w:vAlign w:val="center"/>
          </w:tcPr>
          <w:p w14:paraId="502901EA"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503B5BA1"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7E3763">
              <w:rPr>
                <w:rFonts w:cs="Arial"/>
                <w:bCs/>
                <w:szCs w:val="14"/>
              </w:rPr>
              <w:t>(7</w:t>
            </w:r>
            <w:r>
              <w:rPr>
                <w:rFonts w:cs="Arial"/>
                <w:bCs/>
                <w:szCs w:val="14"/>
              </w:rPr>
              <w:t>,</w:t>
            </w:r>
            <w:r w:rsidRPr="007E3763">
              <w:rPr>
                <w:rFonts w:cs="Arial"/>
                <w:bCs/>
                <w:szCs w:val="14"/>
              </w:rPr>
              <w:t>763)</w:t>
            </w:r>
          </w:p>
        </w:tc>
        <w:tc>
          <w:tcPr>
            <w:tcW w:w="1339" w:type="dxa"/>
            <w:tcBorders>
              <w:top w:val="nil"/>
              <w:left w:val="nil"/>
              <w:bottom w:val="nil"/>
              <w:right w:val="nil"/>
            </w:tcBorders>
            <w:shd w:val="clear" w:color="auto" w:fill="auto"/>
            <w:vAlign w:val="center"/>
          </w:tcPr>
          <w:p w14:paraId="1036FF5D"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color w:val="000000"/>
                <w:szCs w:val="14"/>
              </w:rPr>
              <w:t>(2</w:t>
            </w:r>
            <w:r>
              <w:rPr>
                <w:rFonts w:cs="Arial"/>
                <w:color w:val="000000"/>
                <w:szCs w:val="14"/>
              </w:rPr>
              <w:t>,</w:t>
            </w:r>
            <w:r w:rsidRPr="007E3763">
              <w:rPr>
                <w:rFonts w:cs="Arial"/>
                <w:color w:val="000000"/>
                <w:szCs w:val="14"/>
              </w:rPr>
              <w:t>956)</w:t>
            </w:r>
          </w:p>
        </w:tc>
        <w:tc>
          <w:tcPr>
            <w:tcW w:w="280" w:type="dxa"/>
            <w:tcBorders>
              <w:top w:val="nil"/>
              <w:bottom w:val="nil"/>
            </w:tcBorders>
            <w:shd w:val="clear" w:color="auto" w:fill="auto"/>
            <w:vAlign w:val="center"/>
          </w:tcPr>
          <w:p w14:paraId="28EF5E64"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0204E05F"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bCs/>
                <w:szCs w:val="14"/>
              </w:rPr>
              <w:t>(7</w:t>
            </w:r>
            <w:r>
              <w:rPr>
                <w:rFonts w:cs="Arial"/>
                <w:bCs/>
                <w:szCs w:val="14"/>
              </w:rPr>
              <w:t>,</w:t>
            </w:r>
            <w:r w:rsidRPr="007E3763">
              <w:rPr>
                <w:rFonts w:cs="Arial"/>
                <w:bCs/>
                <w:szCs w:val="14"/>
              </w:rPr>
              <w:t>763)</w:t>
            </w:r>
          </w:p>
        </w:tc>
        <w:tc>
          <w:tcPr>
            <w:tcW w:w="1417" w:type="dxa"/>
            <w:tcBorders>
              <w:top w:val="nil"/>
              <w:left w:val="nil"/>
              <w:bottom w:val="nil"/>
              <w:right w:val="nil"/>
            </w:tcBorders>
            <w:shd w:val="clear" w:color="auto" w:fill="auto"/>
            <w:vAlign w:val="center"/>
          </w:tcPr>
          <w:p w14:paraId="10205F47"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bCs/>
                <w:szCs w:val="14"/>
              </w:rPr>
              <w:t>(2</w:t>
            </w:r>
            <w:r>
              <w:rPr>
                <w:rFonts w:cs="Arial"/>
                <w:bCs/>
                <w:szCs w:val="14"/>
              </w:rPr>
              <w:t>,</w:t>
            </w:r>
            <w:r w:rsidRPr="007E3763">
              <w:rPr>
                <w:rFonts w:cs="Arial"/>
                <w:bCs/>
                <w:szCs w:val="14"/>
              </w:rPr>
              <w:t>956)</w:t>
            </w:r>
          </w:p>
        </w:tc>
      </w:tr>
      <w:tr w:rsidR="00FE3BD4" w:rsidRPr="007E3763" w14:paraId="16F5EB97"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59209C37" w14:textId="77777777" w:rsidR="00FE3BD4" w:rsidRPr="007E3763" w:rsidRDefault="00FE3BD4" w:rsidP="00FE3BD4">
            <w:pPr>
              <w:pStyle w:val="08-Tabelageral"/>
              <w:ind w:left="113"/>
              <w:jc w:val="left"/>
              <w:rPr>
                <w:b w:val="0"/>
                <w:lang w:val="en-US"/>
              </w:rPr>
            </w:pPr>
            <w:r w:rsidRPr="007E3763">
              <w:rPr>
                <w:b w:val="0"/>
                <w:lang w:val="en-US"/>
              </w:rPr>
              <w:t>Current tax assets and deferred tax assets</w:t>
            </w:r>
          </w:p>
        </w:tc>
        <w:tc>
          <w:tcPr>
            <w:tcW w:w="567" w:type="dxa"/>
            <w:tcBorders>
              <w:top w:val="nil"/>
              <w:bottom w:val="nil"/>
            </w:tcBorders>
            <w:vAlign w:val="center"/>
          </w:tcPr>
          <w:p w14:paraId="5315D534"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07A102F6"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7E3763">
              <w:rPr>
                <w:rFonts w:cs="Arial"/>
                <w:szCs w:val="14"/>
              </w:rPr>
              <w:t>9</w:t>
            </w:r>
            <w:r>
              <w:rPr>
                <w:rFonts w:cs="Arial"/>
                <w:szCs w:val="14"/>
              </w:rPr>
              <w:t>,</w:t>
            </w:r>
            <w:r w:rsidRPr="007E3763">
              <w:rPr>
                <w:rFonts w:cs="Arial"/>
                <w:szCs w:val="14"/>
              </w:rPr>
              <w:t>919</w:t>
            </w:r>
          </w:p>
        </w:tc>
        <w:tc>
          <w:tcPr>
            <w:tcW w:w="1339" w:type="dxa"/>
            <w:tcBorders>
              <w:top w:val="nil"/>
              <w:left w:val="nil"/>
              <w:bottom w:val="nil"/>
              <w:right w:val="nil"/>
            </w:tcBorders>
            <w:shd w:val="clear" w:color="auto" w:fill="auto"/>
            <w:vAlign w:val="center"/>
          </w:tcPr>
          <w:p w14:paraId="46FB4D64"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color w:val="000000"/>
                <w:szCs w:val="14"/>
              </w:rPr>
              <w:t>(21</w:t>
            </w:r>
            <w:r>
              <w:rPr>
                <w:rFonts w:cs="Arial"/>
                <w:color w:val="000000"/>
                <w:szCs w:val="14"/>
              </w:rPr>
              <w:t>,</w:t>
            </w:r>
            <w:r w:rsidRPr="007E3763">
              <w:rPr>
                <w:rFonts w:cs="Arial"/>
                <w:color w:val="000000"/>
                <w:szCs w:val="14"/>
              </w:rPr>
              <w:t>304)</w:t>
            </w:r>
          </w:p>
        </w:tc>
        <w:tc>
          <w:tcPr>
            <w:tcW w:w="280" w:type="dxa"/>
            <w:tcBorders>
              <w:top w:val="nil"/>
              <w:bottom w:val="nil"/>
            </w:tcBorders>
            <w:shd w:val="clear" w:color="auto" w:fill="auto"/>
            <w:vAlign w:val="center"/>
          </w:tcPr>
          <w:p w14:paraId="31D4CDBF"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4BE5D8C0"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33</w:t>
            </w:r>
            <w:r>
              <w:rPr>
                <w:rFonts w:cs="Arial"/>
                <w:szCs w:val="14"/>
              </w:rPr>
              <w:t>,</w:t>
            </w:r>
            <w:r w:rsidRPr="007E3763">
              <w:rPr>
                <w:rFonts w:cs="Arial"/>
                <w:szCs w:val="14"/>
              </w:rPr>
              <w:t>676</w:t>
            </w:r>
          </w:p>
        </w:tc>
        <w:tc>
          <w:tcPr>
            <w:tcW w:w="1417" w:type="dxa"/>
            <w:tcBorders>
              <w:top w:val="nil"/>
              <w:left w:val="nil"/>
              <w:bottom w:val="nil"/>
              <w:right w:val="nil"/>
            </w:tcBorders>
            <w:shd w:val="clear" w:color="auto" w:fill="auto"/>
            <w:vAlign w:val="center"/>
          </w:tcPr>
          <w:p w14:paraId="4BB918B6"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(51</w:t>
            </w:r>
            <w:r>
              <w:rPr>
                <w:rFonts w:cs="Arial"/>
                <w:szCs w:val="14"/>
              </w:rPr>
              <w:t>,</w:t>
            </w:r>
            <w:r w:rsidRPr="007E3763">
              <w:rPr>
                <w:rFonts w:cs="Arial"/>
                <w:szCs w:val="14"/>
              </w:rPr>
              <w:t>914)</w:t>
            </w:r>
          </w:p>
        </w:tc>
      </w:tr>
      <w:tr w:rsidR="00FE3BD4" w:rsidRPr="007E3763" w14:paraId="46F737BE"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735BC1CA" w14:textId="77777777" w:rsidR="00FE3BD4" w:rsidRPr="007E3763" w:rsidRDefault="00FE3BD4" w:rsidP="00FE3BD4">
            <w:pPr>
              <w:pStyle w:val="08-Tabelageral"/>
              <w:ind w:left="113"/>
              <w:jc w:val="left"/>
            </w:pPr>
            <w:r w:rsidRPr="007E3763">
              <w:rPr>
                <w:rFonts w:cs="Arial"/>
                <w:b w:val="0"/>
                <w:bCs w:val="0"/>
                <w:szCs w:val="14"/>
              </w:rPr>
              <w:t>Non-</w:t>
            </w:r>
            <w:proofErr w:type="spellStart"/>
            <w:r w:rsidRPr="007E3763">
              <w:rPr>
                <w:rFonts w:cs="Arial"/>
                <w:b w:val="0"/>
                <w:bCs w:val="0"/>
                <w:szCs w:val="14"/>
              </w:rPr>
              <w:t>Current</w:t>
            </w:r>
            <w:proofErr w:type="spellEnd"/>
            <w:r w:rsidRPr="007E3763">
              <w:rPr>
                <w:rFonts w:cs="Arial"/>
                <w:b w:val="0"/>
                <w:bCs w:val="0"/>
                <w:szCs w:val="14"/>
              </w:rPr>
              <w:t xml:space="preserve"> </w:t>
            </w:r>
            <w:proofErr w:type="spellStart"/>
            <w:r w:rsidRPr="007E3763">
              <w:rPr>
                <w:rFonts w:cs="Arial"/>
                <w:b w:val="0"/>
                <w:bCs w:val="0"/>
                <w:szCs w:val="14"/>
              </w:rPr>
              <w:t>tax</w:t>
            </w:r>
            <w:proofErr w:type="spellEnd"/>
            <w:r w:rsidRPr="007E3763">
              <w:rPr>
                <w:rFonts w:cs="Arial"/>
                <w:b w:val="0"/>
                <w:bCs w:val="0"/>
                <w:szCs w:val="14"/>
              </w:rPr>
              <w:t xml:space="preserve"> </w:t>
            </w:r>
            <w:proofErr w:type="spellStart"/>
            <w:r w:rsidRPr="007E3763">
              <w:rPr>
                <w:rFonts w:cs="Arial"/>
                <w:b w:val="0"/>
                <w:bCs w:val="0"/>
                <w:szCs w:val="14"/>
              </w:rPr>
              <w:t>assets</w:t>
            </w:r>
            <w:proofErr w:type="spellEnd"/>
          </w:p>
        </w:tc>
        <w:tc>
          <w:tcPr>
            <w:tcW w:w="567" w:type="dxa"/>
            <w:tcBorders>
              <w:top w:val="nil"/>
              <w:bottom w:val="nil"/>
            </w:tcBorders>
            <w:shd w:val="clear" w:color="auto" w:fill="auto"/>
            <w:vAlign w:val="center"/>
          </w:tcPr>
          <w:p w14:paraId="22265C98"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34BAF096"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(13</w:t>
            </w:r>
            <w:r>
              <w:rPr>
                <w:rFonts w:cs="Arial"/>
                <w:szCs w:val="14"/>
              </w:rPr>
              <w:t>,</w:t>
            </w:r>
            <w:r w:rsidRPr="007E3763">
              <w:rPr>
                <w:rFonts w:cs="Arial"/>
                <w:szCs w:val="14"/>
              </w:rPr>
              <w:t>866)</w:t>
            </w:r>
          </w:p>
        </w:tc>
        <w:tc>
          <w:tcPr>
            <w:tcW w:w="1339" w:type="dxa"/>
            <w:tcBorders>
              <w:top w:val="nil"/>
              <w:left w:val="nil"/>
              <w:bottom w:val="nil"/>
              <w:right w:val="nil"/>
            </w:tcBorders>
            <w:shd w:val="clear" w:color="auto" w:fill="auto"/>
            <w:vAlign w:val="center"/>
          </w:tcPr>
          <w:p w14:paraId="02AC7B45"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7E3763">
              <w:rPr>
                <w:rFonts w:cs="Arial"/>
                <w:color w:val="000000"/>
                <w:szCs w:val="14"/>
              </w:rPr>
              <w:t>--</w:t>
            </w:r>
          </w:p>
        </w:tc>
        <w:tc>
          <w:tcPr>
            <w:tcW w:w="280" w:type="dxa"/>
            <w:tcBorders>
              <w:top w:val="nil"/>
              <w:bottom w:val="nil"/>
            </w:tcBorders>
            <w:shd w:val="clear" w:color="auto" w:fill="auto"/>
            <w:vAlign w:val="center"/>
          </w:tcPr>
          <w:p w14:paraId="2E01B233"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121E27D9"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(32</w:t>
            </w:r>
            <w:r>
              <w:rPr>
                <w:rFonts w:cs="Arial"/>
                <w:szCs w:val="14"/>
              </w:rPr>
              <w:t>,</w:t>
            </w:r>
            <w:r w:rsidRPr="007E3763">
              <w:rPr>
                <w:rFonts w:cs="Arial"/>
                <w:szCs w:val="14"/>
              </w:rPr>
              <w:t>755)</w:t>
            </w:r>
          </w:p>
        </w:tc>
        <w:tc>
          <w:tcPr>
            <w:tcW w:w="1417" w:type="dxa"/>
            <w:tcBorders>
              <w:top w:val="nil"/>
              <w:left w:val="nil"/>
              <w:bottom w:val="nil"/>
              <w:right w:val="nil"/>
            </w:tcBorders>
            <w:shd w:val="clear" w:color="auto" w:fill="auto"/>
            <w:vAlign w:val="center"/>
          </w:tcPr>
          <w:p w14:paraId="29EB67BB"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w:t>
            </w:r>
          </w:p>
        </w:tc>
      </w:tr>
      <w:tr w:rsidR="00FE3BD4" w:rsidRPr="007E3763" w14:paraId="0354BA2D"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15224074" w14:textId="77777777" w:rsidR="00FE3BD4" w:rsidRPr="007E3763" w:rsidRDefault="00FE3BD4" w:rsidP="00FE3BD4">
            <w:pPr>
              <w:pStyle w:val="08-Tabelageral"/>
              <w:ind w:left="113"/>
              <w:jc w:val="left"/>
              <w:rPr>
                <w:b w:val="0"/>
              </w:rPr>
            </w:pPr>
            <w:proofErr w:type="spellStart"/>
            <w:r w:rsidRPr="007E3763">
              <w:rPr>
                <w:b w:val="0"/>
              </w:rPr>
              <w:t>Commissions</w:t>
            </w:r>
            <w:proofErr w:type="spellEnd"/>
            <w:r w:rsidRPr="007E3763">
              <w:rPr>
                <w:b w:val="0"/>
              </w:rPr>
              <w:t xml:space="preserve"> </w:t>
            </w:r>
            <w:proofErr w:type="spellStart"/>
            <w:r w:rsidRPr="007E3763">
              <w:rPr>
                <w:b w:val="0"/>
              </w:rPr>
              <w:t>receivable</w:t>
            </w:r>
            <w:proofErr w:type="spellEnd"/>
          </w:p>
        </w:tc>
        <w:tc>
          <w:tcPr>
            <w:tcW w:w="567" w:type="dxa"/>
            <w:tcBorders>
              <w:top w:val="nil"/>
              <w:bottom w:val="nil"/>
            </w:tcBorders>
            <w:vAlign w:val="center"/>
          </w:tcPr>
          <w:p w14:paraId="5E0F601B"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0EE6CDF8"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w:t>
            </w:r>
          </w:p>
        </w:tc>
        <w:tc>
          <w:tcPr>
            <w:tcW w:w="1339" w:type="dxa"/>
            <w:tcBorders>
              <w:top w:val="nil"/>
              <w:left w:val="nil"/>
              <w:bottom w:val="nil"/>
              <w:right w:val="nil"/>
            </w:tcBorders>
            <w:shd w:val="clear" w:color="auto" w:fill="auto"/>
            <w:vAlign w:val="center"/>
          </w:tcPr>
          <w:p w14:paraId="4778549F"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color w:val="000000"/>
                <w:szCs w:val="14"/>
              </w:rPr>
              <w:t>--</w:t>
            </w:r>
          </w:p>
        </w:tc>
        <w:tc>
          <w:tcPr>
            <w:tcW w:w="280" w:type="dxa"/>
            <w:tcBorders>
              <w:top w:val="nil"/>
              <w:bottom w:val="nil"/>
            </w:tcBorders>
            <w:shd w:val="clear" w:color="auto" w:fill="auto"/>
            <w:vAlign w:val="center"/>
          </w:tcPr>
          <w:p w14:paraId="6E533412"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09018E5A"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(499</w:t>
            </w:r>
            <w:r>
              <w:rPr>
                <w:rFonts w:cs="Arial"/>
                <w:szCs w:val="14"/>
              </w:rPr>
              <w:t>,</w:t>
            </w:r>
            <w:r w:rsidRPr="007E3763">
              <w:rPr>
                <w:rFonts w:cs="Arial"/>
                <w:szCs w:val="14"/>
              </w:rPr>
              <w:t>442)</w:t>
            </w:r>
          </w:p>
        </w:tc>
        <w:tc>
          <w:tcPr>
            <w:tcW w:w="1417" w:type="dxa"/>
            <w:tcBorders>
              <w:top w:val="nil"/>
              <w:left w:val="nil"/>
              <w:bottom w:val="nil"/>
              <w:right w:val="nil"/>
            </w:tcBorders>
            <w:shd w:val="clear" w:color="auto" w:fill="auto"/>
            <w:vAlign w:val="center"/>
          </w:tcPr>
          <w:p w14:paraId="1BBED742"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(351</w:t>
            </w:r>
            <w:r>
              <w:rPr>
                <w:rFonts w:cs="Arial"/>
                <w:szCs w:val="14"/>
              </w:rPr>
              <w:t>,</w:t>
            </w:r>
            <w:r w:rsidRPr="007E3763">
              <w:rPr>
                <w:rFonts w:cs="Arial"/>
                <w:szCs w:val="14"/>
              </w:rPr>
              <w:t>728)</w:t>
            </w:r>
          </w:p>
        </w:tc>
      </w:tr>
      <w:tr w:rsidR="00FE3BD4" w:rsidRPr="007E3763" w14:paraId="39F6597B"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6476F07D" w14:textId="77777777" w:rsidR="00FE3BD4" w:rsidRPr="007E3763" w:rsidRDefault="00FE3BD4" w:rsidP="00FE3BD4">
            <w:pPr>
              <w:pStyle w:val="08-Tabelageral"/>
              <w:ind w:left="113"/>
              <w:jc w:val="left"/>
              <w:rPr>
                <w:b w:val="0"/>
              </w:rPr>
            </w:pPr>
            <w:r w:rsidRPr="007E3763">
              <w:rPr>
                <w:b w:val="0"/>
              </w:rPr>
              <w:t xml:space="preserve">Other </w:t>
            </w:r>
            <w:proofErr w:type="spellStart"/>
            <w:r w:rsidRPr="007E3763">
              <w:rPr>
                <w:b w:val="0"/>
              </w:rPr>
              <w:t>assets</w:t>
            </w:r>
            <w:proofErr w:type="spellEnd"/>
          </w:p>
        </w:tc>
        <w:tc>
          <w:tcPr>
            <w:tcW w:w="567" w:type="dxa"/>
            <w:tcBorders>
              <w:top w:val="nil"/>
              <w:bottom w:val="nil"/>
            </w:tcBorders>
            <w:shd w:val="clear" w:color="auto" w:fill="FFFFFF" w:themeFill="background1"/>
            <w:vAlign w:val="center"/>
          </w:tcPr>
          <w:p w14:paraId="41F4E8B1"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6B8FB3C0"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2</w:t>
            </w:r>
            <w:r>
              <w:rPr>
                <w:rFonts w:cs="Arial"/>
                <w:szCs w:val="14"/>
              </w:rPr>
              <w:t>,</w:t>
            </w:r>
            <w:r w:rsidRPr="007E3763">
              <w:rPr>
                <w:rFonts w:cs="Arial"/>
                <w:szCs w:val="14"/>
              </w:rPr>
              <w:t>581</w:t>
            </w:r>
          </w:p>
        </w:tc>
        <w:tc>
          <w:tcPr>
            <w:tcW w:w="1339" w:type="dxa"/>
            <w:tcBorders>
              <w:top w:val="nil"/>
              <w:left w:val="nil"/>
              <w:bottom w:val="nil"/>
              <w:right w:val="nil"/>
            </w:tcBorders>
            <w:shd w:val="clear" w:color="auto" w:fill="auto"/>
            <w:vAlign w:val="center"/>
          </w:tcPr>
          <w:p w14:paraId="02EFCAB5"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color w:val="000000"/>
                <w:szCs w:val="14"/>
              </w:rPr>
              <w:t>(3</w:t>
            </w:r>
            <w:r>
              <w:rPr>
                <w:rFonts w:cs="Arial"/>
                <w:color w:val="000000"/>
                <w:szCs w:val="14"/>
              </w:rPr>
              <w:t>,</w:t>
            </w:r>
            <w:r w:rsidRPr="007E3763">
              <w:rPr>
                <w:rFonts w:cs="Arial"/>
                <w:color w:val="000000"/>
                <w:szCs w:val="14"/>
              </w:rPr>
              <w:t>699)</w:t>
            </w:r>
          </w:p>
        </w:tc>
        <w:tc>
          <w:tcPr>
            <w:tcW w:w="280" w:type="dxa"/>
            <w:tcBorders>
              <w:top w:val="nil"/>
              <w:bottom w:val="nil"/>
            </w:tcBorders>
            <w:shd w:val="clear" w:color="auto" w:fill="auto"/>
            <w:vAlign w:val="center"/>
          </w:tcPr>
          <w:p w14:paraId="44404244"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703B139A"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(9</w:t>
            </w:r>
            <w:r>
              <w:rPr>
                <w:rFonts w:cs="Arial"/>
                <w:szCs w:val="14"/>
              </w:rPr>
              <w:t>,</w:t>
            </w:r>
            <w:r w:rsidRPr="007E3763">
              <w:rPr>
                <w:rFonts w:cs="Arial"/>
                <w:szCs w:val="14"/>
              </w:rPr>
              <w:t>690)</w:t>
            </w:r>
          </w:p>
        </w:tc>
        <w:tc>
          <w:tcPr>
            <w:tcW w:w="1417" w:type="dxa"/>
            <w:tcBorders>
              <w:top w:val="nil"/>
              <w:left w:val="nil"/>
              <w:bottom w:val="nil"/>
              <w:right w:val="nil"/>
            </w:tcBorders>
            <w:shd w:val="clear" w:color="auto" w:fill="auto"/>
            <w:vAlign w:val="center"/>
          </w:tcPr>
          <w:p w14:paraId="256BF72E"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(22</w:t>
            </w:r>
            <w:r>
              <w:rPr>
                <w:rFonts w:cs="Arial"/>
                <w:szCs w:val="14"/>
              </w:rPr>
              <w:t>,</w:t>
            </w:r>
            <w:r w:rsidRPr="007E3763">
              <w:rPr>
                <w:rFonts w:cs="Arial"/>
                <w:szCs w:val="14"/>
              </w:rPr>
              <w:t>329)</w:t>
            </w:r>
          </w:p>
        </w:tc>
      </w:tr>
      <w:tr w:rsidR="00FE3BD4" w:rsidRPr="007E3763" w14:paraId="7250FCA0"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3AD39F3F" w14:textId="77777777" w:rsidR="00FE3BD4" w:rsidRPr="007E3763" w:rsidRDefault="00FE3BD4" w:rsidP="00FE3BD4">
            <w:pPr>
              <w:pStyle w:val="08-Tabelageral"/>
              <w:ind w:left="113"/>
              <w:jc w:val="left"/>
              <w:rPr>
                <w:b w:val="0"/>
              </w:rPr>
            </w:pPr>
            <w:proofErr w:type="spellStart"/>
            <w:r w:rsidRPr="007E3763">
              <w:rPr>
                <w:b w:val="0"/>
              </w:rPr>
              <w:t>Unearned</w:t>
            </w:r>
            <w:proofErr w:type="spellEnd"/>
            <w:r w:rsidRPr="007E3763">
              <w:rPr>
                <w:b w:val="0"/>
              </w:rPr>
              <w:t xml:space="preserve"> </w:t>
            </w:r>
            <w:proofErr w:type="spellStart"/>
            <w:r w:rsidRPr="007E3763">
              <w:rPr>
                <w:b w:val="0"/>
              </w:rPr>
              <w:t>commissions</w:t>
            </w:r>
            <w:proofErr w:type="spellEnd"/>
          </w:p>
        </w:tc>
        <w:tc>
          <w:tcPr>
            <w:tcW w:w="567" w:type="dxa"/>
            <w:tcBorders>
              <w:top w:val="nil"/>
              <w:bottom w:val="nil"/>
            </w:tcBorders>
            <w:vAlign w:val="center"/>
          </w:tcPr>
          <w:p w14:paraId="63910C60"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4E94AC92"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w:t>
            </w:r>
          </w:p>
        </w:tc>
        <w:tc>
          <w:tcPr>
            <w:tcW w:w="1339" w:type="dxa"/>
            <w:tcBorders>
              <w:top w:val="nil"/>
              <w:bottom w:val="nil"/>
            </w:tcBorders>
            <w:shd w:val="clear" w:color="auto" w:fill="auto"/>
            <w:vAlign w:val="center"/>
          </w:tcPr>
          <w:p w14:paraId="38AD33E2"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rPr>
              <w:t>--</w:t>
            </w:r>
          </w:p>
        </w:tc>
        <w:tc>
          <w:tcPr>
            <w:tcW w:w="280" w:type="dxa"/>
            <w:tcBorders>
              <w:top w:val="nil"/>
              <w:bottom w:val="nil"/>
            </w:tcBorders>
            <w:shd w:val="clear" w:color="auto" w:fill="auto"/>
            <w:vAlign w:val="center"/>
          </w:tcPr>
          <w:p w14:paraId="67AC2C95"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533734E8"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1</w:t>
            </w:r>
            <w:r>
              <w:rPr>
                <w:rFonts w:cs="Arial"/>
                <w:szCs w:val="14"/>
              </w:rPr>
              <w:t>,</w:t>
            </w:r>
            <w:r w:rsidRPr="007E3763">
              <w:rPr>
                <w:rFonts w:cs="Arial"/>
                <w:szCs w:val="14"/>
              </w:rPr>
              <w:t>331</w:t>
            </w:r>
            <w:r>
              <w:rPr>
                <w:rFonts w:cs="Arial"/>
                <w:szCs w:val="14"/>
              </w:rPr>
              <w:t>,</w:t>
            </w:r>
            <w:r w:rsidRPr="007E3763">
              <w:rPr>
                <w:rFonts w:cs="Arial"/>
                <w:szCs w:val="14"/>
              </w:rPr>
              <w:t>083</w:t>
            </w:r>
          </w:p>
        </w:tc>
        <w:tc>
          <w:tcPr>
            <w:tcW w:w="1417" w:type="dxa"/>
            <w:tcBorders>
              <w:top w:val="nil"/>
              <w:left w:val="nil"/>
              <w:bottom w:val="nil"/>
              <w:right w:val="nil"/>
            </w:tcBorders>
            <w:shd w:val="clear" w:color="auto" w:fill="auto"/>
            <w:vAlign w:val="center"/>
          </w:tcPr>
          <w:p w14:paraId="07F58DE3"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1</w:t>
            </w:r>
            <w:r>
              <w:rPr>
                <w:rFonts w:cs="Arial"/>
                <w:szCs w:val="14"/>
              </w:rPr>
              <w:t>,</w:t>
            </w:r>
            <w:r w:rsidRPr="007E3763">
              <w:rPr>
                <w:rFonts w:cs="Arial"/>
                <w:szCs w:val="14"/>
              </w:rPr>
              <w:t>140</w:t>
            </w:r>
            <w:r>
              <w:rPr>
                <w:rFonts w:cs="Arial"/>
                <w:szCs w:val="14"/>
              </w:rPr>
              <w:t>,</w:t>
            </w:r>
            <w:r w:rsidRPr="007E3763">
              <w:rPr>
                <w:rFonts w:cs="Arial"/>
                <w:szCs w:val="14"/>
              </w:rPr>
              <w:t>137</w:t>
            </w:r>
          </w:p>
        </w:tc>
      </w:tr>
      <w:tr w:rsidR="00FE3BD4" w:rsidRPr="007E3763" w14:paraId="5FCC2CC2"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27F88B0D" w14:textId="77777777" w:rsidR="00FE3BD4" w:rsidRPr="007E3763" w:rsidRDefault="00FE3BD4" w:rsidP="00FE3BD4">
            <w:pPr>
              <w:pStyle w:val="08-Tabelageral"/>
              <w:ind w:left="113"/>
              <w:jc w:val="left"/>
              <w:rPr>
                <w:lang w:val="en-US"/>
              </w:rPr>
            </w:pPr>
            <w:r w:rsidRPr="007E3763">
              <w:rPr>
                <w:rFonts w:cs="Arial"/>
                <w:b w:val="0"/>
                <w:bCs w:val="0"/>
                <w:szCs w:val="14"/>
                <w:lang w:val="en-US"/>
              </w:rPr>
              <w:t>Income Tax and Social Contribution paid</w:t>
            </w:r>
          </w:p>
        </w:tc>
        <w:tc>
          <w:tcPr>
            <w:tcW w:w="567" w:type="dxa"/>
            <w:tcBorders>
              <w:top w:val="nil"/>
              <w:bottom w:val="nil"/>
            </w:tcBorders>
            <w:shd w:val="clear" w:color="auto" w:fill="auto"/>
            <w:vAlign w:val="center"/>
          </w:tcPr>
          <w:p w14:paraId="04FB2E32"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3327D7AE"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(3</w:t>
            </w:r>
            <w:r>
              <w:rPr>
                <w:rFonts w:cs="Arial"/>
                <w:szCs w:val="14"/>
              </w:rPr>
              <w:t>,</w:t>
            </w:r>
            <w:r w:rsidRPr="007E3763">
              <w:rPr>
                <w:rFonts w:cs="Arial"/>
                <w:szCs w:val="14"/>
              </w:rPr>
              <w:t>492)</w:t>
            </w:r>
          </w:p>
        </w:tc>
        <w:tc>
          <w:tcPr>
            <w:tcW w:w="1339" w:type="dxa"/>
            <w:tcBorders>
              <w:top w:val="nil"/>
              <w:left w:val="nil"/>
              <w:bottom w:val="nil"/>
              <w:right w:val="nil"/>
            </w:tcBorders>
            <w:shd w:val="clear" w:color="auto" w:fill="auto"/>
            <w:vAlign w:val="center"/>
          </w:tcPr>
          <w:p w14:paraId="1A8A0BCD"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7E3763">
              <w:rPr>
                <w:rFonts w:cs="Arial"/>
                <w:color w:val="000000"/>
                <w:szCs w:val="14"/>
              </w:rPr>
              <w:t>--</w:t>
            </w:r>
          </w:p>
        </w:tc>
        <w:tc>
          <w:tcPr>
            <w:tcW w:w="280" w:type="dxa"/>
            <w:tcBorders>
              <w:top w:val="nil"/>
              <w:bottom w:val="nil"/>
            </w:tcBorders>
            <w:shd w:val="clear" w:color="auto" w:fill="auto"/>
            <w:vAlign w:val="center"/>
          </w:tcPr>
          <w:p w14:paraId="3CF365EE"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609A269D"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(1</w:t>
            </w:r>
            <w:r>
              <w:rPr>
                <w:rFonts w:cs="Arial"/>
                <w:szCs w:val="14"/>
              </w:rPr>
              <w:t>,</w:t>
            </w:r>
            <w:r w:rsidRPr="007E3763">
              <w:rPr>
                <w:rFonts w:cs="Arial"/>
                <w:szCs w:val="14"/>
              </w:rPr>
              <w:t>410</w:t>
            </w:r>
            <w:r>
              <w:rPr>
                <w:rFonts w:cs="Arial"/>
                <w:szCs w:val="14"/>
              </w:rPr>
              <w:t>,</w:t>
            </w:r>
            <w:r w:rsidRPr="007E3763">
              <w:rPr>
                <w:rFonts w:cs="Arial"/>
                <w:szCs w:val="14"/>
              </w:rPr>
              <w:t>990)</w:t>
            </w:r>
          </w:p>
        </w:tc>
        <w:tc>
          <w:tcPr>
            <w:tcW w:w="1417" w:type="dxa"/>
            <w:tcBorders>
              <w:top w:val="nil"/>
              <w:left w:val="nil"/>
              <w:bottom w:val="nil"/>
              <w:right w:val="nil"/>
            </w:tcBorders>
            <w:shd w:val="clear" w:color="auto" w:fill="auto"/>
            <w:vAlign w:val="center"/>
          </w:tcPr>
          <w:p w14:paraId="14C835FF"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E3763">
              <w:rPr>
                <w:rFonts w:cs="Arial"/>
                <w:szCs w:val="14"/>
              </w:rPr>
              <w:t>--</w:t>
            </w:r>
          </w:p>
        </w:tc>
      </w:tr>
      <w:tr w:rsidR="00FE3BD4" w:rsidRPr="007E3763" w14:paraId="1724C7F5"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36DE065D" w14:textId="77777777" w:rsidR="00FE3BD4" w:rsidRPr="007E3763" w:rsidRDefault="00FE3BD4" w:rsidP="00FE3BD4">
            <w:pPr>
              <w:pStyle w:val="08-Tabelageral"/>
              <w:ind w:left="113"/>
              <w:jc w:val="left"/>
              <w:rPr>
                <w:b w:val="0"/>
                <w:lang w:val="en-US"/>
              </w:rPr>
            </w:pPr>
            <w:r w:rsidRPr="007E3763">
              <w:rPr>
                <w:b w:val="0"/>
                <w:lang w:val="en-US"/>
              </w:rPr>
              <w:t>Current tax liabilities and deferred tax liabilities</w:t>
            </w:r>
          </w:p>
        </w:tc>
        <w:tc>
          <w:tcPr>
            <w:tcW w:w="567" w:type="dxa"/>
            <w:tcBorders>
              <w:top w:val="nil"/>
              <w:bottom w:val="nil"/>
            </w:tcBorders>
            <w:vAlign w:val="center"/>
          </w:tcPr>
          <w:p w14:paraId="7EA6E93C"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496" w:type="dxa"/>
            <w:tcBorders>
              <w:top w:val="nil"/>
              <w:left w:val="nil"/>
              <w:bottom w:val="nil"/>
              <w:right w:val="nil"/>
            </w:tcBorders>
            <w:shd w:val="clear" w:color="auto" w:fill="auto"/>
            <w:vAlign w:val="center"/>
          </w:tcPr>
          <w:p w14:paraId="644E9FA0"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7E3763">
              <w:rPr>
                <w:rFonts w:cs="Arial"/>
                <w:szCs w:val="14"/>
              </w:rPr>
              <w:t>121</w:t>
            </w:r>
          </w:p>
        </w:tc>
        <w:tc>
          <w:tcPr>
            <w:tcW w:w="1339" w:type="dxa"/>
            <w:tcBorders>
              <w:top w:val="nil"/>
              <w:left w:val="nil"/>
              <w:bottom w:val="nil"/>
              <w:right w:val="nil"/>
            </w:tcBorders>
            <w:shd w:val="clear" w:color="auto" w:fill="auto"/>
            <w:vAlign w:val="center"/>
          </w:tcPr>
          <w:p w14:paraId="374EAEA4"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color w:val="000000"/>
                <w:szCs w:val="14"/>
              </w:rPr>
              <w:t>658</w:t>
            </w:r>
          </w:p>
        </w:tc>
        <w:tc>
          <w:tcPr>
            <w:tcW w:w="280" w:type="dxa"/>
            <w:tcBorders>
              <w:top w:val="nil"/>
              <w:bottom w:val="nil"/>
            </w:tcBorders>
            <w:shd w:val="clear" w:color="auto" w:fill="auto"/>
            <w:vAlign w:val="center"/>
          </w:tcPr>
          <w:p w14:paraId="608EAA89"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5C312541"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4</w:t>
            </w:r>
            <w:r>
              <w:rPr>
                <w:rFonts w:cs="Arial"/>
                <w:szCs w:val="14"/>
              </w:rPr>
              <w:t>,</w:t>
            </w:r>
            <w:r w:rsidRPr="007E3763">
              <w:rPr>
                <w:rFonts w:cs="Arial"/>
                <w:szCs w:val="14"/>
              </w:rPr>
              <w:t>368</w:t>
            </w:r>
          </w:p>
        </w:tc>
        <w:tc>
          <w:tcPr>
            <w:tcW w:w="1417" w:type="dxa"/>
            <w:tcBorders>
              <w:top w:val="nil"/>
              <w:left w:val="nil"/>
              <w:bottom w:val="nil"/>
              <w:right w:val="nil"/>
            </w:tcBorders>
            <w:shd w:val="clear" w:color="auto" w:fill="auto"/>
            <w:vAlign w:val="center"/>
          </w:tcPr>
          <w:p w14:paraId="646F267F"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(13</w:t>
            </w:r>
            <w:r>
              <w:rPr>
                <w:rFonts w:cs="Arial"/>
                <w:szCs w:val="14"/>
              </w:rPr>
              <w:t>,</w:t>
            </w:r>
            <w:r w:rsidRPr="007E3763">
              <w:rPr>
                <w:rFonts w:cs="Arial"/>
                <w:szCs w:val="14"/>
              </w:rPr>
              <w:t>211)</w:t>
            </w:r>
          </w:p>
        </w:tc>
      </w:tr>
      <w:tr w:rsidR="00FE3BD4" w:rsidRPr="007E3763" w14:paraId="0F4E4CC2"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7917B21B" w14:textId="77777777" w:rsidR="00FE3BD4" w:rsidRPr="007E3763" w:rsidRDefault="00FE3BD4" w:rsidP="00FE3BD4">
            <w:pPr>
              <w:pStyle w:val="08-Tabelageral"/>
              <w:ind w:left="113"/>
              <w:jc w:val="left"/>
              <w:rPr>
                <w:b w:val="0"/>
              </w:rPr>
            </w:pPr>
            <w:r w:rsidRPr="007E3763">
              <w:rPr>
                <w:b w:val="0"/>
              </w:rPr>
              <w:t xml:space="preserve">Other </w:t>
            </w:r>
            <w:proofErr w:type="spellStart"/>
            <w:r w:rsidRPr="007E3763">
              <w:rPr>
                <w:b w:val="0"/>
              </w:rPr>
              <w:t>liabilities</w:t>
            </w:r>
            <w:proofErr w:type="spellEnd"/>
          </w:p>
        </w:tc>
        <w:tc>
          <w:tcPr>
            <w:tcW w:w="567" w:type="dxa"/>
            <w:tcBorders>
              <w:top w:val="nil"/>
              <w:bottom w:val="nil"/>
            </w:tcBorders>
            <w:shd w:val="clear" w:color="auto" w:fill="FFFFFF" w:themeFill="background1"/>
            <w:vAlign w:val="center"/>
          </w:tcPr>
          <w:p w14:paraId="1D18A72D"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55D23C71"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(660)</w:t>
            </w:r>
          </w:p>
        </w:tc>
        <w:tc>
          <w:tcPr>
            <w:tcW w:w="1339" w:type="dxa"/>
            <w:tcBorders>
              <w:top w:val="nil"/>
              <w:left w:val="nil"/>
              <w:bottom w:val="nil"/>
              <w:right w:val="nil"/>
            </w:tcBorders>
            <w:shd w:val="clear" w:color="auto" w:fill="auto"/>
            <w:vAlign w:val="center"/>
          </w:tcPr>
          <w:p w14:paraId="7D65A5BF"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color w:val="000000"/>
                <w:szCs w:val="14"/>
              </w:rPr>
              <w:t>1</w:t>
            </w:r>
            <w:r>
              <w:rPr>
                <w:rFonts w:cs="Arial"/>
                <w:color w:val="000000"/>
                <w:szCs w:val="14"/>
              </w:rPr>
              <w:t>,</w:t>
            </w:r>
            <w:r w:rsidRPr="007E3763">
              <w:rPr>
                <w:rFonts w:cs="Arial"/>
                <w:color w:val="000000"/>
                <w:szCs w:val="14"/>
              </w:rPr>
              <w:t>304</w:t>
            </w:r>
          </w:p>
        </w:tc>
        <w:tc>
          <w:tcPr>
            <w:tcW w:w="280" w:type="dxa"/>
            <w:tcBorders>
              <w:top w:val="nil"/>
              <w:bottom w:val="nil"/>
            </w:tcBorders>
            <w:shd w:val="clear" w:color="auto" w:fill="auto"/>
            <w:vAlign w:val="center"/>
          </w:tcPr>
          <w:p w14:paraId="3F948367"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3F81D95D"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(10</w:t>
            </w:r>
            <w:r>
              <w:rPr>
                <w:rFonts w:cs="Arial"/>
                <w:szCs w:val="14"/>
              </w:rPr>
              <w:t>,</w:t>
            </w:r>
            <w:r w:rsidRPr="007E3763">
              <w:rPr>
                <w:rFonts w:cs="Arial"/>
                <w:szCs w:val="14"/>
              </w:rPr>
              <w:t>665)</w:t>
            </w:r>
          </w:p>
        </w:tc>
        <w:tc>
          <w:tcPr>
            <w:tcW w:w="1417" w:type="dxa"/>
            <w:tcBorders>
              <w:top w:val="nil"/>
              <w:left w:val="nil"/>
              <w:bottom w:val="nil"/>
              <w:right w:val="nil"/>
            </w:tcBorders>
            <w:shd w:val="clear" w:color="auto" w:fill="auto"/>
            <w:vAlign w:val="center"/>
          </w:tcPr>
          <w:p w14:paraId="737CA18B"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(1</w:t>
            </w:r>
            <w:r>
              <w:rPr>
                <w:rFonts w:cs="Arial"/>
                <w:szCs w:val="14"/>
              </w:rPr>
              <w:t>,</w:t>
            </w:r>
            <w:r w:rsidRPr="007E3763">
              <w:rPr>
                <w:rFonts w:cs="Arial"/>
                <w:szCs w:val="14"/>
              </w:rPr>
              <w:t>916)</w:t>
            </w:r>
          </w:p>
        </w:tc>
      </w:tr>
      <w:tr w:rsidR="00FE3BD4" w:rsidRPr="007E3763" w14:paraId="3A929C57"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49E35A4F" w14:textId="77777777" w:rsidR="00FE3BD4" w:rsidRPr="007E3763" w:rsidRDefault="00FE3BD4" w:rsidP="00FE3BD4">
            <w:pPr>
              <w:pStyle w:val="08-Tabelageral"/>
              <w:jc w:val="left"/>
              <w:rPr>
                <w:b w:val="0"/>
                <w:lang w:val="en-US"/>
              </w:rPr>
            </w:pPr>
            <w:r w:rsidRPr="007E3763">
              <w:rPr>
                <w:lang w:val="en-US"/>
              </w:rPr>
              <w:t>Cash provided by operating activities</w:t>
            </w:r>
          </w:p>
        </w:tc>
        <w:tc>
          <w:tcPr>
            <w:tcW w:w="567" w:type="dxa"/>
            <w:tcBorders>
              <w:top w:val="nil"/>
              <w:bottom w:val="nil"/>
            </w:tcBorders>
            <w:vAlign w:val="center"/>
          </w:tcPr>
          <w:p w14:paraId="320C6C81"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496" w:type="dxa"/>
            <w:tcBorders>
              <w:top w:val="nil"/>
              <w:left w:val="nil"/>
              <w:bottom w:val="nil"/>
              <w:right w:val="nil"/>
            </w:tcBorders>
            <w:shd w:val="clear" w:color="auto" w:fill="auto"/>
            <w:vAlign w:val="center"/>
          </w:tcPr>
          <w:p w14:paraId="21AB689B"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7E3763">
              <w:rPr>
                <w:rFonts w:cs="Arial"/>
                <w:b/>
                <w:bCs/>
                <w:szCs w:val="14"/>
              </w:rPr>
              <w:t>7</w:t>
            </w:r>
            <w:r>
              <w:rPr>
                <w:rFonts w:cs="Arial"/>
                <w:b/>
                <w:bCs/>
                <w:szCs w:val="14"/>
              </w:rPr>
              <w:t>,</w:t>
            </w:r>
            <w:r w:rsidRPr="007E3763">
              <w:rPr>
                <w:rFonts w:cs="Arial"/>
                <w:b/>
                <w:bCs/>
                <w:szCs w:val="14"/>
              </w:rPr>
              <w:t>632</w:t>
            </w:r>
          </w:p>
        </w:tc>
        <w:tc>
          <w:tcPr>
            <w:tcW w:w="1339" w:type="dxa"/>
            <w:tcBorders>
              <w:top w:val="nil"/>
              <w:left w:val="nil"/>
              <w:bottom w:val="nil"/>
              <w:right w:val="nil"/>
            </w:tcBorders>
            <w:shd w:val="clear" w:color="auto" w:fill="auto"/>
            <w:vAlign w:val="center"/>
          </w:tcPr>
          <w:p w14:paraId="47D8D0AF"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color w:val="000000"/>
                <w:szCs w:val="14"/>
              </w:rPr>
              <w:t>(2</w:t>
            </w:r>
            <w:r>
              <w:rPr>
                <w:rFonts w:cs="Arial"/>
                <w:b/>
                <w:bCs/>
                <w:color w:val="000000"/>
                <w:szCs w:val="14"/>
              </w:rPr>
              <w:t>,</w:t>
            </w:r>
            <w:r w:rsidRPr="007E3763">
              <w:rPr>
                <w:rFonts w:cs="Arial"/>
                <w:b/>
                <w:bCs/>
                <w:color w:val="000000"/>
                <w:szCs w:val="14"/>
              </w:rPr>
              <w:t>649)</w:t>
            </w:r>
          </w:p>
        </w:tc>
        <w:tc>
          <w:tcPr>
            <w:tcW w:w="280" w:type="dxa"/>
            <w:tcBorders>
              <w:top w:val="nil"/>
              <w:bottom w:val="nil"/>
            </w:tcBorders>
            <w:shd w:val="clear" w:color="auto" w:fill="auto"/>
            <w:vAlign w:val="center"/>
          </w:tcPr>
          <w:p w14:paraId="63CAA343"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80" w:type="dxa"/>
            <w:tcBorders>
              <w:top w:val="nil"/>
              <w:left w:val="nil"/>
              <w:bottom w:val="nil"/>
              <w:right w:val="nil"/>
            </w:tcBorders>
            <w:shd w:val="clear" w:color="auto" w:fill="auto"/>
            <w:vAlign w:val="center"/>
          </w:tcPr>
          <w:p w14:paraId="6FE62B70"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E3763">
              <w:rPr>
                <w:rFonts w:cs="Arial"/>
                <w:b/>
                <w:bCs/>
                <w:szCs w:val="14"/>
              </w:rPr>
              <w:t>4</w:t>
            </w:r>
            <w:r>
              <w:rPr>
                <w:rFonts w:cs="Arial"/>
                <w:b/>
                <w:bCs/>
                <w:szCs w:val="14"/>
              </w:rPr>
              <w:t>,</w:t>
            </w:r>
            <w:r w:rsidRPr="007E3763">
              <w:rPr>
                <w:rFonts w:cs="Arial"/>
                <w:b/>
                <w:bCs/>
                <w:szCs w:val="14"/>
              </w:rPr>
              <w:t>223</w:t>
            </w:r>
            <w:r>
              <w:rPr>
                <w:rFonts w:cs="Arial"/>
                <w:b/>
                <w:bCs/>
                <w:szCs w:val="14"/>
              </w:rPr>
              <w:t>,</w:t>
            </w:r>
            <w:r w:rsidRPr="007E3763">
              <w:rPr>
                <w:rFonts w:cs="Arial"/>
                <w:b/>
                <w:bCs/>
                <w:szCs w:val="14"/>
              </w:rPr>
              <w:t>586</w:t>
            </w:r>
          </w:p>
        </w:tc>
        <w:tc>
          <w:tcPr>
            <w:tcW w:w="1417" w:type="dxa"/>
            <w:tcBorders>
              <w:top w:val="nil"/>
              <w:left w:val="nil"/>
              <w:bottom w:val="nil"/>
              <w:right w:val="nil"/>
            </w:tcBorders>
            <w:shd w:val="clear" w:color="auto" w:fill="auto"/>
            <w:vAlign w:val="center"/>
          </w:tcPr>
          <w:p w14:paraId="6C1D4951"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szCs w:val="14"/>
              </w:rPr>
              <w:t>3</w:t>
            </w:r>
            <w:r>
              <w:rPr>
                <w:rFonts w:cs="Arial"/>
                <w:b/>
                <w:bCs/>
                <w:szCs w:val="14"/>
              </w:rPr>
              <w:t>,</w:t>
            </w:r>
            <w:r w:rsidRPr="007E3763">
              <w:rPr>
                <w:rFonts w:cs="Arial"/>
                <w:b/>
                <w:bCs/>
                <w:szCs w:val="14"/>
              </w:rPr>
              <w:t>697</w:t>
            </w:r>
            <w:r>
              <w:rPr>
                <w:rFonts w:cs="Arial"/>
                <w:b/>
                <w:bCs/>
                <w:szCs w:val="14"/>
              </w:rPr>
              <w:t>,</w:t>
            </w:r>
            <w:r w:rsidRPr="007E3763">
              <w:rPr>
                <w:rFonts w:cs="Arial"/>
                <w:b/>
                <w:bCs/>
                <w:szCs w:val="14"/>
              </w:rPr>
              <w:t>841</w:t>
            </w:r>
          </w:p>
        </w:tc>
      </w:tr>
      <w:tr w:rsidR="00FE3BD4" w:rsidRPr="007E3763" w14:paraId="5119DF7F"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25848F72" w14:textId="77777777" w:rsidR="00FE3BD4" w:rsidRPr="007E3763" w:rsidRDefault="00FE3BD4" w:rsidP="00FE3BD4">
            <w:pPr>
              <w:pStyle w:val="08-Tabelageral"/>
              <w:ind w:left="113"/>
              <w:jc w:val="left"/>
              <w:rPr>
                <w:b w:val="0"/>
              </w:rPr>
            </w:pPr>
          </w:p>
        </w:tc>
        <w:tc>
          <w:tcPr>
            <w:tcW w:w="567" w:type="dxa"/>
            <w:tcBorders>
              <w:top w:val="nil"/>
              <w:bottom w:val="nil"/>
            </w:tcBorders>
            <w:shd w:val="clear" w:color="auto" w:fill="FFFFFF" w:themeFill="background1"/>
            <w:vAlign w:val="center"/>
          </w:tcPr>
          <w:p w14:paraId="697FDA15"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szCs w:val="14"/>
              </w:rPr>
            </w:pPr>
          </w:p>
        </w:tc>
        <w:tc>
          <w:tcPr>
            <w:tcW w:w="1496" w:type="dxa"/>
            <w:tcBorders>
              <w:top w:val="nil"/>
              <w:left w:val="nil"/>
              <w:bottom w:val="nil"/>
              <w:right w:val="nil"/>
            </w:tcBorders>
            <w:shd w:val="clear" w:color="auto" w:fill="FFFFFF" w:themeFill="background1"/>
            <w:vAlign w:val="center"/>
          </w:tcPr>
          <w:p w14:paraId="68DE5761"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39" w:type="dxa"/>
            <w:tcBorders>
              <w:top w:val="nil"/>
              <w:bottom w:val="nil"/>
            </w:tcBorders>
            <w:shd w:val="clear" w:color="auto" w:fill="FFFFFF" w:themeFill="background1"/>
            <w:vAlign w:val="center"/>
          </w:tcPr>
          <w:p w14:paraId="34CB18D4"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center"/>
          </w:tcPr>
          <w:p w14:paraId="6E8448C4"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left w:val="nil"/>
              <w:bottom w:val="nil"/>
              <w:right w:val="nil"/>
            </w:tcBorders>
            <w:shd w:val="clear" w:color="auto" w:fill="FFFFFF" w:themeFill="background1"/>
            <w:vAlign w:val="center"/>
          </w:tcPr>
          <w:p w14:paraId="63E8798B"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688BAA87"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pPr>
          </w:p>
        </w:tc>
      </w:tr>
      <w:tr w:rsidR="00FE3BD4" w:rsidRPr="001A7DD8" w14:paraId="40E6D34F"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689FFEE6" w14:textId="77777777" w:rsidR="00FE3BD4" w:rsidRPr="007E3763" w:rsidRDefault="00FE3BD4" w:rsidP="00FE3BD4">
            <w:pPr>
              <w:pStyle w:val="08-Tabelageral"/>
              <w:jc w:val="left"/>
              <w:rPr>
                <w:b w:val="0"/>
                <w:lang w:val="en-US"/>
              </w:rPr>
            </w:pPr>
            <w:r w:rsidRPr="007E3763">
              <w:rPr>
                <w:lang w:val="en-US"/>
              </w:rPr>
              <w:t>Cash flow from investment activities</w:t>
            </w:r>
          </w:p>
        </w:tc>
        <w:tc>
          <w:tcPr>
            <w:tcW w:w="567" w:type="dxa"/>
            <w:tcBorders>
              <w:top w:val="nil"/>
              <w:bottom w:val="nil"/>
            </w:tcBorders>
            <w:vAlign w:val="center"/>
          </w:tcPr>
          <w:p w14:paraId="5D02AFBE"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496" w:type="dxa"/>
            <w:tcBorders>
              <w:top w:val="nil"/>
              <w:left w:val="nil"/>
              <w:bottom w:val="nil"/>
              <w:right w:val="nil"/>
            </w:tcBorders>
            <w:vAlign w:val="center"/>
          </w:tcPr>
          <w:p w14:paraId="4B1D0555"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39" w:type="dxa"/>
            <w:tcBorders>
              <w:top w:val="nil"/>
              <w:bottom w:val="nil"/>
            </w:tcBorders>
            <w:vAlign w:val="center"/>
          </w:tcPr>
          <w:p w14:paraId="33626AA4"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lang w:val="en-US"/>
              </w:rPr>
            </w:pPr>
          </w:p>
        </w:tc>
        <w:tc>
          <w:tcPr>
            <w:tcW w:w="280" w:type="dxa"/>
            <w:tcBorders>
              <w:top w:val="nil"/>
              <w:bottom w:val="nil"/>
            </w:tcBorders>
            <w:vAlign w:val="center"/>
          </w:tcPr>
          <w:p w14:paraId="61A1EA78"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80" w:type="dxa"/>
            <w:tcBorders>
              <w:top w:val="nil"/>
              <w:left w:val="nil"/>
              <w:bottom w:val="nil"/>
              <w:right w:val="nil"/>
            </w:tcBorders>
            <w:vAlign w:val="center"/>
          </w:tcPr>
          <w:p w14:paraId="1BACF615"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7" w:type="dxa"/>
            <w:tcBorders>
              <w:top w:val="nil"/>
              <w:bottom w:val="nil"/>
            </w:tcBorders>
            <w:vAlign w:val="center"/>
          </w:tcPr>
          <w:p w14:paraId="55693A1A"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lang w:val="en-US"/>
              </w:rPr>
            </w:pPr>
          </w:p>
        </w:tc>
      </w:tr>
      <w:tr w:rsidR="00FE3BD4" w:rsidRPr="007E3763" w14:paraId="2AF737F4"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72454BB2" w14:textId="77777777" w:rsidR="00FE3BD4" w:rsidRPr="007E3763" w:rsidRDefault="00FE3BD4" w:rsidP="00FE3BD4">
            <w:pPr>
              <w:pStyle w:val="08-Tabelageral"/>
              <w:ind w:left="113"/>
              <w:jc w:val="left"/>
              <w:rPr>
                <w:b w:val="0"/>
                <w:lang w:val="en-US"/>
              </w:rPr>
            </w:pPr>
            <w:r w:rsidRPr="007E3763">
              <w:rPr>
                <w:b w:val="0"/>
                <w:lang w:val="en-US"/>
              </w:rPr>
              <w:t>Investments in financial assets at fair value through profit or loss</w:t>
            </w:r>
          </w:p>
        </w:tc>
        <w:tc>
          <w:tcPr>
            <w:tcW w:w="567" w:type="dxa"/>
            <w:tcBorders>
              <w:top w:val="nil"/>
              <w:bottom w:val="nil"/>
            </w:tcBorders>
            <w:shd w:val="clear" w:color="auto" w:fill="auto"/>
            <w:vAlign w:val="center"/>
          </w:tcPr>
          <w:p w14:paraId="6775EF3C"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[16.a]</w:t>
            </w:r>
          </w:p>
        </w:tc>
        <w:tc>
          <w:tcPr>
            <w:tcW w:w="1496" w:type="dxa"/>
            <w:tcBorders>
              <w:top w:val="nil"/>
              <w:left w:val="nil"/>
              <w:bottom w:val="nil"/>
              <w:right w:val="nil"/>
            </w:tcBorders>
            <w:shd w:val="clear" w:color="auto" w:fill="auto"/>
            <w:vAlign w:val="center"/>
          </w:tcPr>
          <w:p w14:paraId="3267CF80"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w:t>
            </w:r>
          </w:p>
        </w:tc>
        <w:tc>
          <w:tcPr>
            <w:tcW w:w="1339" w:type="dxa"/>
            <w:tcBorders>
              <w:top w:val="nil"/>
              <w:left w:val="nil"/>
              <w:bottom w:val="nil"/>
              <w:right w:val="nil"/>
            </w:tcBorders>
            <w:shd w:val="clear" w:color="auto" w:fill="auto"/>
            <w:vAlign w:val="center"/>
          </w:tcPr>
          <w:p w14:paraId="53904142"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w:t>
            </w:r>
          </w:p>
        </w:tc>
        <w:tc>
          <w:tcPr>
            <w:tcW w:w="280" w:type="dxa"/>
            <w:tcBorders>
              <w:top w:val="nil"/>
              <w:bottom w:val="nil"/>
            </w:tcBorders>
            <w:shd w:val="clear" w:color="auto" w:fill="auto"/>
            <w:vAlign w:val="center"/>
          </w:tcPr>
          <w:p w14:paraId="6024600F"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p>
        </w:tc>
        <w:tc>
          <w:tcPr>
            <w:tcW w:w="1280" w:type="dxa"/>
            <w:tcBorders>
              <w:top w:val="nil"/>
              <w:left w:val="nil"/>
              <w:bottom w:val="nil"/>
              <w:right w:val="nil"/>
            </w:tcBorders>
            <w:shd w:val="clear" w:color="auto" w:fill="auto"/>
            <w:vAlign w:val="center"/>
          </w:tcPr>
          <w:p w14:paraId="6E860C8B"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w:t>
            </w:r>
          </w:p>
        </w:tc>
        <w:tc>
          <w:tcPr>
            <w:tcW w:w="1417" w:type="dxa"/>
            <w:tcBorders>
              <w:top w:val="nil"/>
              <w:left w:val="nil"/>
              <w:bottom w:val="nil"/>
              <w:right w:val="nil"/>
            </w:tcBorders>
            <w:shd w:val="clear" w:color="auto" w:fill="auto"/>
            <w:vAlign w:val="center"/>
          </w:tcPr>
          <w:p w14:paraId="279C1C52"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7E3763">
              <w:rPr>
                <w:rFonts w:cs="Arial"/>
                <w:szCs w:val="14"/>
              </w:rPr>
              <w:t>(1</w:t>
            </w:r>
            <w:r>
              <w:rPr>
                <w:rFonts w:cs="Arial"/>
                <w:szCs w:val="14"/>
              </w:rPr>
              <w:t>,</w:t>
            </w:r>
            <w:r w:rsidRPr="007E3763">
              <w:rPr>
                <w:rFonts w:cs="Arial"/>
                <w:szCs w:val="14"/>
              </w:rPr>
              <w:t>086</w:t>
            </w:r>
            <w:r>
              <w:rPr>
                <w:rFonts w:cs="Arial"/>
                <w:szCs w:val="14"/>
              </w:rPr>
              <w:t>,</w:t>
            </w:r>
            <w:r w:rsidRPr="007E3763">
              <w:rPr>
                <w:rFonts w:cs="Arial"/>
                <w:szCs w:val="14"/>
              </w:rPr>
              <w:t>091)</w:t>
            </w:r>
          </w:p>
        </w:tc>
      </w:tr>
      <w:tr w:rsidR="00FE3BD4" w:rsidRPr="007E3763" w14:paraId="3D5D58C5"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692A4E06" w14:textId="77777777" w:rsidR="00FE3BD4" w:rsidRPr="007E3763" w:rsidRDefault="00FE3BD4" w:rsidP="00FE3BD4">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received</w:t>
            </w:r>
            <w:proofErr w:type="spellEnd"/>
          </w:p>
        </w:tc>
        <w:tc>
          <w:tcPr>
            <w:tcW w:w="567" w:type="dxa"/>
            <w:tcBorders>
              <w:top w:val="nil"/>
              <w:bottom w:val="nil"/>
            </w:tcBorders>
            <w:vAlign w:val="center"/>
          </w:tcPr>
          <w:p w14:paraId="170039D6"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pPr>
            <w:r w:rsidRPr="007E3763">
              <w:t>[7.b]</w:t>
            </w:r>
          </w:p>
        </w:tc>
        <w:tc>
          <w:tcPr>
            <w:tcW w:w="1496" w:type="dxa"/>
            <w:tcBorders>
              <w:top w:val="nil"/>
              <w:left w:val="nil"/>
              <w:bottom w:val="nil"/>
              <w:right w:val="nil"/>
            </w:tcBorders>
            <w:shd w:val="clear" w:color="auto" w:fill="auto"/>
            <w:vAlign w:val="center"/>
          </w:tcPr>
          <w:p w14:paraId="7EB791AB"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6</w:t>
            </w:r>
            <w:r>
              <w:rPr>
                <w:rFonts w:cs="Arial"/>
                <w:szCs w:val="14"/>
              </w:rPr>
              <w:t>,</w:t>
            </w:r>
            <w:r w:rsidRPr="007E3763">
              <w:rPr>
                <w:rFonts w:cs="Arial"/>
                <w:szCs w:val="14"/>
              </w:rPr>
              <w:t>043</w:t>
            </w:r>
            <w:r>
              <w:rPr>
                <w:rFonts w:cs="Arial"/>
                <w:szCs w:val="14"/>
              </w:rPr>
              <w:t>,</w:t>
            </w:r>
            <w:r w:rsidRPr="007E3763">
              <w:rPr>
                <w:rFonts w:cs="Arial"/>
                <w:szCs w:val="14"/>
              </w:rPr>
              <w:t>027</w:t>
            </w:r>
          </w:p>
        </w:tc>
        <w:tc>
          <w:tcPr>
            <w:tcW w:w="1339" w:type="dxa"/>
            <w:tcBorders>
              <w:top w:val="nil"/>
              <w:left w:val="nil"/>
              <w:bottom w:val="nil"/>
              <w:right w:val="nil"/>
            </w:tcBorders>
            <w:shd w:val="clear" w:color="auto" w:fill="auto"/>
            <w:vAlign w:val="center"/>
          </w:tcPr>
          <w:p w14:paraId="635C3F89"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8</w:t>
            </w:r>
            <w:r>
              <w:rPr>
                <w:rFonts w:cs="Arial"/>
                <w:szCs w:val="14"/>
              </w:rPr>
              <w:t>,</w:t>
            </w:r>
            <w:r w:rsidRPr="007E3763">
              <w:rPr>
                <w:rFonts w:cs="Arial"/>
                <w:szCs w:val="14"/>
              </w:rPr>
              <w:t>174</w:t>
            </w:r>
            <w:r>
              <w:rPr>
                <w:rFonts w:cs="Arial"/>
                <w:szCs w:val="14"/>
              </w:rPr>
              <w:t>,</w:t>
            </w:r>
            <w:r w:rsidRPr="007E3763">
              <w:rPr>
                <w:rFonts w:cs="Arial"/>
                <w:szCs w:val="14"/>
              </w:rPr>
              <w:t>409</w:t>
            </w:r>
          </w:p>
        </w:tc>
        <w:tc>
          <w:tcPr>
            <w:tcW w:w="280" w:type="dxa"/>
            <w:tcBorders>
              <w:top w:val="nil"/>
              <w:bottom w:val="nil"/>
            </w:tcBorders>
            <w:shd w:val="clear" w:color="auto" w:fill="auto"/>
            <w:vAlign w:val="center"/>
          </w:tcPr>
          <w:p w14:paraId="64FE52B1"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0BB74E09"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5</w:t>
            </w:r>
            <w:r>
              <w:rPr>
                <w:rFonts w:cs="Arial"/>
                <w:szCs w:val="14"/>
              </w:rPr>
              <w:t>,</w:t>
            </w:r>
            <w:r w:rsidRPr="007E3763">
              <w:rPr>
                <w:rFonts w:cs="Arial"/>
                <w:szCs w:val="14"/>
              </w:rPr>
              <w:t>173</w:t>
            </w:r>
            <w:r>
              <w:rPr>
                <w:rFonts w:cs="Arial"/>
                <w:szCs w:val="14"/>
              </w:rPr>
              <w:t>,</w:t>
            </w:r>
            <w:r w:rsidRPr="007E3763">
              <w:rPr>
                <w:rFonts w:cs="Arial"/>
                <w:szCs w:val="14"/>
              </w:rPr>
              <w:t>629</w:t>
            </w:r>
          </w:p>
        </w:tc>
        <w:tc>
          <w:tcPr>
            <w:tcW w:w="1417" w:type="dxa"/>
            <w:tcBorders>
              <w:top w:val="nil"/>
              <w:left w:val="nil"/>
              <w:bottom w:val="nil"/>
              <w:right w:val="nil"/>
            </w:tcBorders>
            <w:shd w:val="clear" w:color="auto" w:fill="auto"/>
            <w:vAlign w:val="center"/>
          </w:tcPr>
          <w:p w14:paraId="12395ACE"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3</w:t>
            </w:r>
            <w:r>
              <w:rPr>
                <w:rFonts w:cs="Arial"/>
                <w:szCs w:val="14"/>
              </w:rPr>
              <w:t>,</w:t>
            </w:r>
            <w:r w:rsidRPr="007E3763">
              <w:rPr>
                <w:rFonts w:cs="Arial"/>
                <w:szCs w:val="14"/>
              </w:rPr>
              <w:t>650</w:t>
            </w:r>
            <w:r>
              <w:rPr>
                <w:rFonts w:cs="Arial"/>
                <w:szCs w:val="14"/>
              </w:rPr>
              <w:t>,</w:t>
            </w:r>
            <w:r w:rsidRPr="007E3763">
              <w:rPr>
                <w:rFonts w:cs="Arial"/>
                <w:szCs w:val="14"/>
              </w:rPr>
              <w:t>067</w:t>
            </w:r>
          </w:p>
        </w:tc>
      </w:tr>
      <w:tr w:rsidR="00FE3BD4" w:rsidRPr="007E3763" w14:paraId="1B73708D"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41233F6E" w14:textId="77777777" w:rsidR="00FE3BD4" w:rsidRPr="007E3763" w:rsidRDefault="00FE3BD4" w:rsidP="00FE3BD4">
            <w:pPr>
              <w:pStyle w:val="08-Tabelageral"/>
              <w:ind w:left="113"/>
              <w:jc w:val="left"/>
              <w:rPr>
                <w:b w:val="0"/>
              </w:rPr>
            </w:pPr>
            <w:proofErr w:type="spellStart"/>
            <w:r w:rsidRPr="007E3763">
              <w:rPr>
                <w:b w:val="0"/>
              </w:rPr>
              <w:t>Acquisition</w:t>
            </w:r>
            <w:proofErr w:type="spellEnd"/>
            <w:r w:rsidRPr="007E3763">
              <w:rPr>
                <w:b w:val="0"/>
              </w:rPr>
              <w:t xml:space="preserve"> </w:t>
            </w:r>
            <w:proofErr w:type="spellStart"/>
            <w:r w:rsidRPr="007E3763">
              <w:rPr>
                <w:b w:val="0"/>
              </w:rPr>
              <w:t>Asset</w:t>
            </w:r>
            <w:proofErr w:type="spellEnd"/>
          </w:p>
        </w:tc>
        <w:tc>
          <w:tcPr>
            <w:tcW w:w="567" w:type="dxa"/>
            <w:tcBorders>
              <w:top w:val="nil"/>
              <w:bottom w:val="nil"/>
            </w:tcBorders>
            <w:shd w:val="clear" w:color="auto" w:fill="FFFFFF" w:themeFill="background1"/>
            <w:vAlign w:val="center"/>
          </w:tcPr>
          <w:p w14:paraId="00452BD7"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496" w:type="dxa"/>
            <w:tcBorders>
              <w:top w:val="nil"/>
              <w:left w:val="nil"/>
              <w:bottom w:val="nil"/>
              <w:right w:val="nil"/>
            </w:tcBorders>
            <w:shd w:val="clear" w:color="auto" w:fill="auto"/>
            <w:vAlign w:val="center"/>
          </w:tcPr>
          <w:p w14:paraId="78AF9884"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(109)</w:t>
            </w:r>
          </w:p>
        </w:tc>
        <w:tc>
          <w:tcPr>
            <w:tcW w:w="1339" w:type="dxa"/>
            <w:tcBorders>
              <w:top w:val="nil"/>
              <w:left w:val="nil"/>
              <w:bottom w:val="nil"/>
              <w:right w:val="nil"/>
            </w:tcBorders>
            <w:shd w:val="clear" w:color="auto" w:fill="auto"/>
            <w:vAlign w:val="center"/>
          </w:tcPr>
          <w:p w14:paraId="037AEFC0"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(414)</w:t>
            </w:r>
          </w:p>
        </w:tc>
        <w:tc>
          <w:tcPr>
            <w:tcW w:w="280" w:type="dxa"/>
            <w:tcBorders>
              <w:top w:val="nil"/>
              <w:bottom w:val="nil"/>
            </w:tcBorders>
            <w:shd w:val="clear" w:color="auto" w:fill="auto"/>
            <w:vAlign w:val="center"/>
          </w:tcPr>
          <w:p w14:paraId="1E4C5AEA"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72488564"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(109)</w:t>
            </w:r>
          </w:p>
        </w:tc>
        <w:tc>
          <w:tcPr>
            <w:tcW w:w="1417" w:type="dxa"/>
            <w:tcBorders>
              <w:top w:val="nil"/>
              <w:left w:val="nil"/>
              <w:bottom w:val="nil"/>
              <w:right w:val="nil"/>
            </w:tcBorders>
            <w:shd w:val="clear" w:color="auto" w:fill="auto"/>
            <w:vAlign w:val="center"/>
          </w:tcPr>
          <w:p w14:paraId="63324AFB"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(414)</w:t>
            </w:r>
          </w:p>
        </w:tc>
      </w:tr>
      <w:tr w:rsidR="00FE3BD4" w:rsidRPr="007E3763" w14:paraId="13BAADB8"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36B1A43E" w14:textId="77777777" w:rsidR="00FE3BD4" w:rsidRPr="007E3763" w:rsidRDefault="00FE3BD4" w:rsidP="00FE3BD4">
            <w:pPr>
              <w:pStyle w:val="08-Tabelageral"/>
              <w:jc w:val="left"/>
              <w:rPr>
                <w:b w:val="0"/>
                <w:lang w:val="en-US"/>
              </w:rPr>
            </w:pPr>
            <w:r w:rsidRPr="007E3763">
              <w:rPr>
                <w:lang w:val="en-US"/>
              </w:rPr>
              <w:t>Cash provided by investment activities</w:t>
            </w:r>
          </w:p>
        </w:tc>
        <w:tc>
          <w:tcPr>
            <w:tcW w:w="567" w:type="dxa"/>
            <w:tcBorders>
              <w:top w:val="nil"/>
              <w:bottom w:val="nil"/>
            </w:tcBorders>
            <w:vAlign w:val="center"/>
          </w:tcPr>
          <w:p w14:paraId="57F6C240"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496" w:type="dxa"/>
            <w:tcBorders>
              <w:top w:val="nil"/>
              <w:left w:val="nil"/>
              <w:bottom w:val="nil"/>
              <w:right w:val="nil"/>
            </w:tcBorders>
            <w:shd w:val="clear" w:color="auto" w:fill="auto"/>
            <w:vAlign w:val="center"/>
          </w:tcPr>
          <w:p w14:paraId="30870863"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7E3763">
              <w:rPr>
                <w:rFonts w:cs="Arial"/>
                <w:b/>
                <w:bCs/>
                <w:szCs w:val="14"/>
              </w:rPr>
              <w:t>6</w:t>
            </w:r>
            <w:r>
              <w:rPr>
                <w:rFonts w:cs="Arial"/>
                <w:b/>
                <w:bCs/>
                <w:szCs w:val="14"/>
              </w:rPr>
              <w:t>,</w:t>
            </w:r>
            <w:r w:rsidRPr="007E3763">
              <w:rPr>
                <w:rFonts w:cs="Arial"/>
                <w:b/>
                <w:bCs/>
                <w:szCs w:val="14"/>
              </w:rPr>
              <w:t>042</w:t>
            </w:r>
            <w:r>
              <w:rPr>
                <w:rFonts w:cs="Arial"/>
                <w:b/>
                <w:bCs/>
                <w:szCs w:val="14"/>
              </w:rPr>
              <w:t>,</w:t>
            </w:r>
            <w:r w:rsidRPr="007E3763">
              <w:rPr>
                <w:rFonts w:cs="Arial"/>
                <w:b/>
                <w:bCs/>
                <w:szCs w:val="14"/>
              </w:rPr>
              <w:t>918</w:t>
            </w:r>
          </w:p>
        </w:tc>
        <w:tc>
          <w:tcPr>
            <w:tcW w:w="1339" w:type="dxa"/>
            <w:tcBorders>
              <w:top w:val="nil"/>
              <w:left w:val="nil"/>
              <w:bottom w:val="nil"/>
              <w:right w:val="nil"/>
            </w:tcBorders>
            <w:shd w:val="clear" w:color="auto" w:fill="auto"/>
            <w:vAlign w:val="center"/>
          </w:tcPr>
          <w:p w14:paraId="47599076"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szCs w:val="14"/>
              </w:rPr>
              <w:t>8</w:t>
            </w:r>
            <w:r>
              <w:rPr>
                <w:rFonts w:cs="Arial"/>
                <w:b/>
                <w:bCs/>
                <w:szCs w:val="14"/>
              </w:rPr>
              <w:t>,</w:t>
            </w:r>
            <w:r w:rsidRPr="007E3763">
              <w:rPr>
                <w:rFonts w:cs="Arial"/>
                <w:b/>
                <w:bCs/>
                <w:szCs w:val="14"/>
              </w:rPr>
              <w:t>173</w:t>
            </w:r>
            <w:r>
              <w:rPr>
                <w:rFonts w:cs="Arial"/>
                <w:b/>
                <w:bCs/>
                <w:szCs w:val="14"/>
              </w:rPr>
              <w:t>,</w:t>
            </w:r>
            <w:r w:rsidRPr="007E3763">
              <w:rPr>
                <w:rFonts w:cs="Arial"/>
                <w:b/>
                <w:bCs/>
                <w:szCs w:val="14"/>
              </w:rPr>
              <w:t>995</w:t>
            </w:r>
          </w:p>
        </w:tc>
        <w:tc>
          <w:tcPr>
            <w:tcW w:w="280" w:type="dxa"/>
            <w:tcBorders>
              <w:top w:val="nil"/>
              <w:bottom w:val="nil"/>
            </w:tcBorders>
            <w:shd w:val="clear" w:color="auto" w:fill="auto"/>
            <w:vAlign w:val="center"/>
          </w:tcPr>
          <w:p w14:paraId="5207D82E"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80" w:type="dxa"/>
            <w:tcBorders>
              <w:top w:val="nil"/>
              <w:left w:val="nil"/>
              <w:bottom w:val="nil"/>
              <w:right w:val="nil"/>
            </w:tcBorders>
            <w:shd w:val="clear" w:color="auto" w:fill="auto"/>
            <w:vAlign w:val="center"/>
          </w:tcPr>
          <w:p w14:paraId="11FD4A56"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E3763">
              <w:rPr>
                <w:rFonts w:cs="Arial"/>
                <w:b/>
                <w:bCs/>
                <w:szCs w:val="14"/>
              </w:rPr>
              <w:t>5</w:t>
            </w:r>
            <w:r>
              <w:rPr>
                <w:rFonts w:cs="Arial"/>
                <w:b/>
                <w:bCs/>
                <w:szCs w:val="14"/>
              </w:rPr>
              <w:t>,</w:t>
            </w:r>
            <w:r w:rsidRPr="007E3763">
              <w:rPr>
                <w:rFonts w:cs="Arial"/>
                <w:b/>
                <w:bCs/>
                <w:szCs w:val="14"/>
              </w:rPr>
              <w:t>173</w:t>
            </w:r>
            <w:r>
              <w:rPr>
                <w:rFonts w:cs="Arial"/>
                <w:b/>
                <w:bCs/>
                <w:szCs w:val="14"/>
              </w:rPr>
              <w:t>,</w:t>
            </w:r>
            <w:r w:rsidRPr="007E3763">
              <w:rPr>
                <w:rFonts w:cs="Arial"/>
                <w:b/>
                <w:bCs/>
                <w:szCs w:val="14"/>
              </w:rPr>
              <w:t>520</w:t>
            </w:r>
          </w:p>
        </w:tc>
        <w:tc>
          <w:tcPr>
            <w:tcW w:w="1417" w:type="dxa"/>
            <w:tcBorders>
              <w:top w:val="nil"/>
              <w:left w:val="nil"/>
              <w:bottom w:val="nil"/>
              <w:right w:val="nil"/>
            </w:tcBorders>
            <w:shd w:val="clear" w:color="auto" w:fill="auto"/>
            <w:vAlign w:val="center"/>
          </w:tcPr>
          <w:p w14:paraId="3D196EC1"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szCs w:val="14"/>
              </w:rPr>
              <w:t>2</w:t>
            </w:r>
            <w:r>
              <w:rPr>
                <w:rFonts w:cs="Arial"/>
                <w:b/>
                <w:bCs/>
                <w:szCs w:val="14"/>
              </w:rPr>
              <w:t>,</w:t>
            </w:r>
            <w:r w:rsidRPr="007E3763">
              <w:rPr>
                <w:rFonts w:cs="Arial"/>
                <w:b/>
                <w:bCs/>
                <w:szCs w:val="14"/>
              </w:rPr>
              <w:t>563</w:t>
            </w:r>
            <w:r>
              <w:rPr>
                <w:rFonts w:cs="Arial"/>
                <w:b/>
                <w:bCs/>
                <w:szCs w:val="14"/>
              </w:rPr>
              <w:t>,</w:t>
            </w:r>
            <w:r w:rsidRPr="007E3763">
              <w:rPr>
                <w:rFonts w:cs="Arial"/>
                <w:b/>
                <w:bCs/>
                <w:szCs w:val="14"/>
              </w:rPr>
              <w:t>562</w:t>
            </w:r>
          </w:p>
        </w:tc>
      </w:tr>
      <w:tr w:rsidR="00FE3BD4" w:rsidRPr="007E3763" w14:paraId="3AC98AA1"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7BA729E2" w14:textId="77777777" w:rsidR="00FE3BD4" w:rsidRPr="007E3763" w:rsidRDefault="00FE3BD4" w:rsidP="00FE3BD4">
            <w:pPr>
              <w:pStyle w:val="08-Tabelageral"/>
              <w:jc w:val="left"/>
            </w:pPr>
          </w:p>
        </w:tc>
        <w:tc>
          <w:tcPr>
            <w:tcW w:w="567" w:type="dxa"/>
            <w:tcBorders>
              <w:top w:val="nil"/>
              <w:bottom w:val="nil"/>
            </w:tcBorders>
            <w:shd w:val="clear" w:color="auto" w:fill="FFFFFF" w:themeFill="background1"/>
            <w:vAlign w:val="center"/>
          </w:tcPr>
          <w:p w14:paraId="56FEAC3A"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szCs w:val="14"/>
              </w:rPr>
            </w:pPr>
          </w:p>
        </w:tc>
        <w:tc>
          <w:tcPr>
            <w:tcW w:w="1496" w:type="dxa"/>
            <w:tcBorders>
              <w:top w:val="nil"/>
              <w:left w:val="nil"/>
              <w:bottom w:val="nil"/>
              <w:right w:val="nil"/>
            </w:tcBorders>
            <w:shd w:val="clear" w:color="auto" w:fill="FFFFFF" w:themeFill="background1"/>
            <w:vAlign w:val="center"/>
          </w:tcPr>
          <w:p w14:paraId="032200EB"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39" w:type="dxa"/>
            <w:tcBorders>
              <w:top w:val="nil"/>
              <w:bottom w:val="nil"/>
            </w:tcBorders>
            <w:shd w:val="clear" w:color="auto" w:fill="FFFFFF" w:themeFill="background1"/>
            <w:vAlign w:val="center"/>
          </w:tcPr>
          <w:p w14:paraId="4A89F4AA"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center"/>
          </w:tcPr>
          <w:p w14:paraId="297BE791"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left w:val="nil"/>
              <w:bottom w:val="nil"/>
              <w:right w:val="nil"/>
            </w:tcBorders>
            <w:shd w:val="clear" w:color="auto" w:fill="FFFFFF" w:themeFill="background1"/>
            <w:vAlign w:val="center"/>
          </w:tcPr>
          <w:p w14:paraId="116F6CF0"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7AB2DCB2"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pPr>
          </w:p>
        </w:tc>
      </w:tr>
      <w:tr w:rsidR="00FE3BD4" w:rsidRPr="001A7DD8" w14:paraId="3D1A5774"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60D826F7" w14:textId="77777777" w:rsidR="00FE3BD4" w:rsidRPr="007E3763" w:rsidRDefault="00FE3BD4" w:rsidP="00FE3BD4">
            <w:pPr>
              <w:pStyle w:val="08-Tabelageral"/>
              <w:jc w:val="left"/>
              <w:rPr>
                <w:lang w:val="en-US"/>
              </w:rPr>
            </w:pPr>
            <w:r w:rsidRPr="007E3763">
              <w:rPr>
                <w:lang w:val="en-US"/>
              </w:rPr>
              <w:t>Cash flow from financing activities</w:t>
            </w:r>
          </w:p>
        </w:tc>
        <w:tc>
          <w:tcPr>
            <w:tcW w:w="567" w:type="dxa"/>
            <w:tcBorders>
              <w:top w:val="nil"/>
              <w:bottom w:val="nil"/>
            </w:tcBorders>
            <w:vAlign w:val="center"/>
          </w:tcPr>
          <w:p w14:paraId="5F5BC1D2"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b/>
                <w:szCs w:val="14"/>
                <w:lang w:val="en-US"/>
              </w:rPr>
            </w:pPr>
          </w:p>
        </w:tc>
        <w:tc>
          <w:tcPr>
            <w:tcW w:w="1496" w:type="dxa"/>
            <w:tcBorders>
              <w:top w:val="nil"/>
              <w:left w:val="nil"/>
              <w:bottom w:val="nil"/>
              <w:right w:val="nil"/>
            </w:tcBorders>
            <w:vAlign w:val="center"/>
          </w:tcPr>
          <w:p w14:paraId="5E278B4D"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339" w:type="dxa"/>
            <w:tcBorders>
              <w:top w:val="nil"/>
              <w:bottom w:val="nil"/>
            </w:tcBorders>
            <w:vAlign w:val="center"/>
          </w:tcPr>
          <w:p w14:paraId="2E17E609"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280" w:type="dxa"/>
            <w:tcBorders>
              <w:top w:val="nil"/>
              <w:bottom w:val="nil"/>
            </w:tcBorders>
            <w:vAlign w:val="center"/>
          </w:tcPr>
          <w:p w14:paraId="65E0B1AC"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280" w:type="dxa"/>
            <w:tcBorders>
              <w:top w:val="nil"/>
              <w:left w:val="nil"/>
              <w:bottom w:val="nil"/>
              <w:right w:val="nil"/>
            </w:tcBorders>
            <w:vAlign w:val="center"/>
          </w:tcPr>
          <w:p w14:paraId="780CFB7B"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7" w:type="dxa"/>
            <w:tcBorders>
              <w:top w:val="nil"/>
              <w:bottom w:val="nil"/>
            </w:tcBorders>
            <w:vAlign w:val="center"/>
          </w:tcPr>
          <w:p w14:paraId="2518A262"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lang w:val="en-US"/>
              </w:rPr>
            </w:pPr>
          </w:p>
        </w:tc>
      </w:tr>
      <w:tr w:rsidR="00FE3BD4" w:rsidRPr="007E3763" w14:paraId="26C406D7"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3699CC6A" w14:textId="77777777" w:rsidR="00FE3BD4" w:rsidRPr="007E3763" w:rsidRDefault="00FE3BD4" w:rsidP="00FE3BD4">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paid</w:t>
            </w:r>
            <w:proofErr w:type="spellEnd"/>
          </w:p>
        </w:tc>
        <w:tc>
          <w:tcPr>
            <w:tcW w:w="567" w:type="dxa"/>
            <w:tcBorders>
              <w:top w:val="nil"/>
              <w:bottom w:val="nil"/>
            </w:tcBorders>
            <w:shd w:val="clear" w:color="auto" w:fill="auto"/>
            <w:vAlign w:val="center"/>
          </w:tcPr>
          <w:p w14:paraId="4543DF17"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rPr>
            </w:pPr>
            <w:r w:rsidRPr="007E3763">
              <w:rPr>
                <w:rFonts w:cs="Arial"/>
                <w:color w:val="auto"/>
                <w:szCs w:val="14"/>
              </w:rPr>
              <w:t>[21]</w:t>
            </w:r>
          </w:p>
        </w:tc>
        <w:tc>
          <w:tcPr>
            <w:tcW w:w="1496" w:type="dxa"/>
            <w:tcBorders>
              <w:top w:val="nil"/>
              <w:left w:val="nil"/>
              <w:bottom w:val="nil"/>
              <w:right w:val="nil"/>
            </w:tcBorders>
            <w:shd w:val="clear" w:color="auto" w:fill="auto"/>
            <w:vAlign w:val="center"/>
          </w:tcPr>
          <w:p w14:paraId="57D2545D"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(5</w:t>
            </w:r>
            <w:r>
              <w:rPr>
                <w:rFonts w:cs="Arial"/>
                <w:szCs w:val="14"/>
              </w:rPr>
              <w:t>,</w:t>
            </w:r>
            <w:r w:rsidRPr="007E3763">
              <w:rPr>
                <w:rFonts w:cs="Arial"/>
                <w:szCs w:val="14"/>
              </w:rPr>
              <w:t>193</w:t>
            </w:r>
            <w:r>
              <w:rPr>
                <w:rFonts w:cs="Arial"/>
                <w:szCs w:val="14"/>
              </w:rPr>
              <w:t>,</w:t>
            </w:r>
            <w:r w:rsidRPr="007E3763">
              <w:rPr>
                <w:rFonts w:cs="Arial"/>
                <w:szCs w:val="14"/>
              </w:rPr>
              <w:t>343)</w:t>
            </w:r>
          </w:p>
        </w:tc>
        <w:tc>
          <w:tcPr>
            <w:tcW w:w="1339" w:type="dxa"/>
            <w:tcBorders>
              <w:top w:val="nil"/>
              <w:left w:val="nil"/>
              <w:bottom w:val="nil"/>
              <w:right w:val="nil"/>
            </w:tcBorders>
            <w:shd w:val="clear" w:color="auto" w:fill="auto"/>
            <w:vAlign w:val="center"/>
          </w:tcPr>
          <w:p w14:paraId="3AFB59EA"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(6</w:t>
            </w:r>
            <w:r>
              <w:rPr>
                <w:rFonts w:cs="Arial"/>
                <w:szCs w:val="14"/>
              </w:rPr>
              <w:t>,</w:t>
            </w:r>
            <w:r w:rsidRPr="007E3763">
              <w:rPr>
                <w:rFonts w:cs="Arial"/>
                <w:szCs w:val="14"/>
              </w:rPr>
              <w:t>960</w:t>
            </w:r>
            <w:r>
              <w:rPr>
                <w:rFonts w:cs="Arial"/>
                <w:szCs w:val="14"/>
              </w:rPr>
              <w:t>,</w:t>
            </w:r>
            <w:r w:rsidRPr="007E3763">
              <w:rPr>
                <w:rFonts w:cs="Arial"/>
                <w:szCs w:val="14"/>
              </w:rPr>
              <w:t>998)</w:t>
            </w:r>
          </w:p>
        </w:tc>
        <w:tc>
          <w:tcPr>
            <w:tcW w:w="280" w:type="dxa"/>
            <w:tcBorders>
              <w:top w:val="nil"/>
              <w:bottom w:val="nil"/>
            </w:tcBorders>
            <w:shd w:val="clear" w:color="auto" w:fill="auto"/>
            <w:vAlign w:val="center"/>
          </w:tcPr>
          <w:p w14:paraId="57B52F96"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5CEF7591"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(5</w:t>
            </w:r>
            <w:r>
              <w:rPr>
                <w:rFonts w:cs="Arial"/>
                <w:szCs w:val="14"/>
              </w:rPr>
              <w:t>,</w:t>
            </w:r>
            <w:r w:rsidRPr="007E3763">
              <w:rPr>
                <w:rFonts w:cs="Arial"/>
                <w:szCs w:val="14"/>
              </w:rPr>
              <w:t>193</w:t>
            </w:r>
            <w:r>
              <w:rPr>
                <w:rFonts w:cs="Arial"/>
                <w:szCs w:val="14"/>
              </w:rPr>
              <w:t>,</w:t>
            </w:r>
            <w:r w:rsidRPr="007E3763">
              <w:rPr>
                <w:rFonts w:cs="Arial"/>
                <w:szCs w:val="14"/>
              </w:rPr>
              <w:t>343)</w:t>
            </w:r>
          </w:p>
        </w:tc>
        <w:tc>
          <w:tcPr>
            <w:tcW w:w="1417" w:type="dxa"/>
            <w:tcBorders>
              <w:top w:val="nil"/>
              <w:left w:val="nil"/>
              <w:bottom w:val="nil"/>
              <w:right w:val="nil"/>
            </w:tcBorders>
            <w:shd w:val="clear" w:color="auto" w:fill="auto"/>
            <w:vAlign w:val="center"/>
          </w:tcPr>
          <w:p w14:paraId="697E20FA"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(6</w:t>
            </w:r>
            <w:r>
              <w:rPr>
                <w:rFonts w:cs="Arial"/>
                <w:szCs w:val="14"/>
              </w:rPr>
              <w:t>,</w:t>
            </w:r>
            <w:r w:rsidRPr="007E3763">
              <w:rPr>
                <w:rFonts w:cs="Arial"/>
                <w:szCs w:val="14"/>
              </w:rPr>
              <w:t>960</w:t>
            </w:r>
            <w:r>
              <w:rPr>
                <w:rFonts w:cs="Arial"/>
                <w:szCs w:val="14"/>
              </w:rPr>
              <w:t>,</w:t>
            </w:r>
            <w:r w:rsidRPr="007E3763">
              <w:rPr>
                <w:rFonts w:cs="Arial"/>
                <w:szCs w:val="14"/>
              </w:rPr>
              <w:t>998)</w:t>
            </w:r>
          </w:p>
        </w:tc>
      </w:tr>
      <w:tr w:rsidR="00FE3BD4" w:rsidRPr="007E3763" w14:paraId="6F7E6ADD"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49472EC9" w14:textId="77777777" w:rsidR="00FE3BD4" w:rsidRPr="007E3763" w:rsidRDefault="00FE3BD4" w:rsidP="00FE3BD4">
            <w:pPr>
              <w:pStyle w:val="08-Tabelageral"/>
              <w:ind w:left="113"/>
              <w:jc w:val="left"/>
              <w:rPr>
                <w:b w:val="0"/>
                <w:bCs w:val="0"/>
              </w:rPr>
            </w:pPr>
            <w:proofErr w:type="spellStart"/>
            <w:r w:rsidRPr="007E3763">
              <w:rPr>
                <w:b w:val="0"/>
                <w:bCs w:val="0"/>
              </w:rPr>
              <w:t>Share</w:t>
            </w:r>
            <w:proofErr w:type="spellEnd"/>
            <w:r w:rsidRPr="007E3763">
              <w:rPr>
                <w:b w:val="0"/>
                <w:bCs w:val="0"/>
              </w:rPr>
              <w:t xml:space="preserve"> </w:t>
            </w:r>
            <w:proofErr w:type="spellStart"/>
            <w:r w:rsidRPr="007E3763">
              <w:rPr>
                <w:b w:val="0"/>
                <w:bCs w:val="0"/>
              </w:rPr>
              <w:t>repurchase</w:t>
            </w:r>
            <w:proofErr w:type="spellEnd"/>
          </w:p>
        </w:tc>
        <w:tc>
          <w:tcPr>
            <w:tcW w:w="567" w:type="dxa"/>
            <w:tcBorders>
              <w:top w:val="nil"/>
              <w:bottom w:val="nil"/>
            </w:tcBorders>
            <w:shd w:val="clear" w:color="auto" w:fill="auto"/>
            <w:vAlign w:val="center"/>
          </w:tcPr>
          <w:p w14:paraId="4ADAB634"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pPr>
            <w:r w:rsidRPr="007E3763">
              <w:rPr>
                <w:rFonts w:cs="Arial"/>
                <w:bCs/>
                <w:szCs w:val="14"/>
              </w:rPr>
              <w:t>[25.f]</w:t>
            </w:r>
          </w:p>
        </w:tc>
        <w:tc>
          <w:tcPr>
            <w:tcW w:w="1496" w:type="dxa"/>
            <w:tcBorders>
              <w:top w:val="nil"/>
              <w:left w:val="nil"/>
              <w:bottom w:val="nil"/>
              <w:right w:val="nil"/>
            </w:tcBorders>
            <w:shd w:val="clear" w:color="auto" w:fill="auto"/>
            <w:vAlign w:val="center"/>
          </w:tcPr>
          <w:p w14:paraId="438CB2EB"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(1</w:t>
            </w:r>
            <w:r>
              <w:rPr>
                <w:rFonts w:cs="Arial"/>
                <w:szCs w:val="14"/>
              </w:rPr>
              <w:t>,</w:t>
            </w:r>
            <w:r w:rsidRPr="007E3763">
              <w:rPr>
                <w:rFonts w:cs="Arial"/>
                <w:szCs w:val="14"/>
              </w:rPr>
              <w:t>166</w:t>
            </w:r>
            <w:r>
              <w:rPr>
                <w:rFonts w:cs="Arial"/>
                <w:szCs w:val="14"/>
              </w:rPr>
              <w:t>,</w:t>
            </w:r>
            <w:r w:rsidRPr="007E3763">
              <w:rPr>
                <w:rFonts w:cs="Arial"/>
                <w:szCs w:val="14"/>
              </w:rPr>
              <w:t>630)</w:t>
            </w:r>
          </w:p>
        </w:tc>
        <w:tc>
          <w:tcPr>
            <w:tcW w:w="1339" w:type="dxa"/>
            <w:tcBorders>
              <w:top w:val="nil"/>
              <w:left w:val="nil"/>
              <w:bottom w:val="nil"/>
              <w:right w:val="nil"/>
            </w:tcBorders>
            <w:shd w:val="clear" w:color="auto" w:fill="auto"/>
            <w:vAlign w:val="center"/>
          </w:tcPr>
          <w:p w14:paraId="07B8CCE6"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(624</w:t>
            </w:r>
            <w:r>
              <w:rPr>
                <w:rFonts w:cs="Arial"/>
                <w:szCs w:val="14"/>
              </w:rPr>
              <w:t>,</w:t>
            </w:r>
            <w:r w:rsidRPr="007E3763">
              <w:rPr>
                <w:rFonts w:cs="Arial"/>
                <w:szCs w:val="14"/>
              </w:rPr>
              <w:t>281)</w:t>
            </w:r>
          </w:p>
        </w:tc>
        <w:tc>
          <w:tcPr>
            <w:tcW w:w="280" w:type="dxa"/>
            <w:tcBorders>
              <w:top w:val="nil"/>
              <w:bottom w:val="nil"/>
            </w:tcBorders>
            <w:shd w:val="clear" w:color="auto" w:fill="auto"/>
            <w:vAlign w:val="center"/>
          </w:tcPr>
          <w:p w14:paraId="579939C4"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2C4A0678"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(1</w:t>
            </w:r>
            <w:r>
              <w:rPr>
                <w:rFonts w:cs="Arial"/>
                <w:szCs w:val="14"/>
              </w:rPr>
              <w:t>,</w:t>
            </w:r>
            <w:r w:rsidRPr="007E3763">
              <w:rPr>
                <w:rFonts w:cs="Arial"/>
                <w:szCs w:val="14"/>
              </w:rPr>
              <w:t>166</w:t>
            </w:r>
            <w:r>
              <w:rPr>
                <w:rFonts w:cs="Arial"/>
                <w:szCs w:val="14"/>
              </w:rPr>
              <w:t>,</w:t>
            </w:r>
            <w:r w:rsidRPr="007E3763">
              <w:rPr>
                <w:rFonts w:cs="Arial"/>
                <w:szCs w:val="14"/>
              </w:rPr>
              <w:t>630)</w:t>
            </w:r>
          </w:p>
        </w:tc>
        <w:tc>
          <w:tcPr>
            <w:tcW w:w="1417" w:type="dxa"/>
            <w:tcBorders>
              <w:top w:val="nil"/>
              <w:left w:val="nil"/>
              <w:bottom w:val="nil"/>
              <w:right w:val="nil"/>
            </w:tcBorders>
            <w:shd w:val="clear" w:color="auto" w:fill="auto"/>
            <w:vAlign w:val="center"/>
          </w:tcPr>
          <w:p w14:paraId="2EE70382"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(624</w:t>
            </w:r>
            <w:r>
              <w:rPr>
                <w:rFonts w:cs="Arial"/>
                <w:szCs w:val="14"/>
              </w:rPr>
              <w:t>,</w:t>
            </w:r>
            <w:r w:rsidRPr="007E3763">
              <w:rPr>
                <w:rFonts w:cs="Arial"/>
                <w:szCs w:val="14"/>
              </w:rPr>
              <w:t>281)</w:t>
            </w:r>
          </w:p>
        </w:tc>
      </w:tr>
      <w:tr w:rsidR="00FE3BD4" w:rsidRPr="007E3763" w14:paraId="4C4B86DD"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5FD69BEA" w14:textId="77777777" w:rsidR="00FE3BD4" w:rsidRPr="007E3763" w:rsidRDefault="00FE3BD4" w:rsidP="00FE3BD4">
            <w:pPr>
              <w:pStyle w:val="08-Tabelageral"/>
              <w:jc w:val="left"/>
              <w:rPr>
                <w:lang w:val="en-US"/>
              </w:rPr>
            </w:pPr>
            <w:r w:rsidRPr="007E3763">
              <w:rPr>
                <w:lang w:val="en-US"/>
              </w:rPr>
              <w:t>Cash flow provided by financing activities</w:t>
            </w:r>
          </w:p>
        </w:tc>
        <w:tc>
          <w:tcPr>
            <w:tcW w:w="567" w:type="dxa"/>
            <w:tcBorders>
              <w:top w:val="nil"/>
              <w:bottom w:val="nil"/>
            </w:tcBorders>
            <w:shd w:val="clear" w:color="auto" w:fill="FFFFFF" w:themeFill="background1"/>
            <w:vAlign w:val="center"/>
          </w:tcPr>
          <w:p w14:paraId="4728551F"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bCs/>
                <w:lang w:val="en-US"/>
              </w:rPr>
            </w:pPr>
          </w:p>
        </w:tc>
        <w:tc>
          <w:tcPr>
            <w:tcW w:w="1496" w:type="dxa"/>
            <w:tcBorders>
              <w:top w:val="nil"/>
              <w:left w:val="nil"/>
              <w:bottom w:val="nil"/>
              <w:right w:val="nil"/>
            </w:tcBorders>
            <w:shd w:val="clear" w:color="auto" w:fill="auto"/>
            <w:vAlign w:val="center"/>
          </w:tcPr>
          <w:p w14:paraId="71565C6D"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7E3763">
              <w:rPr>
                <w:rFonts w:cs="Arial"/>
                <w:b/>
                <w:bCs/>
                <w:szCs w:val="14"/>
              </w:rPr>
              <w:t>(6</w:t>
            </w:r>
            <w:r>
              <w:rPr>
                <w:rFonts w:cs="Arial"/>
                <w:b/>
                <w:bCs/>
                <w:szCs w:val="14"/>
              </w:rPr>
              <w:t>,</w:t>
            </w:r>
            <w:r w:rsidRPr="007E3763">
              <w:rPr>
                <w:rFonts w:cs="Arial"/>
                <w:b/>
                <w:bCs/>
                <w:szCs w:val="14"/>
              </w:rPr>
              <w:t>359</w:t>
            </w:r>
            <w:r>
              <w:rPr>
                <w:rFonts w:cs="Arial"/>
                <w:b/>
                <w:bCs/>
                <w:szCs w:val="14"/>
              </w:rPr>
              <w:t>,</w:t>
            </w:r>
            <w:r w:rsidRPr="007E3763">
              <w:rPr>
                <w:rFonts w:cs="Arial"/>
                <w:b/>
                <w:bCs/>
                <w:szCs w:val="14"/>
              </w:rPr>
              <w:t>973)</w:t>
            </w:r>
          </w:p>
        </w:tc>
        <w:tc>
          <w:tcPr>
            <w:tcW w:w="1339" w:type="dxa"/>
            <w:tcBorders>
              <w:top w:val="nil"/>
              <w:left w:val="nil"/>
              <w:bottom w:val="nil"/>
              <w:right w:val="nil"/>
            </w:tcBorders>
            <w:shd w:val="clear" w:color="auto" w:fill="auto"/>
            <w:vAlign w:val="center"/>
          </w:tcPr>
          <w:p w14:paraId="1924BD75"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(7</w:t>
            </w:r>
            <w:r>
              <w:rPr>
                <w:rFonts w:cs="Arial"/>
                <w:b/>
                <w:bCs/>
                <w:szCs w:val="14"/>
              </w:rPr>
              <w:t>,</w:t>
            </w:r>
            <w:r w:rsidRPr="007E3763">
              <w:rPr>
                <w:rFonts w:cs="Arial"/>
                <w:b/>
                <w:bCs/>
                <w:szCs w:val="14"/>
              </w:rPr>
              <w:t>585</w:t>
            </w:r>
            <w:r>
              <w:rPr>
                <w:rFonts w:cs="Arial"/>
                <w:b/>
                <w:bCs/>
                <w:szCs w:val="14"/>
              </w:rPr>
              <w:t>,</w:t>
            </w:r>
            <w:r w:rsidRPr="007E3763">
              <w:rPr>
                <w:rFonts w:cs="Arial"/>
                <w:b/>
                <w:bCs/>
                <w:szCs w:val="14"/>
              </w:rPr>
              <w:t>279)</w:t>
            </w:r>
          </w:p>
        </w:tc>
        <w:tc>
          <w:tcPr>
            <w:tcW w:w="280" w:type="dxa"/>
            <w:tcBorders>
              <w:top w:val="nil"/>
              <w:bottom w:val="nil"/>
            </w:tcBorders>
            <w:shd w:val="clear" w:color="auto" w:fill="auto"/>
            <w:vAlign w:val="center"/>
          </w:tcPr>
          <w:p w14:paraId="3184EEB9"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bCs/>
              </w:rPr>
            </w:pPr>
          </w:p>
        </w:tc>
        <w:tc>
          <w:tcPr>
            <w:tcW w:w="1280" w:type="dxa"/>
            <w:tcBorders>
              <w:top w:val="nil"/>
              <w:left w:val="nil"/>
              <w:bottom w:val="nil"/>
              <w:right w:val="nil"/>
            </w:tcBorders>
            <w:shd w:val="clear" w:color="auto" w:fill="auto"/>
            <w:vAlign w:val="center"/>
          </w:tcPr>
          <w:p w14:paraId="53C6F20B"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(6</w:t>
            </w:r>
            <w:r>
              <w:rPr>
                <w:rFonts w:cs="Arial"/>
                <w:b/>
                <w:bCs/>
                <w:szCs w:val="14"/>
              </w:rPr>
              <w:t>,</w:t>
            </w:r>
            <w:r w:rsidRPr="007E3763">
              <w:rPr>
                <w:rFonts w:cs="Arial"/>
                <w:b/>
                <w:bCs/>
                <w:szCs w:val="14"/>
              </w:rPr>
              <w:t>359</w:t>
            </w:r>
            <w:r>
              <w:rPr>
                <w:rFonts w:cs="Arial"/>
                <w:b/>
                <w:bCs/>
                <w:szCs w:val="14"/>
              </w:rPr>
              <w:t>,</w:t>
            </w:r>
            <w:r w:rsidRPr="007E3763">
              <w:rPr>
                <w:rFonts w:cs="Arial"/>
                <w:b/>
                <w:bCs/>
                <w:szCs w:val="14"/>
              </w:rPr>
              <w:t>973)</w:t>
            </w:r>
          </w:p>
        </w:tc>
        <w:tc>
          <w:tcPr>
            <w:tcW w:w="1417" w:type="dxa"/>
            <w:tcBorders>
              <w:top w:val="nil"/>
              <w:left w:val="nil"/>
              <w:bottom w:val="nil"/>
              <w:right w:val="nil"/>
            </w:tcBorders>
            <w:shd w:val="clear" w:color="auto" w:fill="auto"/>
            <w:vAlign w:val="center"/>
          </w:tcPr>
          <w:p w14:paraId="12406ABD"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(7</w:t>
            </w:r>
            <w:r>
              <w:rPr>
                <w:rFonts w:cs="Arial"/>
                <w:b/>
                <w:bCs/>
                <w:szCs w:val="14"/>
              </w:rPr>
              <w:t>,</w:t>
            </w:r>
            <w:r w:rsidRPr="007E3763">
              <w:rPr>
                <w:rFonts w:cs="Arial"/>
                <w:b/>
                <w:bCs/>
                <w:szCs w:val="14"/>
              </w:rPr>
              <w:t>585</w:t>
            </w:r>
            <w:r>
              <w:rPr>
                <w:rFonts w:cs="Arial"/>
                <w:b/>
                <w:bCs/>
                <w:szCs w:val="14"/>
              </w:rPr>
              <w:t>,</w:t>
            </w:r>
            <w:r w:rsidRPr="007E3763">
              <w:rPr>
                <w:rFonts w:cs="Arial"/>
                <w:b/>
                <w:bCs/>
                <w:szCs w:val="14"/>
              </w:rPr>
              <w:t>279)</w:t>
            </w:r>
          </w:p>
        </w:tc>
      </w:tr>
      <w:tr w:rsidR="00FE3BD4" w:rsidRPr="007E3763" w14:paraId="2155CF72"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08819A97" w14:textId="77777777" w:rsidR="00FE3BD4" w:rsidRPr="007E3763" w:rsidRDefault="00FE3BD4" w:rsidP="00FE3BD4">
            <w:pPr>
              <w:pStyle w:val="08-Tabelageral"/>
              <w:ind w:left="32"/>
              <w:jc w:val="left"/>
              <w:rPr>
                <w:b w:val="0"/>
              </w:rPr>
            </w:pPr>
          </w:p>
        </w:tc>
        <w:tc>
          <w:tcPr>
            <w:tcW w:w="567" w:type="dxa"/>
            <w:tcBorders>
              <w:top w:val="nil"/>
              <w:bottom w:val="nil"/>
            </w:tcBorders>
            <w:vAlign w:val="center"/>
          </w:tcPr>
          <w:p w14:paraId="6F143F36"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496" w:type="dxa"/>
            <w:tcBorders>
              <w:top w:val="nil"/>
              <w:left w:val="nil"/>
              <w:bottom w:val="nil"/>
              <w:right w:val="nil"/>
            </w:tcBorders>
            <w:vAlign w:val="center"/>
          </w:tcPr>
          <w:p w14:paraId="76C9E8D5"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39" w:type="dxa"/>
            <w:tcBorders>
              <w:top w:val="nil"/>
              <w:bottom w:val="nil"/>
            </w:tcBorders>
            <w:vAlign w:val="center"/>
          </w:tcPr>
          <w:p w14:paraId="3AF63B13"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center"/>
          </w:tcPr>
          <w:p w14:paraId="13451FF2"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left w:val="nil"/>
              <w:bottom w:val="nil"/>
              <w:right w:val="nil"/>
            </w:tcBorders>
            <w:vAlign w:val="center"/>
          </w:tcPr>
          <w:p w14:paraId="5DE74ACC"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0D2D63AE"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pPr>
          </w:p>
        </w:tc>
      </w:tr>
      <w:tr w:rsidR="00FE3BD4" w:rsidRPr="007E3763" w14:paraId="1E00D403"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74041BF5" w14:textId="77777777" w:rsidR="00FE3BD4" w:rsidRPr="007E3763" w:rsidRDefault="00FE3BD4" w:rsidP="00FE3BD4">
            <w:pPr>
              <w:pStyle w:val="08-Tabelageral"/>
              <w:jc w:val="left"/>
              <w:rPr>
                <w:lang w:val="en-US"/>
              </w:rPr>
            </w:pPr>
            <w:r w:rsidRPr="007E3763">
              <w:rPr>
                <w:lang w:val="en-US"/>
              </w:rPr>
              <w:t>Net change in cash and cash equivalents</w:t>
            </w:r>
          </w:p>
        </w:tc>
        <w:tc>
          <w:tcPr>
            <w:tcW w:w="567" w:type="dxa"/>
            <w:tcBorders>
              <w:top w:val="nil"/>
              <w:bottom w:val="nil"/>
            </w:tcBorders>
            <w:shd w:val="clear" w:color="auto" w:fill="auto"/>
            <w:vAlign w:val="center"/>
          </w:tcPr>
          <w:p w14:paraId="5CB17426"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lang w:val="en-US"/>
              </w:rPr>
            </w:pPr>
          </w:p>
        </w:tc>
        <w:tc>
          <w:tcPr>
            <w:tcW w:w="1496" w:type="dxa"/>
            <w:tcBorders>
              <w:top w:val="nil"/>
              <w:left w:val="nil"/>
              <w:bottom w:val="nil"/>
              <w:right w:val="nil"/>
            </w:tcBorders>
            <w:shd w:val="clear" w:color="auto" w:fill="auto"/>
            <w:vAlign w:val="center"/>
          </w:tcPr>
          <w:p w14:paraId="1EC1B03F"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7E3763">
              <w:rPr>
                <w:rFonts w:cs="Arial"/>
                <w:b/>
                <w:bCs/>
                <w:szCs w:val="14"/>
              </w:rPr>
              <w:t>(309</w:t>
            </w:r>
            <w:r>
              <w:rPr>
                <w:rFonts w:cs="Arial"/>
                <w:b/>
                <w:bCs/>
                <w:szCs w:val="14"/>
              </w:rPr>
              <w:t>,</w:t>
            </w:r>
            <w:r w:rsidRPr="007E3763">
              <w:rPr>
                <w:rFonts w:cs="Arial"/>
                <w:b/>
                <w:bCs/>
                <w:szCs w:val="14"/>
              </w:rPr>
              <w:t>423)</w:t>
            </w:r>
          </w:p>
        </w:tc>
        <w:tc>
          <w:tcPr>
            <w:tcW w:w="1339" w:type="dxa"/>
            <w:tcBorders>
              <w:top w:val="nil"/>
              <w:left w:val="nil"/>
              <w:bottom w:val="nil"/>
              <w:right w:val="nil"/>
            </w:tcBorders>
            <w:shd w:val="clear" w:color="auto" w:fill="auto"/>
            <w:vAlign w:val="center"/>
          </w:tcPr>
          <w:p w14:paraId="07931D95"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586</w:t>
            </w:r>
            <w:r>
              <w:rPr>
                <w:rFonts w:cs="Arial"/>
                <w:b/>
                <w:bCs/>
                <w:szCs w:val="14"/>
              </w:rPr>
              <w:t>,</w:t>
            </w:r>
            <w:r w:rsidRPr="007E3763">
              <w:rPr>
                <w:rFonts w:cs="Arial"/>
                <w:b/>
                <w:bCs/>
                <w:szCs w:val="14"/>
              </w:rPr>
              <w:t>067</w:t>
            </w:r>
          </w:p>
        </w:tc>
        <w:tc>
          <w:tcPr>
            <w:tcW w:w="280" w:type="dxa"/>
            <w:tcBorders>
              <w:top w:val="nil"/>
              <w:bottom w:val="nil"/>
            </w:tcBorders>
            <w:shd w:val="clear" w:color="auto" w:fill="auto"/>
            <w:vAlign w:val="center"/>
          </w:tcPr>
          <w:p w14:paraId="31E2958D"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280" w:type="dxa"/>
            <w:tcBorders>
              <w:top w:val="nil"/>
              <w:left w:val="nil"/>
              <w:bottom w:val="nil"/>
              <w:right w:val="nil"/>
            </w:tcBorders>
            <w:shd w:val="clear" w:color="auto" w:fill="auto"/>
            <w:vAlign w:val="center"/>
          </w:tcPr>
          <w:p w14:paraId="5C901372"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3</w:t>
            </w:r>
            <w:r>
              <w:rPr>
                <w:rFonts w:cs="Arial"/>
                <w:b/>
                <w:bCs/>
                <w:szCs w:val="14"/>
              </w:rPr>
              <w:t>,</w:t>
            </w:r>
            <w:r w:rsidRPr="007E3763">
              <w:rPr>
                <w:rFonts w:cs="Arial"/>
                <w:b/>
                <w:bCs/>
                <w:szCs w:val="14"/>
              </w:rPr>
              <w:t>037</w:t>
            </w:r>
            <w:r>
              <w:rPr>
                <w:rFonts w:cs="Arial"/>
                <w:b/>
                <w:bCs/>
                <w:szCs w:val="14"/>
              </w:rPr>
              <w:t>,</w:t>
            </w:r>
            <w:r w:rsidRPr="007E3763">
              <w:rPr>
                <w:rFonts w:cs="Arial"/>
                <w:b/>
                <w:bCs/>
                <w:szCs w:val="14"/>
              </w:rPr>
              <w:t>133</w:t>
            </w:r>
          </w:p>
        </w:tc>
        <w:tc>
          <w:tcPr>
            <w:tcW w:w="1417" w:type="dxa"/>
            <w:tcBorders>
              <w:top w:val="nil"/>
              <w:left w:val="nil"/>
              <w:bottom w:val="nil"/>
              <w:right w:val="nil"/>
            </w:tcBorders>
            <w:shd w:val="clear" w:color="auto" w:fill="auto"/>
            <w:vAlign w:val="center"/>
          </w:tcPr>
          <w:p w14:paraId="1E46D25C"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(1</w:t>
            </w:r>
            <w:r>
              <w:rPr>
                <w:rFonts w:cs="Arial"/>
                <w:b/>
                <w:bCs/>
                <w:szCs w:val="14"/>
              </w:rPr>
              <w:t>,</w:t>
            </w:r>
            <w:r w:rsidRPr="007E3763">
              <w:rPr>
                <w:rFonts w:cs="Arial"/>
                <w:b/>
                <w:bCs/>
                <w:szCs w:val="14"/>
              </w:rPr>
              <w:t>323</w:t>
            </w:r>
            <w:r>
              <w:rPr>
                <w:rFonts w:cs="Arial"/>
                <w:b/>
                <w:bCs/>
                <w:szCs w:val="14"/>
              </w:rPr>
              <w:t>,</w:t>
            </w:r>
            <w:r w:rsidRPr="007E3763">
              <w:rPr>
                <w:rFonts w:cs="Arial"/>
                <w:b/>
                <w:bCs/>
                <w:szCs w:val="14"/>
              </w:rPr>
              <w:t>876)</w:t>
            </w:r>
          </w:p>
        </w:tc>
      </w:tr>
      <w:tr w:rsidR="00FE3BD4" w:rsidRPr="007E3763" w14:paraId="50A06CC6"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20D24099" w14:textId="77777777" w:rsidR="00FE3BD4" w:rsidRPr="007E3763" w:rsidRDefault="00FE3BD4" w:rsidP="00FE3BD4">
            <w:pPr>
              <w:pStyle w:val="08-Tabelageral"/>
              <w:ind w:left="113"/>
              <w:jc w:val="left"/>
              <w:rPr>
                <w:b w:val="0"/>
              </w:rPr>
            </w:pPr>
            <w:proofErr w:type="spellStart"/>
            <w:r w:rsidRPr="007E3763">
              <w:rPr>
                <w:b w:val="0"/>
              </w:rPr>
              <w:t>Opening</w:t>
            </w:r>
            <w:proofErr w:type="spellEnd"/>
            <w:r w:rsidRPr="007E3763">
              <w:rPr>
                <w:b w:val="0"/>
              </w:rPr>
              <w:t xml:space="preserve"> balance</w:t>
            </w:r>
          </w:p>
        </w:tc>
        <w:tc>
          <w:tcPr>
            <w:tcW w:w="567" w:type="dxa"/>
            <w:tcBorders>
              <w:top w:val="nil"/>
              <w:bottom w:val="nil"/>
            </w:tcBorders>
            <w:shd w:val="clear" w:color="auto" w:fill="auto"/>
            <w:vAlign w:val="center"/>
          </w:tcPr>
          <w:p w14:paraId="3D04E854"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7E3763">
              <w:rPr>
                <w:rFonts w:cs="Arial"/>
                <w:bCs/>
                <w:szCs w:val="14"/>
              </w:rPr>
              <w:t>[15]</w:t>
            </w:r>
          </w:p>
        </w:tc>
        <w:tc>
          <w:tcPr>
            <w:tcW w:w="1496" w:type="dxa"/>
            <w:tcBorders>
              <w:top w:val="nil"/>
              <w:left w:val="nil"/>
              <w:bottom w:val="nil"/>
              <w:right w:val="nil"/>
            </w:tcBorders>
            <w:shd w:val="clear" w:color="auto" w:fill="auto"/>
            <w:vAlign w:val="center"/>
          </w:tcPr>
          <w:p w14:paraId="0051A195"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bCs/>
                <w:szCs w:val="14"/>
              </w:rPr>
              <w:t>645</w:t>
            </w:r>
            <w:r>
              <w:rPr>
                <w:rFonts w:cs="Arial"/>
                <w:bCs/>
                <w:szCs w:val="14"/>
              </w:rPr>
              <w:t>,</w:t>
            </w:r>
            <w:r w:rsidRPr="007E3763">
              <w:rPr>
                <w:rFonts w:cs="Arial"/>
                <w:bCs/>
                <w:szCs w:val="14"/>
              </w:rPr>
              <w:t>070</w:t>
            </w:r>
          </w:p>
        </w:tc>
        <w:tc>
          <w:tcPr>
            <w:tcW w:w="1339" w:type="dxa"/>
            <w:tcBorders>
              <w:top w:val="nil"/>
              <w:left w:val="nil"/>
              <w:bottom w:val="nil"/>
              <w:right w:val="nil"/>
            </w:tcBorders>
            <w:shd w:val="clear" w:color="auto" w:fill="auto"/>
            <w:vAlign w:val="center"/>
          </w:tcPr>
          <w:p w14:paraId="56B0740B"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59</w:t>
            </w:r>
            <w:r>
              <w:rPr>
                <w:rFonts w:cs="Arial"/>
                <w:szCs w:val="14"/>
              </w:rPr>
              <w:t>,</w:t>
            </w:r>
            <w:r w:rsidRPr="007E3763">
              <w:rPr>
                <w:rFonts w:cs="Arial"/>
                <w:szCs w:val="14"/>
              </w:rPr>
              <w:t>003</w:t>
            </w:r>
          </w:p>
        </w:tc>
        <w:tc>
          <w:tcPr>
            <w:tcW w:w="280" w:type="dxa"/>
            <w:tcBorders>
              <w:top w:val="nil"/>
              <w:bottom w:val="nil"/>
            </w:tcBorders>
            <w:shd w:val="clear" w:color="auto" w:fill="auto"/>
            <w:vAlign w:val="center"/>
          </w:tcPr>
          <w:p w14:paraId="4A60BC90"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7C2EBE1F"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bCs/>
                <w:szCs w:val="14"/>
              </w:rPr>
              <w:t>4</w:t>
            </w:r>
            <w:r>
              <w:rPr>
                <w:rFonts w:cs="Arial"/>
                <w:bCs/>
                <w:szCs w:val="14"/>
              </w:rPr>
              <w:t>,</w:t>
            </w:r>
            <w:r w:rsidRPr="007E3763">
              <w:rPr>
                <w:rFonts w:cs="Arial"/>
                <w:bCs/>
                <w:szCs w:val="14"/>
              </w:rPr>
              <w:t>752</w:t>
            </w:r>
            <w:r>
              <w:rPr>
                <w:rFonts w:cs="Arial"/>
                <w:bCs/>
                <w:szCs w:val="14"/>
              </w:rPr>
              <w:t>,</w:t>
            </w:r>
            <w:r w:rsidRPr="007E3763">
              <w:rPr>
                <w:rFonts w:cs="Arial"/>
                <w:bCs/>
                <w:szCs w:val="14"/>
              </w:rPr>
              <w:t>742</w:t>
            </w:r>
          </w:p>
        </w:tc>
        <w:tc>
          <w:tcPr>
            <w:tcW w:w="1417" w:type="dxa"/>
            <w:tcBorders>
              <w:top w:val="nil"/>
              <w:left w:val="nil"/>
              <w:bottom w:val="nil"/>
              <w:right w:val="nil"/>
            </w:tcBorders>
            <w:shd w:val="clear" w:color="auto" w:fill="auto"/>
            <w:vAlign w:val="center"/>
          </w:tcPr>
          <w:p w14:paraId="284094FD"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bCs/>
                <w:szCs w:val="14"/>
              </w:rPr>
              <w:t>6</w:t>
            </w:r>
            <w:r>
              <w:rPr>
                <w:rFonts w:cs="Arial"/>
                <w:bCs/>
                <w:szCs w:val="14"/>
              </w:rPr>
              <w:t>,</w:t>
            </w:r>
            <w:r w:rsidRPr="007E3763">
              <w:rPr>
                <w:rFonts w:cs="Arial"/>
                <w:bCs/>
                <w:szCs w:val="14"/>
              </w:rPr>
              <w:t>076</w:t>
            </w:r>
            <w:r>
              <w:rPr>
                <w:rFonts w:cs="Arial"/>
                <w:bCs/>
                <w:szCs w:val="14"/>
              </w:rPr>
              <w:t>,</w:t>
            </w:r>
            <w:r w:rsidRPr="007E3763">
              <w:rPr>
                <w:rFonts w:cs="Arial"/>
                <w:bCs/>
                <w:szCs w:val="14"/>
              </w:rPr>
              <w:t>618</w:t>
            </w:r>
          </w:p>
        </w:tc>
      </w:tr>
      <w:tr w:rsidR="00FE3BD4" w:rsidRPr="007E3763" w14:paraId="44A6FCF5"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3579D0FB" w14:textId="77777777" w:rsidR="00FE3BD4" w:rsidRPr="007E3763" w:rsidRDefault="00FE3BD4" w:rsidP="00FE3BD4">
            <w:pPr>
              <w:pStyle w:val="08-Tabelageral"/>
              <w:ind w:left="113"/>
              <w:jc w:val="left"/>
              <w:rPr>
                <w:b w:val="0"/>
              </w:rPr>
            </w:pPr>
            <w:proofErr w:type="spellStart"/>
            <w:r w:rsidRPr="007E3763">
              <w:rPr>
                <w:b w:val="0"/>
              </w:rPr>
              <w:t>Closing</w:t>
            </w:r>
            <w:proofErr w:type="spellEnd"/>
            <w:r w:rsidRPr="007E3763">
              <w:rPr>
                <w:b w:val="0"/>
              </w:rPr>
              <w:t xml:space="preserve"> balance</w:t>
            </w:r>
          </w:p>
        </w:tc>
        <w:tc>
          <w:tcPr>
            <w:tcW w:w="567" w:type="dxa"/>
            <w:tcBorders>
              <w:top w:val="nil"/>
              <w:bottom w:val="nil"/>
            </w:tcBorders>
            <w:shd w:val="clear" w:color="auto" w:fill="auto"/>
            <w:vAlign w:val="center"/>
          </w:tcPr>
          <w:p w14:paraId="1D52F9FD"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rPr>
            </w:pPr>
            <w:r w:rsidRPr="007E3763">
              <w:rPr>
                <w:rFonts w:cs="Arial"/>
                <w:bCs/>
                <w:szCs w:val="14"/>
              </w:rPr>
              <w:t>[15]</w:t>
            </w:r>
          </w:p>
        </w:tc>
        <w:tc>
          <w:tcPr>
            <w:tcW w:w="1496" w:type="dxa"/>
            <w:tcBorders>
              <w:top w:val="nil"/>
              <w:left w:val="nil"/>
              <w:bottom w:val="nil"/>
              <w:right w:val="nil"/>
            </w:tcBorders>
            <w:shd w:val="clear" w:color="auto" w:fill="auto"/>
            <w:vAlign w:val="center"/>
          </w:tcPr>
          <w:p w14:paraId="134D195B"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335</w:t>
            </w:r>
            <w:r>
              <w:rPr>
                <w:rFonts w:cs="Arial"/>
                <w:szCs w:val="14"/>
              </w:rPr>
              <w:t>,</w:t>
            </w:r>
            <w:r w:rsidRPr="007E3763">
              <w:rPr>
                <w:rFonts w:cs="Arial"/>
                <w:szCs w:val="14"/>
              </w:rPr>
              <w:t>647</w:t>
            </w:r>
          </w:p>
        </w:tc>
        <w:tc>
          <w:tcPr>
            <w:tcW w:w="1339" w:type="dxa"/>
            <w:tcBorders>
              <w:top w:val="nil"/>
              <w:left w:val="nil"/>
              <w:bottom w:val="nil"/>
              <w:right w:val="nil"/>
            </w:tcBorders>
            <w:shd w:val="clear" w:color="auto" w:fill="auto"/>
            <w:vAlign w:val="center"/>
          </w:tcPr>
          <w:p w14:paraId="0FD2859D"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645</w:t>
            </w:r>
            <w:r>
              <w:rPr>
                <w:rFonts w:cs="Arial"/>
                <w:szCs w:val="14"/>
              </w:rPr>
              <w:t>,</w:t>
            </w:r>
            <w:r w:rsidRPr="007E3763">
              <w:rPr>
                <w:rFonts w:cs="Arial"/>
                <w:szCs w:val="14"/>
              </w:rPr>
              <w:t>070</w:t>
            </w:r>
          </w:p>
        </w:tc>
        <w:tc>
          <w:tcPr>
            <w:tcW w:w="280" w:type="dxa"/>
            <w:tcBorders>
              <w:top w:val="nil"/>
              <w:bottom w:val="nil"/>
            </w:tcBorders>
            <w:shd w:val="clear" w:color="auto" w:fill="auto"/>
            <w:vAlign w:val="center"/>
          </w:tcPr>
          <w:p w14:paraId="1A5C8B70"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6B5E1264"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bCs/>
                <w:szCs w:val="14"/>
              </w:rPr>
              <w:t>7</w:t>
            </w:r>
            <w:r>
              <w:rPr>
                <w:rFonts w:cs="Arial"/>
                <w:bCs/>
                <w:szCs w:val="14"/>
              </w:rPr>
              <w:t>,</w:t>
            </w:r>
            <w:r w:rsidRPr="007E3763">
              <w:rPr>
                <w:rFonts w:cs="Arial"/>
                <w:bCs/>
                <w:szCs w:val="14"/>
              </w:rPr>
              <w:t>789</w:t>
            </w:r>
            <w:r>
              <w:rPr>
                <w:rFonts w:cs="Arial"/>
                <w:bCs/>
                <w:szCs w:val="14"/>
              </w:rPr>
              <w:t>,</w:t>
            </w:r>
            <w:r w:rsidRPr="007E3763">
              <w:rPr>
                <w:rFonts w:cs="Arial"/>
                <w:bCs/>
                <w:szCs w:val="14"/>
              </w:rPr>
              <w:t>875</w:t>
            </w:r>
          </w:p>
        </w:tc>
        <w:tc>
          <w:tcPr>
            <w:tcW w:w="1417" w:type="dxa"/>
            <w:tcBorders>
              <w:top w:val="nil"/>
              <w:left w:val="nil"/>
              <w:bottom w:val="nil"/>
              <w:right w:val="nil"/>
            </w:tcBorders>
            <w:shd w:val="clear" w:color="auto" w:fill="auto"/>
            <w:vAlign w:val="center"/>
          </w:tcPr>
          <w:p w14:paraId="12F463D7"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4</w:t>
            </w:r>
            <w:r>
              <w:rPr>
                <w:rFonts w:cs="Arial"/>
                <w:szCs w:val="14"/>
              </w:rPr>
              <w:t>,</w:t>
            </w:r>
            <w:r w:rsidRPr="007E3763">
              <w:rPr>
                <w:rFonts w:cs="Arial"/>
                <w:szCs w:val="14"/>
              </w:rPr>
              <w:t>752</w:t>
            </w:r>
            <w:r>
              <w:rPr>
                <w:rFonts w:cs="Arial"/>
                <w:szCs w:val="14"/>
              </w:rPr>
              <w:t>,</w:t>
            </w:r>
            <w:r w:rsidRPr="007E3763">
              <w:rPr>
                <w:rFonts w:cs="Arial"/>
                <w:szCs w:val="14"/>
              </w:rPr>
              <w:t>742</w:t>
            </w:r>
          </w:p>
        </w:tc>
      </w:tr>
      <w:tr w:rsidR="00FE3BD4" w:rsidRPr="007E3763" w14:paraId="3AB5F4F8"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55431247" w14:textId="77777777" w:rsidR="00FE3BD4" w:rsidRPr="007E3763" w:rsidRDefault="00FE3BD4" w:rsidP="00FE3BD4">
            <w:pPr>
              <w:pStyle w:val="08-Tabelageral"/>
              <w:jc w:val="left"/>
              <w:rPr>
                <w:lang w:val="en-US"/>
              </w:rPr>
            </w:pPr>
            <w:r w:rsidRPr="007E3763">
              <w:rPr>
                <w:lang w:val="en-US"/>
              </w:rPr>
              <w:t>Increase (decrease) in cash and cash equivalents</w:t>
            </w:r>
          </w:p>
        </w:tc>
        <w:tc>
          <w:tcPr>
            <w:tcW w:w="567" w:type="dxa"/>
            <w:tcBorders>
              <w:top w:val="nil"/>
              <w:bottom w:val="nil"/>
            </w:tcBorders>
            <w:shd w:val="clear" w:color="auto" w:fill="auto"/>
            <w:vAlign w:val="center"/>
          </w:tcPr>
          <w:p w14:paraId="09210E61"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b/>
                <w:lang w:val="en-US"/>
              </w:rPr>
            </w:pPr>
          </w:p>
        </w:tc>
        <w:tc>
          <w:tcPr>
            <w:tcW w:w="1496" w:type="dxa"/>
            <w:tcBorders>
              <w:top w:val="nil"/>
              <w:left w:val="nil"/>
              <w:bottom w:val="nil"/>
              <w:right w:val="nil"/>
            </w:tcBorders>
            <w:shd w:val="clear" w:color="auto" w:fill="auto"/>
            <w:vAlign w:val="center"/>
          </w:tcPr>
          <w:p w14:paraId="543157E2"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7E3763">
              <w:rPr>
                <w:rFonts w:cs="Arial"/>
                <w:b/>
                <w:bCs/>
                <w:szCs w:val="14"/>
              </w:rPr>
              <w:t>(309</w:t>
            </w:r>
            <w:r>
              <w:rPr>
                <w:rFonts w:cs="Arial"/>
                <w:b/>
                <w:bCs/>
                <w:szCs w:val="14"/>
              </w:rPr>
              <w:t>,</w:t>
            </w:r>
            <w:r w:rsidRPr="007E3763">
              <w:rPr>
                <w:rFonts w:cs="Arial"/>
                <w:b/>
                <w:bCs/>
                <w:szCs w:val="14"/>
              </w:rPr>
              <w:t>423)</w:t>
            </w:r>
          </w:p>
        </w:tc>
        <w:tc>
          <w:tcPr>
            <w:tcW w:w="1339" w:type="dxa"/>
            <w:tcBorders>
              <w:top w:val="nil"/>
              <w:left w:val="nil"/>
              <w:bottom w:val="nil"/>
              <w:right w:val="nil"/>
            </w:tcBorders>
            <w:shd w:val="clear" w:color="auto" w:fill="auto"/>
            <w:vAlign w:val="center"/>
          </w:tcPr>
          <w:p w14:paraId="04055F3C"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szCs w:val="14"/>
              </w:rPr>
              <w:t>586</w:t>
            </w:r>
            <w:r>
              <w:rPr>
                <w:rFonts w:cs="Arial"/>
                <w:b/>
                <w:bCs/>
                <w:szCs w:val="14"/>
              </w:rPr>
              <w:t>,</w:t>
            </w:r>
            <w:r w:rsidRPr="007E3763">
              <w:rPr>
                <w:rFonts w:cs="Arial"/>
                <w:b/>
                <w:bCs/>
                <w:szCs w:val="14"/>
              </w:rPr>
              <w:t>067</w:t>
            </w:r>
          </w:p>
        </w:tc>
        <w:tc>
          <w:tcPr>
            <w:tcW w:w="280" w:type="dxa"/>
            <w:tcBorders>
              <w:top w:val="nil"/>
              <w:bottom w:val="nil"/>
            </w:tcBorders>
            <w:shd w:val="clear" w:color="auto" w:fill="auto"/>
            <w:vAlign w:val="center"/>
          </w:tcPr>
          <w:p w14:paraId="5D232403"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80" w:type="dxa"/>
            <w:tcBorders>
              <w:top w:val="nil"/>
              <w:left w:val="nil"/>
              <w:bottom w:val="nil"/>
              <w:right w:val="nil"/>
            </w:tcBorders>
            <w:shd w:val="clear" w:color="auto" w:fill="auto"/>
            <w:vAlign w:val="center"/>
          </w:tcPr>
          <w:p w14:paraId="28296F2B"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szCs w:val="14"/>
              </w:rPr>
              <w:t>3</w:t>
            </w:r>
            <w:r>
              <w:rPr>
                <w:rFonts w:cs="Arial"/>
                <w:b/>
                <w:bCs/>
                <w:szCs w:val="14"/>
              </w:rPr>
              <w:t>,</w:t>
            </w:r>
            <w:r w:rsidRPr="007E3763">
              <w:rPr>
                <w:rFonts w:cs="Arial"/>
                <w:b/>
                <w:bCs/>
                <w:szCs w:val="14"/>
              </w:rPr>
              <w:t>037</w:t>
            </w:r>
            <w:r>
              <w:rPr>
                <w:rFonts w:cs="Arial"/>
                <w:b/>
                <w:bCs/>
                <w:szCs w:val="14"/>
              </w:rPr>
              <w:t>,</w:t>
            </w:r>
            <w:r w:rsidRPr="007E3763">
              <w:rPr>
                <w:rFonts w:cs="Arial"/>
                <w:b/>
                <w:bCs/>
                <w:szCs w:val="14"/>
              </w:rPr>
              <w:t>133</w:t>
            </w:r>
          </w:p>
        </w:tc>
        <w:tc>
          <w:tcPr>
            <w:tcW w:w="1417" w:type="dxa"/>
            <w:tcBorders>
              <w:top w:val="nil"/>
              <w:left w:val="nil"/>
              <w:bottom w:val="nil"/>
              <w:right w:val="nil"/>
            </w:tcBorders>
            <w:shd w:val="clear" w:color="auto" w:fill="auto"/>
            <w:vAlign w:val="center"/>
          </w:tcPr>
          <w:p w14:paraId="589A838F"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b/>
                <w:bCs/>
              </w:rPr>
            </w:pPr>
            <w:r w:rsidRPr="007E3763">
              <w:rPr>
                <w:rFonts w:cs="Arial"/>
                <w:b/>
                <w:bCs/>
                <w:szCs w:val="14"/>
              </w:rPr>
              <w:t>(1</w:t>
            </w:r>
            <w:r>
              <w:rPr>
                <w:rFonts w:cs="Arial"/>
                <w:b/>
                <w:bCs/>
                <w:szCs w:val="14"/>
              </w:rPr>
              <w:t>,</w:t>
            </w:r>
            <w:r w:rsidRPr="007E3763">
              <w:rPr>
                <w:rFonts w:cs="Arial"/>
                <w:b/>
                <w:bCs/>
                <w:szCs w:val="14"/>
              </w:rPr>
              <w:t>323</w:t>
            </w:r>
            <w:r>
              <w:rPr>
                <w:rFonts w:cs="Arial"/>
                <w:b/>
                <w:bCs/>
                <w:szCs w:val="14"/>
              </w:rPr>
              <w:t>,</w:t>
            </w:r>
            <w:r w:rsidRPr="007E3763">
              <w:rPr>
                <w:rFonts w:cs="Arial"/>
                <w:b/>
                <w:bCs/>
                <w:szCs w:val="14"/>
              </w:rPr>
              <w:t>876)</w:t>
            </w:r>
          </w:p>
        </w:tc>
      </w:tr>
      <w:tr w:rsidR="00FE3BD4" w:rsidRPr="007E3763" w14:paraId="2C704887"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718396C6" w14:textId="77777777" w:rsidR="00FE3BD4" w:rsidRPr="007E3763" w:rsidRDefault="00FE3BD4" w:rsidP="00FE3BD4">
            <w:pPr>
              <w:pStyle w:val="08-Tabelageral"/>
              <w:ind w:left="113"/>
              <w:jc w:val="left"/>
              <w:rPr>
                <w:b w:val="0"/>
              </w:rPr>
            </w:pPr>
          </w:p>
        </w:tc>
        <w:tc>
          <w:tcPr>
            <w:tcW w:w="567" w:type="dxa"/>
            <w:tcBorders>
              <w:top w:val="nil"/>
              <w:bottom w:val="nil"/>
            </w:tcBorders>
            <w:shd w:val="clear" w:color="auto" w:fill="FFFFFF" w:themeFill="background1"/>
            <w:vAlign w:val="center"/>
          </w:tcPr>
          <w:p w14:paraId="603C0B1C"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szCs w:val="14"/>
              </w:rPr>
            </w:pPr>
          </w:p>
        </w:tc>
        <w:tc>
          <w:tcPr>
            <w:tcW w:w="1496" w:type="dxa"/>
            <w:tcBorders>
              <w:top w:val="nil"/>
              <w:left w:val="nil"/>
              <w:bottom w:val="nil"/>
              <w:right w:val="nil"/>
            </w:tcBorders>
            <w:shd w:val="clear" w:color="auto" w:fill="FFFFFF" w:themeFill="background1"/>
            <w:vAlign w:val="center"/>
          </w:tcPr>
          <w:p w14:paraId="7A8321A3"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39" w:type="dxa"/>
            <w:tcBorders>
              <w:top w:val="nil"/>
              <w:bottom w:val="nil"/>
            </w:tcBorders>
            <w:shd w:val="clear" w:color="auto" w:fill="FFFFFF" w:themeFill="background1"/>
            <w:vAlign w:val="center"/>
          </w:tcPr>
          <w:p w14:paraId="13AE5CB5"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center"/>
          </w:tcPr>
          <w:p w14:paraId="23275436"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80" w:type="dxa"/>
            <w:tcBorders>
              <w:top w:val="nil"/>
              <w:left w:val="nil"/>
              <w:bottom w:val="nil"/>
              <w:right w:val="nil"/>
            </w:tcBorders>
            <w:shd w:val="clear" w:color="auto" w:fill="FFFFFF" w:themeFill="background1"/>
            <w:vAlign w:val="center"/>
          </w:tcPr>
          <w:p w14:paraId="36D667E5"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5A5C9295"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pPr>
          </w:p>
        </w:tc>
      </w:tr>
      <w:tr w:rsidR="00FE3BD4" w:rsidRPr="007E3763" w14:paraId="18B6F0E2"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6A9B3A2F" w14:textId="77777777" w:rsidR="00FE3BD4" w:rsidRPr="007E3763" w:rsidRDefault="00FE3BD4" w:rsidP="00FE3BD4">
            <w:pPr>
              <w:pStyle w:val="08-Tabelageral"/>
              <w:jc w:val="left"/>
            </w:pPr>
            <w:proofErr w:type="spellStart"/>
            <w:r w:rsidRPr="007E3763">
              <w:t>Complementary</w:t>
            </w:r>
            <w:proofErr w:type="spellEnd"/>
            <w:r w:rsidRPr="007E3763">
              <w:t xml:space="preserve"> </w:t>
            </w:r>
            <w:proofErr w:type="spellStart"/>
            <w:r w:rsidRPr="007E3763">
              <w:t>information</w:t>
            </w:r>
            <w:proofErr w:type="spellEnd"/>
            <w:r w:rsidRPr="007E3763">
              <w:t xml:space="preserve"> </w:t>
            </w:r>
            <w:proofErr w:type="spellStart"/>
            <w:r w:rsidRPr="007E3763">
              <w:t>on</w:t>
            </w:r>
            <w:proofErr w:type="spellEnd"/>
            <w:r w:rsidRPr="007E3763">
              <w:t xml:space="preserve"> </w:t>
            </w:r>
            <w:proofErr w:type="spellStart"/>
            <w:r w:rsidRPr="007E3763">
              <w:t>operations</w:t>
            </w:r>
            <w:proofErr w:type="spellEnd"/>
          </w:p>
        </w:tc>
        <w:tc>
          <w:tcPr>
            <w:tcW w:w="567" w:type="dxa"/>
            <w:tcBorders>
              <w:top w:val="nil"/>
              <w:bottom w:val="nil"/>
            </w:tcBorders>
            <w:vAlign w:val="center"/>
          </w:tcPr>
          <w:p w14:paraId="6014006D"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496" w:type="dxa"/>
            <w:tcBorders>
              <w:top w:val="nil"/>
              <w:left w:val="nil"/>
              <w:bottom w:val="nil"/>
              <w:right w:val="nil"/>
            </w:tcBorders>
            <w:vAlign w:val="center"/>
          </w:tcPr>
          <w:p w14:paraId="7A615041"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39" w:type="dxa"/>
            <w:tcBorders>
              <w:top w:val="nil"/>
              <w:bottom w:val="nil"/>
            </w:tcBorders>
            <w:vAlign w:val="center"/>
          </w:tcPr>
          <w:p w14:paraId="0250B4B8"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0" w:type="dxa"/>
            <w:tcBorders>
              <w:top w:val="nil"/>
              <w:bottom w:val="nil"/>
            </w:tcBorders>
            <w:vAlign w:val="center"/>
          </w:tcPr>
          <w:p w14:paraId="6D31A7EB"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80" w:type="dxa"/>
            <w:tcBorders>
              <w:top w:val="nil"/>
              <w:left w:val="nil"/>
              <w:bottom w:val="nil"/>
              <w:right w:val="nil"/>
            </w:tcBorders>
            <w:vAlign w:val="center"/>
          </w:tcPr>
          <w:p w14:paraId="2503E19B"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20F2ABD6" w14:textId="77777777" w:rsidR="00FE3BD4" w:rsidRPr="007E3763" w:rsidRDefault="00FE3BD4" w:rsidP="00FE3BD4">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r>
      <w:tr w:rsidR="00FE3BD4" w:rsidRPr="007E3763" w14:paraId="050C16D9"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FFFFFF" w:themeFill="background1"/>
            <w:vAlign w:val="center"/>
          </w:tcPr>
          <w:p w14:paraId="3D43D429" w14:textId="77777777" w:rsidR="00FE3BD4" w:rsidRPr="007E3763" w:rsidRDefault="00FE3BD4" w:rsidP="00FE3BD4">
            <w:pPr>
              <w:pStyle w:val="08-Tabelageral"/>
              <w:ind w:left="113"/>
              <w:jc w:val="left"/>
              <w:rPr>
                <w:b w:val="0"/>
              </w:rPr>
            </w:pPr>
            <w:r w:rsidRPr="007E3763">
              <w:rPr>
                <w:b w:val="0"/>
              </w:rPr>
              <w:t xml:space="preserve">Income </w:t>
            </w:r>
            <w:proofErr w:type="spellStart"/>
            <w:r w:rsidRPr="007E3763">
              <w:rPr>
                <w:b w:val="0"/>
              </w:rPr>
              <w:t>tax</w:t>
            </w:r>
            <w:proofErr w:type="spellEnd"/>
            <w:r w:rsidRPr="007E3763">
              <w:rPr>
                <w:b w:val="0"/>
              </w:rPr>
              <w:t xml:space="preserve"> </w:t>
            </w:r>
            <w:proofErr w:type="spellStart"/>
            <w:r w:rsidRPr="007E3763">
              <w:rPr>
                <w:b w:val="0"/>
              </w:rPr>
              <w:t>paid</w:t>
            </w:r>
            <w:proofErr w:type="spellEnd"/>
          </w:p>
        </w:tc>
        <w:tc>
          <w:tcPr>
            <w:tcW w:w="567" w:type="dxa"/>
            <w:tcBorders>
              <w:top w:val="nil"/>
              <w:bottom w:val="nil"/>
            </w:tcBorders>
            <w:shd w:val="clear" w:color="auto" w:fill="FFFFFF" w:themeFill="background1"/>
            <w:vAlign w:val="center"/>
          </w:tcPr>
          <w:p w14:paraId="6E2EFC5D"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rPr>
            </w:pPr>
          </w:p>
        </w:tc>
        <w:tc>
          <w:tcPr>
            <w:tcW w:w="1496" w:type="dxa"/>
            <w:tcBorders>
              <w:top w:val="nil"/>
              <w:left w:val="nil"/>
              <w:bottom w:val="nil"/>
              <w:right w:val="nil"/>
            </w:tcBorders>
            <w:shd w:val="clear" w:color="auto" w:fill="auto"/>
            <w:vAlign w:val="center"/>
          </w:tcPr>
          <w:p w14:paraId="1B9462F7"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(561)</w:t>
            </w:r>
          </w:p>
        </w:tc>
        <w:tc>
          <w:tcPr>
            <w:tcW w:w="1339" w:type="dxa"/>
            <w:tcBorders>
              <w:top w:val="nil"/>
              <w:left w:val="nil"/>
              <w:bottom w:val="nil"/>
              <w:right w:val="nil"/>
            </w:tcBorders>
            <w:shd w:val="clear" w:color="auto" w:fill="auto"/>
            <w:vAlign w:val="center"/>
          </w:tcPr>
          <w:p w14:paraId="26A555DB"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color w:val="000000"/>
                <w:szCs w:val="14"/>
              </w:rPr>
              <w:t>--</w:t>
            </w:r>
          </w:p>
        </w:tc>
        <w:tc>
          <w:tcPr>
            <w:tcW w:w="280" w:type="dxa"/>
            <w:tcBorders>
              <w:top w:val="nil"/>
              <w:bottom w:val="nil"/>
            </w:tcBorders>
            <w:shd w:val="clear" w:color="auto" w:fill="auto"/>
            <w:vAlign w:val="center"/>
          </w:tcPr>
          <w:p w14:paraId="2FDB67E9"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0F2E15B6"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(975</w:t>
            </w:r>
            <w:r>
              <w:rPr>
                <w:rFonts w:cs="Arial"/>
                <w:szCs w:val="14"/>
              </w:rPr>
              <w:t>,</w:t>
            </w:r>
            <w:r w:rsidRPr="007E3763">
              <w:rPr>
                <w:rFonts w:cs="Arial"/>
                <w:szCs w:val="14"/>
              </w:rPr>
              <w:t>938)</w:t>
            </w:r>
          </w:p>
        </w:tc>
        <w:tc>
          <w:tcPr>
            <w:tcW w:w="1417" w:type="dxa"/>
            <w:tcBorders>
              <w:top w:val="nil"/>
              <w:left w:val="nil"/>
              <w:bottom w:val="nil"/>
              <w:right w:val="nil"/>
            </w:tcBorders>
            <w:shd w:val="clear" w:color="auto" w:fill="auto"/>
            <w:vAlign w:val="center"/>
          </w:tcPr>
          <w:p w14:paraId="7603A634" w14:textId="77777777" w:rsidR="00FE3BD4" w:rsidRPr="007E3763" w:rsidRDefault="00FE3BD4" w:rsidP="00FE3BD4">
            <w:pPr>
              <w:pStyle w:val="08-Tabelageral"/>
              <w:ind w:left="113"/>
              <w:cnfStyle w:val="000000010000" w:firstRow="0" w:lastRow="0" w:firstColumn="0" w:lastColumn="0" w:oddVBand="0" w:evenVBand="0" w:oddHBand="0" w:evenHBand="1" w:firstRowFirstColumn="0" w:firstRowLastColumn="0" w:lastRowFirstColumn="0" w:lastRowLastColumn="0"/>
            </w:pPr>
            <w:r w:rsidRPr="007E3763">
              <w:rPr>
                <w:rFonts w:cs="Arial"/>
                <w:szCs w:val="14"/>
              </w:rPr>
              <w:t>(934</w:t>
            </w:r>
            <w:r>
              <w:rPr>
                <w:rFonts w:cs="Arial"/>
                <w:szCs w:val="14"/>
              </w:rPr>
              <w:t>,</w:t>
            </w:r>
            <w:r w:rsidRPr="007E3763">
              <w:rPr>
                <w:rFonts w:cs="Arial"/>
                <w:szCs w:val="14"/>
              </w:rPr>
              <w:t>781)</w:t>
            </w:r>
          </w:p>
        </w:tc>
      </w:tr>
      <w:tr w:rsidR="00FE3BD4" w:rsidRPr="007E3763" w14:paraId="67F862E0" w14:textId="77777777" w:rsidTr="00D962E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vAlign w:val="center"/>
          </w:tcPr>
          <w:p w14:paraId="3BD54359" w14:textId="77777777" w:rsidR="00FE3BD4" w:rsidRPr="007E3763" w:rsidRDefault="00FE3BD4" w:rsidP="00FE3BD4">
            <w:pPr>
              <w:pStyle w:val="08-Tabelageral"/>
              <w:ind w:left="113"/>
              <w:jc w:val="left"/>
              <w:rPr>
                <w:b w:val="0"/>
              </w:rPr>
            </w:pPr>
            <w:r w:rsidRPr="007E3763">
              <w:rPr>
                <w:b w:val="0"/>
              </w:rPr>
              <w:t xml:space="preserve">Social </w:t>
            </w:r>
            <w:proofErr w:type="spellStart"/>
            <w:r w:rsidRPr="007E3763">
              <w:rPr>
                <w:b w:val="0"/>
              </w:rPr>
              <w:t>contribution</w:t>
            </w:r>
            <w:proofErr w:type="spellEnd"/>
            <w:r w:rsidRPr="007E3763">
              <w:rPr>
                <w:b w:val="0"/>
              </w:rPr>
              <w:t xml:space="preserve"> </w:t>
            </w:r>
            <w:proofErr w:type="spellStart"/>
            <w:r w:rsidRPr="007E3763">
              <w:rPr>
                <w:b w:val="0"/>
              </w:rPr>
              <w:t>paid</w:t>
            </w:r>
            <w:proofErr w:type="spellEnd"/>
          </w:p>
        </w:tc>
        <w:tc>
          <w:tcPr>
            <w:tcW w:w="567" w:type="dxa"/>
            <w:tcBorders>
              <w:top w:val="nil"/>
              <w:bottom w:val="nil"/>
            </w:tcBorders>
            <w:vAlign w:val="center"/>
          </w:tcPr>
          <w:p w14:paraId="7F856FDD" w14:textId="77777777" w:rsidR="00FE3BD4" w:rsidRPr="007E3763" w:rsidRDefault="00FE3BD4" w:rsidP="00FE3BD4">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496" w:type="dxa"/>
            <w:tcBorders>
              <w:top w:val="nil"/>
              <w:left w:val="nil"/>
              <w:bottom w:val="nil"/>
              <w:right w:val="nil"/>
            </w:tcBorders>
            <w:shd w:val="clear" w:color="auto" w:fill="auto"/>
            <w:vAlign w:val="center"/>
          </w:tcPr>
          <w:p w14:paraId="3D217CE1"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(2</w:t>
            </w:r>
            <w:r>
              <w:rPr>
                <w:rFonts w:cs="Arial"/>
                <w:szCs w:val="14"/>
              </w:rPr>
              <w:t>,</w:t>
            </w:r>
            <w:r w:rsidRPr="007E3763">
              <w:rPr>
                <w:rFonts w:cs="Arial"/>
                <w:szCs w:val="14"/>
              </w:rPr>
              <w:t>931)</w:t>
            </w:r>
          </w:p>
        </w:tc>
        <w:tc>
          <w:tcPr>
            <w:tcW w:w="1339" w:type="dxa"/>
            <w:tcBorders>
              <w:top w:val="nil"/>
              <w:left w:val="nil"/>
              <w:bottom w:val="nil"/>
              <w:right w:val="nil"/>
            </w:tcBorders>
            <w:shd w:val="clear" w:color="auto" w:fill="auto"/>
            <w:vAlign w:val="center"/>
          </w:tcPr>
          <w:p w14:paraId="48C08680"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color w:val="000000"/>
                <w:szCs w:val="14"/>
              </w:rPr>
              <w:t>(2</w:t>
            </w:r>
            <w:r>
              <w:rPr>
                <w:rFonts w:cs="Arial"/>
                <w:color w:val="000000"/>
                <w:szCs w:val="14"/>
              </w:rPr>
              <w:t>,</w:t>
            </w:r>
            <w:r w:rsidRPr="007E3763">
              <w:rPr>
                <w:rFonts w:cs="Arial"/>
                <w:color w:val="000000"/>
                <w:szCs w:val="14"/>
              </w:rPr>
              <w:t>346)</w:t>
            </w:r>
          </w:p>
        </w:tc>
        <w:tc>
          <w:tcPr>
            <w:tcW w:w="280" w:type="dxa"/>
            <w:tcBorders>
              <w:top w:val="nil"/>
              <w:bottom w:val="nil"/>
            </w:tcBorders>
            <w:shd w:val="clear" w:color="auto" w:fill="auto"/>
            <w:vAlign w:val="center"/>
          </w:tcPr>
          <w:p w14:paraId="1CF4B046"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80" w:type="dxa"/>
            <w:tcBorders>
              <w:top w:val="nil"/>
              <w:left w:val="nil"/>
              <w:bottom w:val="nil"/>
              <w:right w:val="nil"/>
            </w:tcBorders>
            <w:shd w:val="clear" w:color="auto" w:fill="auto"/>
            <w:vAlign w:val="center"/>
          </w:tcPr>
          <w:p w14:paraId="721B23C0"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(435</w:t>
            </w:r>
            <w:r>
              <w:rPr>
                <w:rFonts w:cs="Arial"/>
                <w:szCs w:val="14"/>
              </w:rPr>
              <w:t>,</w:t>
            </w:r>
            <w:r w:rsidRPr="007E3763">
              <w:rPr>
                <w:rFonts w:cs="Arial"/>
                <w:szCs w:val="14"/>
              </w:rPr>
              <w:t>052)</w:t>
            </w:r>
          </w:p>
        </w:tc>
        <w:tc>
          <w:tcPr>
            <w:tcW w:w="1417" w:type="dxa"/>
            <w:tcBorders>
              <w:top w:val="nil"/>
              <w:left w:val="nil"/>
              <w:bottom w:val="nil"/>
              <w:right w:val="nil"/>
            </w:tcBorders>
            <w:shd w:val="clear" w:color="auto" w:fill="auto"/>
            <w:vAlign w:val="center"/>
          </w:tcPr>
          <w:p w14:paraId="1637710B" w14:textId="77777777" w:rsidR="00FE3BD4" w:rsidRPr="007E3763" w:rsidRDefault="00FE3BD4" w:rsidP="00FE3BD4">
            <w:pPr>
              <w:pStyle w:val="08-Tabelageral"/>
              <w:ind w:left="113"/>
              <w:cnfStyle w:val="000000100000" w:firstRow="0" w:lastRow="0" w:firstColumn="0" w:lastColumn="0" w:oddVBand="0" w:evenVBand="0" w:oddHBand="1" w:evenHBand="0" w:firstRowFirstColumn="0" w:firstRowLastColumn="0" w:lastRowFirstColumn="0" w:lastRowLastColumn="0"/>
            </w:pPr>
            <w:r w:rsidRPr="007E3763">
              <w:rPr>
                <w:rFonts w:cs="Arial"/>
                <w:szCs w:val="14"/>
              </w:rPr>
              <w:t>(414</w:t>
            </w:r>
            <w:r>
              <w:rPr>
                <w:rFonts w:cs="Arial"/>
                <w:szCs w:val="14"/>
              </w:rPr>
              <w:t>,</w:t>
            </w:r>
            <w:r w:rsidRPr="007E3763">
              <w:rPr>
                <w:rFonts w:cs="Arial"/>
                <w:szCs w:val="14"/>
              </w:rPr>
              <w:t>718)</w:t>
            </w:r>
          </w:p>
        </w:tc>
      </w:tr>
      <w:tr w:rsidR="00FE3BD4" w:rsidRPr="007E3763" w14:paraId="20AB886E" w14:textId="77777777" w:rsidTr="00D962E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2" w:space="0" w:color="1F3864" w:themeColor="accent1" w:themeShade="80"/>
            </w:tcBorders>
            <w:shd w:val="clear" w:color="auto" w:fill="FFFFFF" w:themeFill="background1"/>
            <w:vAlign w:val="center"/>
          </w:tcPr>
          <w:p w14:paraId="3EF607D6" w14:textId="77777777" w:rsidR="00FE3BD4" w:rsidRPr="007E3763" w:rsidRDefault="00FE3BD4" w:rsidP="00FE3BD4">
            <w:pPr>
              <w:pStyle w:val="08-Tabelageral"/>
              <w:jc w:val="left"/>
              <w:rPr>
                <w:rFonts w:cs="Arial"/>
                <w:szCs w:val="14"/>
              </w:rPr>
            </w:pPr>
            <w:r w:rsidRPr="007E3763">
              <w:rPr>
                <w:rFonts w:cs="Arial"/>
                <w:szCs w:val="14"/>
              </w:rPr>
              <w:t xml:space="preserve">Total taxes </w:t>
            </w:r>
            <w:proofErr w:type="spellStart"/>
            <w:r w:rsidRPr="007E3763">
              <w:rPr>
                <w:rFonts w:cs="Arial"/>
                <w:szCs w:val="14"/>
              </w:rPr>
              <w:t>paid</w:t>
            </w:r>
            <w:proofErr w:type="spellEnd"/>
          </w:p>
        </w:tc>
        <w:tc>
          <w:tcPr>
            <w:tcW w:w="567" w:type="dxa"/>
            <w:tcBorders>
              <w:top w:val="nil"/>
              <w:bottom w:val="single" w:sz="2" w:space="0" w:color="1F3864" w:themeColor="accent1" w:themeShade="80"/>
            </w:tcBorders>
            <w:shd w:val="clear" w:color="auto" w:fill="FFFFFF" w:themeFill="background1"/>
            <w:vAlign w:val="center"/>
          </w:tcPr>
          <w:p w14:paraId="7F977C1F" w14:textId="77777777" w:rsidR="00FE3BD4" w:rsidRPr="007E3763" w:rsidRDefault="00FE3BD4" w:rsidP="00FE3BD4">
            <w:pPr>
              <w:pStyle w:val="08-Tabelageral"/>
              <w:jc w:val="left"/>
              <w:cnfStyle w:val="000000010000" w:firstRow="0" w:lastRow="0" w:firstColumn="0" w:lastColumn="0" w:oddVBand="0" w:evenVBand="0" w:oddHBand="0" w:evenHBand="1" w:firstRowFirstColumn="0" w:firstRowLastColumn="0" w:lastRowFirstColumn="0" w:lastRowLastColumn="0"/>
              <w:rPr>
                <w:b/>
                <w:szCs w:val="14"/>
              </w:rPr>
            </w:pPr>
          </w:p>
        </w:tc>
        <w:tc>
          <w:tcPr>
            <w:tcW w:w="1496" w:type="dxa"/>
            <w:tcBorders>
              <w:top w:val="nil"/>
              <w:left w:val="nil"/>
              <w:bottom w:val="single" w:sz="4" w:space="0" w:color="1F3864" w:themeColor="accent1" w:themeShade="80"/>
              <w:right w:val="nil"/>
            </w:tcBorders>
            <w:shd w:val="clear" w:color="auto" w:fill="auto"/>
            <w:vAlign w:val="center"/>
          </w:tcPr>
          <w:p w14:paraId="7181BA3A"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E3763">
              <w:rPr>
                <w:rFonts w:cs="Arial"/>
                <w:b/>
                <w:bCs/>
                <w:szCs w:val="14"/>
              </w:rPr>
              <w:t>(3</w:t>
            </w:r>
            <w:r>
              <w:rPr>
                <w:rFonts w:cs="Arial"/>
                <w:b/>
                <w:bCs/>
                <w:szCs w:val="14"/>
              </w:rPr>
              <w:t>,</w:t>
            </w:r>
            <w:r w:rsidRPr="007E3763">
              <w:rPr>
                <w:rFonts w:cs="Arial"/>
                <w:b/>
                <w:bCs/>
                <w:szCs w:val="14"/>
              </w:rPr>
              <w:t>492)</w:t>
            </w:r>
          </w:p>
        </w:tc>
        <w:tc>
          <w:tcPr>
            <w:tcW w:w="1339" w:type="dxa"/>
            <w:tcBorders>
              <w:top w:val="nil"/>
              <w:left w:val="nil"/>
              <w:bottom w:val="single" w:sz="4" w:space="0" w:color="1F3864" w:themeColor="accent1" w:themeShade="80"/>
              <w:right w:val="nil"/>
            </w:tcBorders>
            <w:shd w:val="clear" w:color="auto" w:fill="auto"/>
            <w:vAlign w:val="center"/>
          </w:tcPr>
          <w:p w14:paraId="18D244C6"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color w:val="000000"/>
                <w:szCs w:val="14"/>
              </w:rPr>
              <w:t>(2</w:t>
            </w:r>
            <w:r>
              <w:rPr>
                <w:rFonts w:cs="Arial"/>
                <w:b/>
                <w:bCs/>
                <w:color w:val="000000"/>
                <w:szCs w:val="14"/>
              </w:rPr>
              <w:t>,</w:t>
            </w:r>
            <w:r w:rsidRPr="007E3763">
              <w:rPr>
                <w:rFonts w:cs="Arial"/>
                <w:b/>
                <w:bCs/>
                <w:color w:val="000000"/>
                <w:szCs w:val="14"/>
              </w:rPr>
              <w:t>346)</w:t>
            </w:r>
          </w:p>
        </w:tc>
        <w:tc>
          <w:tcPr>
            <w:tcW w:w="280" w:type="dxa"/>
            <w:tcBorders>
              <w:top w:val="nil"/>
              <w:bottom w:val="single" w:sz="2" w:space="0" w:color="1F3864" w:themeColor="accent1" w:themeShade="80"/>
            </w:tcBorders>
            <w:shd w:val="clear" w:color="auto" w:fill="auto"/>
            <w:vAlign w:val="center"/>
          </w:tcPr>
          <w:p w14:paraId="55A52397"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80" w:type="dxa"/>
            <w:tcBorders>
              <w:top w:val="nil"/>
              <w:left w:val="nil"/>
              <w:bottom w:val="single" w:sz="2" w:space="0" w:color="1F3864" w:themeColor="accent1" w:themeShade="80"/>
              <w:right w:val="nil"/>
            </w:tcBorders>
            <w:shd w:val="clear" w:color="auto" w:fill="auto"/>
            <w:vAlign w:val="center"/>
          </w:tcPr>
          <w:p w14:paraId="3B533285"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E3763">
              <w:rPr>
                <w:rFonts w:cs="Arial"/>
                <w:b/>
                <w:bCs/>
                <w:szCs w:val="14"/>
              </w:rPr>
              <w:t>(1</w:t>
            </w:r>
            <w:r>
              <w:rPr>
                <w:rFonts w:cs="Arial"/>
                <w:b/>
                <w:bCs/>
                <w:szCs w:val="14"/>
              </w:rPr>
              <w:t>,</w:t>
            </w:r>
            <w:r w:rsidRPr="007E3763">
              <w:rPr>
                <w:rFonts w:cs="Arial"/>
                <w:b/>
                <w:bCs/>
                <w:szCs w:val="14"/>
              </w:rPr>
              <w:t>410</w:t>
            </w:r>
            <w:r>
              <w:rPr>
                <w:rFonts w:cs="Arial"/>
                <w:b/>
                <w:bCs/>
                <w:szCs w:val="14"/>
              </w:rPr>
              <w:t>,</w:t>
            </w:r>
            <w:r w:rsidRPr="007E3763">
              <w:rPr>
                <w:rFonts w:cs="Arial"/>
                <w:b/>
                <w:bCs/>
                <w:szCs w:val="14"/>
              </w:rPr>
              <w:t>990)</w:t>
            </w:r>
          </w:p>
        </w:tc>
        <w:tc>
          <w:tcPr>
            <w:tcW w:w="1417" w:type="dxa"/>
            <w:tcBorders>
              <w:top w:val="nil"/>
              <w:left w:val="nil"/>
              <w:bottom w:val="single" w:sz="2" w:space="0" w:color="1F3864" w:themeColor="accent1" w:themeShade="80"/>
              <w:right w:val="nil"/>
            </w:tcBorders>
            <w:shd w:val="clear" w:color="auto" w:fill="auto"/>
            <w:vAlign w:val="center"/>
          </w:tcPr>
          <w:p w14:paraId="01C5E9EB" w14:textId="77777777" w:rsidR="00FE3BD4" w:rsidRPr="007E3763" w:rsidRDefault="00FE3BD4" w:rsidP="00FE3BD4">
            <w:pPr>
              <w:pStyle w:val="08-Tabelageral"/>
              <w:cnfStyle w:val="000000010000" w:firstRow="0" w:lastRow="0" w:firstColumn="0" w:lastColumn="0" w:oddVBand="0" w:evenVBand="0" w:oddHBand="0" w:evenHBand="1" w:firstRowFirstColumn="0" w:firstRowLastColumn="0" w:lastRowFirstColumn="0" w:lastRowLastColumn="0"/>
              <w:rPr>
                <w:b/>
                <w:bCs/>
              </w:rPr>
            </w:pPr>
            <w:r w:rsidRPr="007E3763">
              <w:rPr>
                <w:rFonts w:cs="Arial"/>
                <w:b/>
                <w:bCs/>
                <w:szCs w:val="14"/>
              </w:rPr>
              <w:t>(1</w:t>
            </w:r>
            <w:r>
              <w:rPr>
                <w:rFonts w:cs="Arial"/>
                <w:b/>
                <w:bCs/>
                <w:szCs w:val="14"/>
              </w:rPr>
              <w:t>,</w:t>
            </w:r>
            <w:r w:rsidRPr="007E3763">
              <w:rPr>
                <w:rFonts w:cs="Arial"/>
                <w:b/>
                <w:bCs/>
                <w:szCs w:val="14"/>
              </w:rPr>
              <w:t>349</w:t>
            </w:r>
            <w:r>
              <w:rPr>
                <w:rFonts w:cs="Arial"/>
                <w:b/>
                <w:bCs/>
                <w:szCs w:val="14"/>
              </w:rPr>
              <w:t>,</w:t>
            </w:r>
            <w:r w:rsidRPr="007E3763">
              <w:rPr>
                <w:rFonts w:cs="Arial"/>
                <w:b/>
                <w:bCs/>
                <w:szCs w:val="14"/>
              </w:rPr>
              <w:t>499)</w:t>
            </w:r>
          </w:p>
        </w:tc>
      </w:tr>
    </w:tbl>
    <w:p w14:paraId="5F90C7D0" w14:textId="1425328C" w:rsidR="0004123C" w:rsidRPr="0004123C" w:rsidRDefault="00FE3BD4" w:rsidP="0004123C">
      <w:pPr>
        <w:rPr>
          <w:lang w:val="en-US"/>
        </w:rPr>
      </w:pPr>
      <w:r w:rsidRPr="007E3763">
        <w:rPr>
          <w:rFonts w:ascii="Arial" w:hAnsi="Arial" w:cs="Arial"/>
          <w:sz w:val="14"/>
          <w:szCs w:val="14"/>
          <w:lang w:val="en-US"/>
        </w:rPr>
        <w:t>The explanatory notes are an integral part of the financial statements.</w:t>
      </w:r>
    </w:p>
    <w:p w14:paraId="36B48A0F" w14:textId="77777777" w:rsidR="00CF72BC" w:rsidRPr="008E65B8" w:rsidRDefault="00CF72BC" w:rsidP="00CF72BC">
      <w:pPr>
        <w:spacing w:after="160" w:line="259" w:lineRule="auto"/>
        <w:rPr>
          <w:rFonts w:ascii="Arial" w:hAnsi="Arial" w:cs="Arial"/>
          <w:sz w:val="18"/>
          <w:szCs w:val="18"/>
          <w:lang w:val="en-US"/>
        </w:rPr>
      </w:pPr>
    </w:p>
    <w:p w14:paraId="47FD7ED2" w14:textId="77777777" w:rsidR="0036649B" w:rsidRPr="004C5A7A" w:rsidRDefault="0036649B" w:rsidP="0036649B">
      <w:pPr>
        <w:rPr>
          <w:rFonts w:ascii="Arial" w:hAnsi="Arial" w:cs="Arial"/>
          <w:lang w:val="en-US" w:eastAsia="pt-BR"/>
        </w:rPr>
      </w:pPr>
      <w:bookmarkStart w:id="16" w:name="_Toc157446709"/>
    </w:p>
    <w:p w14:paraId="65A3636D" w14:textId="2ECA25E1" w:rsidR="0036649B" w:rsidRPr="004C5A7A" w:rsidRDefault="0036649B" w:rsidP="0036649B">
      <w:pPr>
        <w:tabs>
          <w:tab w:val="left" w:pos="5987"/>
        </w:tabs>
        <w:rPr>
          <w:rFonts w:ascii="Arial" w:hAnsi="Arial" w:cs="Arial"/>
          <w:lang w:val="en-US" w:eastAsia="pt-BR"/>
        </w:rPr>
        <w:sectPr w:rsidR="0036649B" w:rsidRPr="004C5A7A" w:rsidSect="00042818">
          <w:headerReference w:type="first" r:id="rId16"/>
          <w:footerReference w:type="first" r:id="rId17"/>
          <w:pgSz w:w="11907" w:h="16840" w:code="9"/>
          <w:pgMar w:top="993" w:right="1134" w:bottom="567" w:left="1134" w:header="851" w:footer="567" w:gutter="0"/>
          <w:pgNumType w:start="1"/>
          <w:cols w:space="720"/>
          <w:titlePg/>
          <w:docGrid w:linePitch="299"/>
        </w:sectPr>
      </w:pPr>
    </w:p>
    <w:p w14:paraId="5EAE2243" w14:textId="2A732BBF" w:rsidR="007D4AB0" w:rsidRPr="00432934" w:rsidRDefault="008E65B8" w:rsidP="00F80BEF">
      <w:pPr>
        <w:pStyle w:val="02-TtulodeNota"/>
        <w:ind w:left="-426"/>
        <w:rPr>
          <w:rFonts w:cs="Arial"/>
          <w:color w:val="1F3864" w:themeColor="accent1" w:themeShade="80"/>
          <w:lang w:val="en-US"/>
        </w:rPr>
      </w:pPr>
      <w:bookmarkStart w:id="17" w:name="_Toc190680619"/>
      <w:r w:rsidRPr="00432934">
        <w:rPr>
          <w:rFonts w:cs="Arial"/>
          <w:color w:val="1F3864" w:themeColor="accent1" w:themeShade="80"/>
          <w:lang w:val="en-US"/>
        </w:rPr>
        <w:lastRenderedPageBreak/>
        <w:t>STATEMENT OF CHANGES IN EQUITY</w:t>
      </w:r>
      <w:bookmarkEnd w:id="16"/>
      <w:bookmarkEnd w:id="17"/>
    </w:p>
    <w:p w14:paraId="1CE1AFB5" w14:textId="77777777" w:rsidR="00F316D8" w:rsidRPr="004C5A7A" w:rsidRDefault="00F316D8" w:rsidP="00F80BEF">
      <w:pPr>
        <w:pStyle w:val="01-TtulodeNota"/>
        <w:spacing w:before="0" w:after="0"/>
        <w:ind w:right="-312"/>
        <w:jc w:val="right"/>
        <w:rPr>
          <w:rFonts w:cs="Arial"/>
          <w:sz w:val="12"/>
          <w:szCs w:val="12"/>
          <w:lang w:val="en-US"/>
        </w:rPr>
      </w:pPr>
      <w:r w:rsidRPr="004C5A7A">
        <w:rPr>
          <w:rFonts w:cs="Arial"/>
          <w:sz w:val="12"/>
          <w:szCs w:val="12"/>
          <w:lang w:val="en-US"/>
        </w:rPr>
        <w:t>R$ thousand</w:t>
      </w:r>
    </w:p>
    <w:tbl>
      <w:tblPr>
        <w:tblStyle w:val="TabeladeLista6Colorida-nfase51"/>
        <w:tblW w:w="15309" w:type="dxa"/>
        <w:jc w:val="center"/>
        <w:shd w:val="clear" w:color="auto" w:fill="FFFFFF" w:themeFill="background1"/>
        <w:tblLayout w:type="fixed"/>
        <w:tblLook w:val="04A0" w:firstRow="1" w:lastRow="0" w:firstColumn="1" w:lastColumn="0" w:noHBand="0" w:noVBand="1"/>
      </w:tblPr>
      <w:tblGrid>
        <w:gridCol w:w="5269"/>
        <w:gridCol w:w="570"/>
        <w:gridCol w:w="859"/>
        <w:gridCol w:w="973"/>
        <w:gridCol w:w="1044"/>
        <w:gridCol w:w="1386"/>
        <w:gridCol w:w="1099"/>
        <w:gridCol w:w="1485"/>
        <w:gridCol w:w="1525"/>
        <w:gridCol w:w="1099"/>
      </w:tblGrid>
      <w:tr w:rsidR="00AA1417" w:rsidRPr="004C5A7A" w14:paraId="7A04A221" w14:textId="77777777" w:rsidTr="007A1DAC">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26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191E8255" w14:textId="77777777" w:rsidR="00F316D8" w:rsidRPr="004C5A7A" w:rsidRDefault="00F316D8">
            <w:pPr>
              <w:rPr>
                <w:rFonts w:ascii="Arial" w:hAnsi="Arial" w:cs="Arial"/>
                <w:bCs w:val="0"/>
                <w:sz w:val="14"/>
                <w:szCs w:val="14"/>
              </w:rPr>
            </w:pPr>
            <w:bookmarkStart w:id="18" w:name="_Toc149573383"/>
            <w:bookmarkStart w:id="19" w:name="_Toc157446710"/>
            <w:r w:rsidRPr="004C5A7A">
              <w:rPr>
                <w:rFonts w:ascii="Arial" w:hAnsi="Arial" w:cs="Arial"/>
                <w:sz w:val="14"/>
                <w:szCs w:val="14"/>
              </w:rPr>
              <w:t>Event</w:t>
            </w:r>
          </w:p>
        </w:tc>
        <w:tc>
          <w:tcPr>
            <w:tcW w:w="570"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427AA69C"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C5A7A">
              <w:rPr>
                <w:rFonts w:ascii="Arial" w:hAnsi="Arial" w:cs="Arial"/>
                <w:bCs w:val="0"/>
                <w:sz w:val="14"/>
                <w:szCs w:val="14"/>
              </w:rPr>
              <w:t>Note</w:t>
            </w:r>
          </w:p>
        </w:tc>
        <w:tc>
          <w:tcPr>
            <w:tcW w:w="85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6567D32"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Capital</w:t>
            </w:r>
          </w:p>
        </w:tc>
        <w:tc>
          <w:tcPr>
            <w:tcW w:w="973"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6F0DCECA"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4C5A7A">
              <w:rPr>
                <w:rFonts w:ascii="Arial" w:hAnsi="Arial" w:cs="Arial"/>
                <w:sz w:val="14"/>
                <w:szCs w:val="14"/>
              </w:rPr>
              <w:t>Capital Reserves</w:t>
            </w:r>
          </w:p>
        </w:tc>
        <w:tc>
          <w:tcPr>
            <w:tcW w:w="24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FC2FD4F"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C5A7A">
              <w:rPr>
                <w:rFonts w:ascii="Arial" w:hAnsi="Arial" w:cs="Arial"/>
                <w:sz w:val="14"/>
                <w:szCs w:val="14"/>
              </w:rPr>
              <w:t>Profit Reserves</w:t>
            </w:r>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767CCF7C"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C5A7A">
              <w:rPr>
                <w:rFonts w:ascii="Arial" w:hAnsi="Arial" w:cs="Arial"/>
                <w:sz w:val="14"/>
                <w:szCs w:val="14"/>
              </w:rPr>
              <w:t xml:space="preserve">Treasury </w:t>
            </w:r>
            <w:proofErr w:type="spellStart"/>
            <w:r w:rsidRPr="004C5A7A">
              <w:rPr>
                <w:rFonts w:ascii="Arial" w:hAnsi="Arial" w:cs="Arial"/>
                <w:sz w:val="14"/>
                <w:szCs w:val="14"/>
              </w:rPr>
              <w:t>Shares</w:t>
            </w:r>
            <w:proofErr w:type="spellEnd"/>
          </w:p>
        </w:tc>
        <w:tc>
          <w:tcPr>
            <w:tcW w:w="148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2D30B7C4"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Other </w:t>
            </w:r>
            <w:proofErr w:type="spellStart"/>
            <w:r w:rsidRPr="004C5A7A">
              <w:rPr>
                <w:rFonts w:ascii="Arial" w:hAnsi="Arial" w:cs="Arial"/>
                <w:sz w:val="14"/>
                <w:szCs w:val="14"/>
              </w:rPr>
              <w:t>accumulated</w:t>
            </w:r>
            <w:proofErr w:type="spellEnd"/>
            <w:r w:rsidRPr="004C5A7A">
              <w:rPr>
                <w:rFonts w:ascii="Arial" w:hAnsi="Arial" w:cs="Arial"/>
                <w:sz w:val="14"/>
                <w:szCs w:val="14"/>
              </w:rPr>
              <w:t xml:space="preserve"> </w:t>
            </w:r>
            <w:proofErr w:type="spellStart"/>
            <w:r w:rsidRPr="004C5A7A">
              <w:rPr>
                <w:rFonts w:ascii="Arial" w:hAnsi="Arial" w:cs="Arial"/>
                <w:sz w:val="14"/>
                <w:szCs w:val="14"/>
              </w:rPr>
              <w:t>comprehensive</w:t>
            </w:r>
            <w:proofErr w:type="spellEnd"/>
            <w:r w:rsidRPr="004C5A7A">
              <w:rPr>
                <w:rFonts w:ascii="Arial" w:hAnsi="Arial" w:cs="Arial"/>
                <w:sz w:val="14"/>
                <w:szCs w:val="14"/>
              </w:rPr>
              <w:t xml:space="preserve"> income</w:t>
            </w:r>
          </w:p>
        </w:tc>
        <w:tc>
          <w:tcPr>
            <w:tcW w:w="1525"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4106AD73"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4C5A7A">
              <w:rPr>
                <w:rFonts w:ascii="Arial" w:hAnsi="Arial" w:cs="Arial"/>
                <w:sz w:val="14"/>
                <w:szCs w:val="14"/>
              </w:rPr>
              <w:t>Retained</w:t>
            </w:r>
            <w:proofErr w:type="spellEnd"/>
            <w:r w:rsidRPr="004C5A7A">
              <w:rPr>
                <w:rFonts w:ascii="Arial" w:hAnsi="Arial" w:cs="Arial"/>
                <w:sz w:val="14"/>
                <w:szCs w:val="14"/>
              </w:rPr>
              <w:t xml:space="preserve"> </w:t>
            </w:r>
            <w:proofErr w:type="spellStart"/>
            <w:r w:rsidRPr="004C5A7A">
              <w:rPr>
                <w:rFonts w:ascii="Arial" w:hAnsi="Arial" w:cs="Arial"/>
                <w:sz w:val="14"/>
                <w:szCs w:val="14"/>
              </w:rPr>
              <w:t>earnings</w:t>
            </w:r>
            <w:proofErr w:type="spellEnd"/>
          </w:p>
        </w:tc>
        <w:tc>
          <w:tcPr>
            <w:tcW w:w="1099" w:type="dxa"/>
            <w:vMerge w:val="restart"/>
            <w:tcBorders>
              <w:top w:val="single" w:sz="2" w:space="0" w:color="1F3864" w:themeColor="accent1" w:themeShade="80"/>
              <w:bottom w:val="single" w:sz="2" w:space="0" w:color="1F3864" w:themeColor="accent1" w:themeShade="80"/>
            </w:tcBorders>
            <w:shd w:val="clear" w:color="auto" w:fill="FFFFFF" w:themeFill="background1"/>
            <w:vAlign w:val="center"/>
          </w:tcPr>
          <w:p w14:paraId="3838E70D" w14:textId="77777777" w:rsidR="00F316D8" w:rsidRPr="004C5A7A" w:rsidRDefault="00F316D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C5A7A">
              <w:rPr>
                <w:rFonts w:ascii="Arial" w:hAnsi="Arial" w:cs="Arial"/>
                <w:bCs w:val="0"/>
                <w:sz w:val="14"/>
                <w:szCs w:val="14"/>
              </w:rPr>
              <w:t>Total</w:t>
            </w:r>
          </w:p>
        </w:tc>
      </w:tr>
      <w:tr w:rsidR="00F316D8" w:rsidRPr="004C5A7A" w14:paraId="72E7B26C" w14:textId="77777777" w:rsidTr="007A1DAC">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269" w:type="dxa"/>
            <w:vMerge/>
            <w:tcBorders>
              <w:top w:val="nil"/>
              <w:bottom w:val="single" w:sz="2" w:space="0" w:color="1F3864" w:themeColor="accent1" w:themeShade="80"/>
            </w:tcBorders>
            <w:shd w:val="clear" w:color="auto" w:fill="FFFFFF" w:themeFill="background1"/>
            <w:vAlign w:val="center"/>
          </w:tcPr>
          <w:p w14:paraId="1ECCC5F9" w14:textId="77777777" w:rsidR="00F316D8" w:rsidRPr="004C5A7A" w:rsidRDefault="00F316D8">
            <w:pPr>
              <w:rPr>
                <w:rFonts w:ascii="Arial" w:hAnsi="Arial" w:cs="Arial"/>
                <w:sz w:val="14"/>
                <w:szCs w:val="14"/>
              </w:rPr>
            </w:pPr>
          </w:p>
        </w:tc>
        <w:tc>
          <w:tcPr>
            <w:tcW w:w="570" w:type="dxa"/>
            <w:vMerge/>
            <w:tcBorders>
              <w:top w:val="nil"/>
              <w:bottom w:val="single" w:sz="2" w:space="0" w:color="1F3864" w:themeColor="accent1" w:themeShade="80"/>
            </w:tcBorders>
            <w:shd w:val="clear" w:color="auto" w:fill="FFFFFF" w:themeFill="background1"/>
            <w:vAlign w:val="center"/>
          </w:tcPr>
          <w:p w14:paraId="30D3B035"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9" w:type="dxa"/>
            <w:vMerge/>
            <w:tcBorders>
              <w:top w:val="nil"/>
              <w:bottom w:val="single" w:sz="2" w:space="0" w:color="1F3864" w:themeColor="accent1" w:themeShade="80"/>
            </w:tcBorders>
            <w:shd w:val="clear" w:color="auto" w:fill="FFFFFF" w:themeFill="background1"/>
            <w:vAlign w:val="center"/>
          </w:tcPr>
          <w:p w14:paraId="441BB76C"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3" w:type="dxa"/>
            <w:vMerge/>
            <w:tcBorders>
              <w:top w:val="nil"/>
              <w:bottom w:val="single" w:sz="2" w:space="0" w:color="1F3864" w:themeColor="accent1" w:themeShade="80"/>
            </w:tcBorders>
            <w:shd w:val="clear" w:color="auto" w:fill="FFFFFF" w:themeFill="background1"/>
            <w:vAlign w:val="center"/>
          </w:tcPr>
          <w:p w14:paraId="76587FB9"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C28E613"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sz w:val="14"/>
                <w:szCs w:val="14"/>
              </w:rPr>
              <w:t>Legal Reserve</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80F4923" w14:textId="0F927789"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sz w:val="14"/>
                <w:szCs w:val="14"/>
              </w:rPr>
              <w:t>Statutory</w:t>
            </w:r>
            <w:proofErr w:type="spellEnd"/>
            <w:r w:rsidRPr="004C5A7A">
              <w:rPr>
                <w:rFonts w:ascii="Arial" w:hAnsi="Arial" w:cs="Arial"/>
                <w:b/>
                <w:sz w:val="14"/>
                <w:szCs w:val="14"/>
              </w:rPr>
              <w:t xml:space="preserve"> Reserve</w:t>
            </w:r>
            <w:r w:rsidR="00C90E89">
              <w:rPr>
                <w:rFonts w:ascii="Arial" w:hAnsi="Arial" w:cs="Arial"/>
                <w:b/>
                <w:sz w:val="14"/>
                <w:szCs w:val="14"/>
              </w:rPr>
              <w:t xml:space="preserve"> </w:t>
            </w:r>
            <w:r w:rsidR="00C90E89" w:rsidRPr="00C90E89">
              <w:rPr>
                <w:rFonts w:ascii="Arial" w:hAnsi="Arial" w:cs="Arial"/>
                <w:b/>
                <w:sz w:val="14"/>
                <w:szCs w:val="14"/>
                <w:vertAlign w:val="superscript"/>
              </w:rPr>
              <w:t>(1)</w:t>
            </w:r>
          </w:p>
        </w:tc>
        <w:tc>
          <w:tcPr>
            <w:tcW w:w="1099" w:type="dxa"/>
            <w:vMerge/>
            <w:tcBorders>
              <w:top w:val="nil"/>
              <w:bottom w:val="single" w:sz="2" w:space="0" w:color="1F3864" w:themeColor="accent1" w:themeShade="80"/>
            </w:tcBorders>
            <w:shd w:val="clear" w:color="auto" w:fill="FFFFFF" w:themeFill="background1"/>
            <w:vAlign w:val="center"/>
          </w:tcPr>
          <w:p w14:paraId="4D757C36"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85" w:type="dxa"/>
            <w:vMerge/>
            <w:tcBorders>
              <w:top w:val="nil"/>
              <w:bottom w:val="single" w:sz="2" w:space="0" w:color="1F3864" w:themeColor="accent1" w:themeShade="80"/>
            </w:tcBorders>
            <w:shd w:val="clear" w:color="auto" w:fill="FFFFFF" w:themeFill="background1"/>
            <w:vAlign w:val="center"/>
          </w:tcPr>
          <w:p w14:paraId="2F2AFBCF"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vMerge/>
            <w:tcBorders>
              <w:top w:val="nil"/>
              <w:bottom w:val="single" w:sz="2" w:space="0" w:color="1F3864" w:themeColor="accent1" w:themeShade="80"/>
            </w:tcBorders>
            <w:shd w:val="clear" w:color="auto" w:fill="FFFFFF" w:themeFill="background1"/>
            <w:vAlign w:val="center"/>
          </w:tcPr>
          <w:p w14:paraId="1F0B0606"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99" w:type="dxa"/>
            <w:vMerge/>
            <w:tcBorders>
              <w:top w:val="nil"/>
              <w:bottom w:val="single" w:sz="2" w:space="0" w:color="1F3864" w:themeColor="accent1" w:themeShade="80"/>
            </w:tcBorders>
            <w:shd w:val="clear" w:color="auto" w:fill="FFFFFF" w:themeFill="background1"/>
            <w:vAlign w:val="center"/>
          </w:tcPr>
          <w:p w14:paraId="04F2D525" w14:textId="77777777" w:rsidR="00F316D8" w:rsidRPr="004C5A7A" w:rsidRDefault="00F316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F316D8" w:rsidRPr="004C5A7A" w14:paraId="73AA38F7" w14:textId="77777777" w:rsidTr="007A1DAC">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nil"/>
            </w:tcBorders>
            <w:shd w:val="clear" w:color="auto" w:fill="FFFFFF" w:themeFill="background1"/>
            <w:vAlign w:val="center"/>
          </w:tcPr>
          <w:p w14:paraId="3DB4CC1A" w14:textId="77777777" w:rsidR="00F316D8" w:rsidRPr="004C5A7A" w:rsidRDefault="00F316D8">
            <w:pPr>
              <w:keepNext/>
              <w:keepLines/>
              <w:spacing w:before="40" w:after="40"/>
              <w:rPr>
                <w:rFonts w:ascii="Arial" w:eastAsia="Times New Roman" w:hAnsi="Arial" w:cs="Arial"/>
                <w:spacing w:val="-2"/>
                <w:sz w:val="14"/>
                <w:szCs w:val="14"/>
                <w:lang w:val="en-US" w:eastAsia="pt-BR"/>
              </w:rPr>
            </w:pPr>
            <w:r w:rsidRPr="004C5A7A">
              <w:rPr>
                <w:rFonts w:ascii="Arial" w:eastAsia="Times New Roman" w:hAnsi="Arial" w:cs="Arial"/>
                <w:spacing w:val="-2"/>
                <w:sz w:val="14"/>
                <w:szCs w:val="14"/>
                <w:lang w:val="en-US" w:eastAsia="pt-BR"/>
              </w:rPr>
              <w:t xml:space="preserve">Balances </w:t>
            </w:r>
            <w:proofErr w:type="gramStart"/>
            <w:r w:rsidRPr="004C5A7A">
              <w:rPr>
                <w:rFonts w:ascii="Arial" w:eastAsia="Times New Roman" w:hAnsi="Arial" w:cs="Arial"/>
                <w:spacing w:val="-2"/>
                <w:sz w:val="14"/>
                <w:szCs w:val="14"/>
                <w:lang w:val="en-US" w:eastAsia="pt-BR"/>
              </w:rPr>
              <w:t>at</w:t>
            </w:r>
            <w:proofErr w:type="gramEnd"/>
            <w:r w:rsidRPr="004C5A7A">
              <w:rPr>
                <w:rFonts w:ascii="Arial" w:eastAsia="Times New Roman" w:hAnsi="Arial" w:cs="Arial"/>
                <w:spacing w:val="-2"/>
                <w:sz w:val="14"/>
                <w:szCs w:val="14"/>
                <w:lang w:val="en-US" w:eastAsia="pt-BR"/>
              </w:rPr>
              <w:t xml:space="preserve"> Dec 31, 2022 </w:t>
            </w:r>
            <w:r w:rsidRPr="004C5A7A">
              <w:rPr>
                <w:rFonts w:ascii="Arial" w:hAnsi="Arial" w:cs="Arial"/>
                <w:sz w:val="14"/>
                <w:szCs w:val="14"/>
                <w:lang w:val="en-US"/>
              </w:rPr>
              <w:t>(</w:t>
            </w:r>
            <w:r w:rsidRPr="004C5A7A">
              <w:rPr>
                <w:rStyle w:val="rynqvb"/>
                <w:rFonts w:ascii="Arial" w:hAnsi="Arial" w:cs="Arial"/>
                <w:sz w:val="14"/>
                <w:szCs w:val="14"/>
                <w:lang w:val="en"/>
              </w:rPr>
              <w:t>R</w:t>
            </w:r>
            <w:hyperlink r:id="rId18" w:history="1">
              <w:proofErr w:type="spellStart"/>
              <w:r w:rsidRPr="004C5A7A">
                <w:rPr>
                  <w:rStyle w:val="Hyperlink"/>
                  <w:rFonts w:ascii="Arial" w:hAnsi="Arial" w:cs="Arial"/>
                  <w:color w:val="auto"/>
                  <w:sz w:val="14"/>
                  <w:szCs w:val="14"/>
                  <w:u w:val="none"/>
                  <w:shd w:val="clear" w:color="auto" w:fill="FFFFFF"/>
                  <w:lang w:val="en-US"/>
                </w:rPr>
                <w:t>estated</w:t>
              </w:r>
              <w:proofErr w:type="spellEnd"/>
              <w:r w:rsidRPr="004C5A7A">
                <w:rPr>
                  <w:rStyle w:val="Hyperlink"/>
                  <w:rFonts w:ascii="Arial" w:hAnsi="Arial" w:cs="Arial"/>
                  <w:color w:val="auto"/>
                  <w:sz w:val="14"/>
                  <w:szCs w:val="14"/>
                  <w:u w:val="none"/>
                  <w:shd w:val="clear" w:color="auto" w:fill="FFFFFF"/>
                  <w:lang w:val="en-US"/>
                </w:rPr>
                <w:t xml:space="preserve"> balances</w:t>
              </w:r>
            </w:hyperlink>
            <w:r w:rsidRPr="004C5A7A">
              <w:rPr>
                <w:rStyle w:val="Hyperlink"/>
                <w:rFonts w:ascii="Arial" w:hAnsi="Arial" w:cs="Arial"/>
                <w:color w:val="auto"/>
                <w:sz w:val="14"/>
                <w:szCs w:val="14"/>
                <w:shd w:val="clear" w:color="auto" w:fill="FFFFFF"/>
                <w:lang w:val="en-US"/>
              </w:rPr>
              <w:t>)</w:t>
            </w:r>
          </w:p>
        </w:tc>
        <w:tc>
          <w:tcPr>
            <w:tcW w:w="570" w:type="dxa"/>
            <w:tcBorders>
              <w:top w:val="single" w:sz="2" w:space="0" w:color="1F3864" w:themeColor="accent1" w:themeShade="80"/>
              <w:bottom w:val="nil"/>
            </w:tcBorders>
            <w:shd w:val="clear" w:color="auto" w:fill="FFFFFF" w:themeFill="background1"/>
          </w:tcPr>
          <w:p w14:paraId="5C06C674" w14:textId="77777777" w:rsidR="00F316D8" w:rsidRPr="004C5A7A" w:rsidRDefault="00F316D8">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2" w:space="0" w:color="1F3864" w:themeColor="accent1" w:themeShade="80"/>
              <w:bottom w:val="nil"/>
            </w:tcBorders>
            <w:shd w:val="clear" w:color="auto" w:fill="FFFFFF" w:themeFill="background1"/>
            <w:vAlign w:val="center"/>
          </w:tcPr>
          <w:p w14:paraId="0AF83526"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6,269,692</w:t>
            </w:r>
          </w:p>
        </w:tc>
        <w:tc>
          <w:tcPr>
            <w:tcW w:w="973" w:type="dxa"/>
            <w:tcBorders>
              <w:top w:val="single" w:sz="2" w:space="0" w:color="1F3864" w:themeColor="accent1" w:themeShade="80"/>
              <w:bottom w:val="nil"/>
            </w:tcBorders>
            <w:shd w:val="clear" w:color="auto" w:fill="FFFFFF" w:themeFill="background1"/>
            <w:vAlign w:val="center"/>
          </w:tcPr>
          <w:p w14:paraId="6F1BA09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1,571</w:t>
            </w:r>
          </w:p>
        </w:tc>
        <w:tc>
          <w:tcPr>
            <w:tcW w:w="1044" w:type="dxa"/>
            <w:tcBorders>
              <w:top w:val="single" w:sz="2" w:space="0" w:color="1F3864" w:themeColor="accent1" w:themeShade="80"/>
              <w:bottom w:val="nil"/>
            </w:tcBorders>
            <w:shd w:val="clear" w:color="auto" w:fill="FFFFFF" w:themeFill="background1"/>
            <w:vAlign w:val="center"/>
          </w:tcPr>
          <w:p w14:paraId="11EC73A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302,229</w:t>
            </w:r>
          </w:p>
        </w:tc>
        <w:tc>
          <w:tcPr>
            <w:tcW w:w="1386" w:type="dxa"/>
            <w:tcBorders>
              <w:top w:val="single" w:sz="2" w:space="0" w:color="1F3864" w:themeColor="accent1" w:themeShade="80"/>
              <w:bottom w:val="nil"/>
            </w:tcBorders>
            <w:shd w:val="clear" w:color="auto" w:fill="FFFFFF" w:themeFill="background1"/>
            <w:vAlign w:val="center"/>
          </w:tcPr>
          <w:p w14:paraId="371DD3D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1,250,000</w:t>
            </w:r>
          </w:p>
        </w:tc>
        <w:tc>
          <w:tcPr>
            <w:tcW w:w="1099" w:type="dxa"/>
            <w:tcBorders>
              <w:top w:val="single" w:sz="2" w:space="0" w:color="1F3864" w:themeColor="accent1" w:themeShade="80"/>
              <w:bottom w:val="nil"/>
            </w:tcBorders>
            <w:shd w:val="clear" w:color="auto" w:fill="FFFFFF" w:themeFill="background1"/>
            <w:vAlign w:val="center"/>
          </w:tcPr>
          <w:p w14:paraId="0E55AB5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(80,344)</w:t>
            </w:r>
          </w:p>
        </w:tc>
        <w:tc>
          <w:tcPr>
            <w:tcW w:w="1485" w:type="dxa"/>
            <w:tcBorders>
              <w:top w:val="single" w:sz="2" w:space="0" w:color="1F3864" w:themeColor="accent1" w:themeShade="80"/>
              <w:bottom w:val="nil"/>
            </w:tcBorders>
            <w:shd w:val="clear" w:color="auto" w:fill="FFFFFF" w:themeFill="background1"/>
            <w:vAlign w:val="center"/>
          </w:tcPr>
          <w:p w14:paraId="079AEB3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(341,992)</w:t>
            </w:r>
          </w:p>
        </w:tc>
        <w:tc>
          <w:tcPr>
            <w:tcW w:w="1525" w:type="dxa"/>
            <w:tcBorders>
              <w:top w:val="single" w:sz="2" w:space="0" w:color="1F3864" w:themeColor="accent1" w:themeShade="80"/>
              <w:bottom w:val="nil"/>
            </w:tcBorders>
            <w:shd w:val="clear" w:color="auto" w:fill="FFFFFF" w:themeFill="background1"/>
            <w:vAlign w:val="center"/>
          </w:tcPr>
          <w:p w14:paraId="5D3E892D"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 xml:space="preserve">635,574 </w:t>
            </w:r>
          </w:p>
        </w:tc>
        <w:tc>
          <w:tcPr>
            <w:tcW w:w="1099" w:type="dxa"/>
            <w:tcBorders>
              <w:top w:val="single" w:sz="2" w:space="0" w:color="1F3864" w:themeColor="accent1" w:themeShade="80"/>
              <w:bottom w:val="nil"/>
            </w:tcBorders>
            <w:shd w:val="clear" w:color="auto" w:fill="FFFFFF" w:themeFill="background1"/>
            <w:vAlign w:val="center"/>
          </w:tcPr>
          <w:p w14:paraId="4321684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8,036,730</w:t>
            </w:r>
          </w:p>
        </w:tc>
      </w:tr>
      <w:tr w:rsidR="00AA1417" w:rsidRPr="004C5A7A" w14:paraId="7D3767C6" w14:textId="77777777" w:rsidTr="007A1DAC">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4585F61" w14:textId="77777777" w:rsidR="00F316D8" w:rsidRPr="004C5A7A" w:rsidRDefault="00F316D8">
            <w:pPr>
              <w:keepNext/>
              <w:keepLines/>
              <w:spacing w:before="40" w:after="40"/>
              <w:ind w:left="177"/>
              <w:rPr>
                <w:rFonts w:ascii="Arial" w:eastAsia="Times New Roman" w:hAnsi="Arial" w:cs="Arial"/>
                <w:spacing w:val="-2"/>
                <w:sz w:val="14"/>
                <w:szCs w:val="14"/>
                <w:lang w:eastAsia="pt-BR"/>
              </w:rPr>
            </w:pPr>
            <w:r w:rsidRPr="004C5A7A">
              <w:rPr>
                <w:rFonts w:ascii="Arial" w:eastAsia="Times New Roman" w:hAnsi="Arial" w:cs="Arial"/>
                <w:b w:val="0"/>
                <w:spacing w:val="-2"/>
                <w:sz w:val="14"/>
                <w:szCs w:val="14"/>
                <w:lang w:val="en-US" w:eastAsia="pt-BR"/>
              </w:rPr>
              <w:t>Share buyback</w:t>
            </w:r>
          </w:p>
        </w:tc>
        <w:tc>
          <w:tcPr>
            <w:tcW w:w="570" w:type="dxa"/>
            <w:tcBorders>
              <w:top w:val="nil"/>
              <w:bottom w:val="nil"/>
            </w:tcBorders>
            <w:shd w:val="clear" w:color="auto" w:fill="FFFFFF" w:themeFill="background1"/>
          </w:tcPr>
          <w:p w14:paraId="2D4FEBA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6E0F155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3B3927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B078912"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5B22523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EB8667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(624,282)</w:t>
            </w:r>
          </w:p>
        </w:tc>
        <w:tc>
          <w:tcPr>
            <w:tcW w:w="1485" w:type="dxa"/>
            <w:tcBorders>
              <w:top w:val="nil"/>
              <w:bottom w:val="nil"/>
            </w:tcBorders>
            <w:shd w:val="clear" w:color="auto" w:fill="FFFFFF" w:themeFill="background1"/>
            <w:vAlign w:val="center"/>
          </w:tcPr>
          <w:p w14:paraId="13409BD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30A70CB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3A006F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(624,282)</w:t>
            </w:r>
          </w:p>
        </w:tc>
      </w:tr>
      <w:tr w:rsidR="00AA1417" w:rsidRPr="004C5A7A" w14:paraId="7C4055E6" w14:textId="77777777" w:rsidTr="007A1DAC">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1950C6B" w14:textId="77777777" w:rsidR="00F316D8" w:rsidRPr="004C5A7A" w:rsidRDefault="00F316D8">
            <w:pPr>
              <w:keepNext/>
              <w:keepLines/>
              <w:spacing w:before="40" w:after="40"/>
              <w:ind w:left="177"/>
              <w:rPr>
                <w:rFonts w:ascii="Arial" w:eastAsia="Times New Roman" w:hAnsi="Arial" w:cs="Arial"/>
                <w:spacing w:val="-2"/>
                <w:sz w:val="14"/>
                <w:szCs w:val="14"/>
                <w:lang w:val="en-US" w:eastAsia="pt-BR"/>
              </w:rPr>
            </w:pPr>
            <w:proofErr w:type="spellStart"/>
            <w:r w:rsidRPr="004C5A7A">
              <w:rPr>
                <w:rFonts w:ascii="Arial" w:eastAsia="Times New Roman" w:hAnsi="Arial" w:cs="Arial"/>
                <w:b w:val="0"/>
                <w:spacing w:val="-2"/>
                <w:sz w:val="14"/>
                <w:szCs w:val="14"/>
                <w:lang w:eastAsia="pt-BR"/>
              </w:rPr>
              <w:t>Share-based</w:t>
            </w:r>
            <w:proofErr w:type="spellEnd"/>
            <w:r w:rsidRPr="004C5A7A">
              <w:rPr>
                <w:rFonts w:ascii="Arial" w:eastAsia="Times New Roman" w:hAnsi="Arial" w:cs="Arial"/>
                <w:b w:val="0"/>
                <w:spacing w:val="-2"/>
                <w:sz w:val="14"/>
                <w:szCs w:val="14"/>
                <w:lang w:eastAsia="pt-BR"/>
              </w:rPr>
              <w:t xml:space="preserve"> </w:t>
            </w:r>
            <w:proofErr w:type="spellStart"/>
            <w:r w:rsidRPr="004C5A7A">
              <w:rPr>
                <w:rFonts w:ascii="Arial" w:eastAsia="Times New Roman" w:hAnsi="Arial" w:cs="Arial"/>
                <w:b w:val="0"/>
                <w:spacing w:val="-2"/>
                <w:sz w:val="14"/>
                <w:szCs w:val="14"/>
                <w:lang w:eastAsia="pt-BR"/>
              </w:rPr>
              <w:t>payment</w:t>
            </w:r>
            <w:proofErr w:type="spellEnd"/>
            <w:r w:rsidRPr="004C5A7A">
              <w:rPr>
                <w:rFonts w:ascii="Arial" w:eastAsia="Times New Roman" w:hAnsi="Arial" w:cs="Arial"/>
                <w:b w:val="0"/>
                <w:spacing w:val="-2"/>
                <w:sz w:val="14"/>
                <w:szCs w:val="14"/>
                <w:lang w:eastAsia="pt-BR"/>
              </w:rPr>
              <w:t xml:space="preserve"> </w:t>
            </w:r>
            <w:proofErr w:type="spellStart"/>
            <w:r w:rsidRPr="004C5A7A">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tcPr>
          <w:p w14:paraId="5E0A378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4900AA3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98E724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234</w:t>
            </w:r>
          </w:p>
        </w:tc>
        <w:tc>
          <w:tcPr>
            <w:tcW w:w="1044" w:type="dxa"/>
            <w:tcBorders>
              <w:top w:val="nil"/>
              <w:bottom w:val="nil"/>
            </w:tcBorders>
            <w:shd w:val="clear" w:color="auto" w:fill="FFFFFF" w:themeFill="background1"/>
            <w:vAlign w:val="center"/>
          </w:tcPr>
          <w:p w14:paraId="28C291B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B5BF7D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240947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596</w:t>
            </w:r>
          </w:p>
        </w:tc>
        <w:tc>
          <w:tcPr>
            <w:tcW w:w="1485" w:type="dxa"/>
            <w:tcBorders>
              <w:top w:val="nil"/>
              <w:bottom w:val="nil"/>
            </w:tcBorders>
            <w:shd w:val="clear" w:color="auto" w:fill="FFFFFF" w:themeFill="background1"/>
            <w:vAlign w:val="center"/>
          </w:tcPr>
          <w:p w14:paraId="228CF93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540A3B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BD5984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830</w:t>
            </w:r>
          </w:p>
        </w:tc>
      </w:tr>
      <w:tr w:rsidR="00AA1417" w:rsidRPr="004C5A7A" w14:paraId="7B6B8185" w14:textId="77777777" w:rsidTr="007A1DAC">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B2C650B" w14:textId="77777777" w:rsidR="00F316D8" w:rsidRPr="004C5A7A" w:rsidRDefault="00F316D8">
            <w:pPr>
              <w:keepNext/>
              <w:keepLines/>
              <w:spacing w:before="40" w:after="40"/>
              <w:ind w:left="177"/>
              <w:rPr>
                <w:rFonts w:ascii="Arial" w:eastAsia="Times New Roman" w:hAnsi="Arial" w:cs="Arial"/>
                <w:b w:val="0"/>
                <w:spacing w:val="-2"/>
                <w:sz w:val="14"/>
                <w:szCs w:val="14"/>
                <w:lang w:val="en-US" w:eastAsia="pt-BR"/>
              </w:rPr>
            </w:pPr>
            <w:r w:rsidRPr="004C5A7A">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tcPr>
          <w:p w14:paraId="012D470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410A2D22"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E72528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42D5274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65018D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9D5F8B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0B2C9E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92,764</w:t>
            </w:r>
          </w:p>
        </w:tc>
        <w:tc>
          <w:tcPr>
            <w:tcW w:w="1525" w:type="dxa"/>
            <w:tcBorders>
              <w:top w:val="nil"/>
              <w:bottom w:val="nil"/>
            </w:tcBorders>
            <w:shd w:val="clear" w:color="auto" w:fill="FFFFFF" w:themeFill="background1"/>
            <w:vAlign w:val="center"/>
          </w:tcPr>
          <w:p w14:paraId="55F7E1A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198BBD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b/>
                <w:bCs/>
                <w:color w:val="000000"/>
                <w:sz w:val="14"/>
                <w:szCs w:val="14"/>
              </w:rPr>
              <w:t>92,764</w:t>
            </w:r>
          </w:p>
        </w:tc>
      </w:tr>
      <w:tr w:rsidR="00AA1417" w:rsidRPr="004C5A7A" w14:paraId="6304BFFE" w14:textId="77777777" w:rsidTr="007A1DAC">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654B7A9" w14:textId="77777777" w:rsidR="00F316D8" w:rsidRPr="004C5A7A" w:rsidRDefault="00F316D8">
            <w:pPr>
              <w:keepNext/>
              <w:keepLines/>
              <w:spacing w:before="40" w:after="40"/>
              <w:ind w:left="177"/>
              <w:rPr>
                <w:rFonts w:ascii="Arial" w:eastAsia="Times New Roman" w:hAnsi="Arial" w:cs="Arial"/>
                <w:b w:val="0"/>
                <w:spacing w:val="-2"/>
                <w:sz w:val="14"/>
                <w:szCs w:val="14"/>
                <w:lang w:val="en-US" w:eastAsia="pt-BR"/>
              </w:rPr>
            </w:pPr>
            <w:r w:rsidRPr="004C5A7A">
              <w:rPr>
                <w:rFonts w:ascii="Arial" w:eastAsia="Times New Roman" w:hAnsi="Arial" w:cs="Arial"/>
                <w:b w:val="0"/>
                <w:spacing w:val="-2"/>
                <w:sz w:val="14"/>
                <w:szCs w:val="14"/>
                <w:lang w:val="en-US" w:eastAsia="pt-BR"/>
              </w:rPr>
              <w:t>Other comprehensive income - E</w:t>
            </w:r>
            <w:r w:rsidRPr="004C5A7A">
              <w:rPr>
                <w:rFonts w:ascii="Arial" w:hAnsi="Arial" w:cs="Arial"/>
                <w:b w:val="0"/>
                <w:bCs w:val="0"/>
                <w:sz w:val="14"/>
                <w:szCs w:val="14"/>
                <w:lang w:val="en-US"/>
              </w:rPr>
              <w:t>ffects CPC 50</w:t>
            </w:r>
          </w:p>
        </w:tc>
        <w:tc>
          <w:tcPr>
            <w:tcW w:w="570" w:type="dxa"/>
            <w:tcBorders>
              <w:top w:val="nil"/>
              <w:bottom w:val="nil"/>
            </w:tcBorders>
            <w:shd w:val="clear" w:color="auto" w:fill="FFFFFF" w:themeFill="background1"/>
          </w:tcPr>
          <w:p w14:paraId="5B16C16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1306AC0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201EB4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EAAA8E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41E77A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FE1AC1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F94E24D"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28,704</w:t>
            </w:r>
          </w:p>
        </w:tc>
        <w:tc>
          <w:tcPr>
            <w:tcW w:w="1525" w:type="dxa"/>
            <w:tcBorders>
              <w:top w:val="nil"/>
              <w:bottom w:val="nil"/>
            </w:tcBorders>
            <w:shd w:val="clear" w:color="auto" w:fill="FFFFFF" w:themeFill="background1"/>
            <w:vAlign w:val="center"/>
          </w:tcPr>
          <w:p w14:paraId="4DBA70E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48AFC7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hAnsi="Arial" w:cs="Arial"/>
                <w:b/>
                <w:bCs/>
                <w:color w:val="000000"/>
                <w:sz w:val="14"/>
                <w:szCs w:val="14"/>
              </w:rPr>
              <w:t>28,704</w:t>
            </w:r>
          </w:p>
        </w:tc>
      </w:tr>
      <w:tr w:rsidR="00AA1417" w:rsidRPr="004C5A7A" w14:paraId="1CC653F1" w14:textId="77777777" w:rsidTr="007A1DAC">
        <w:trPr>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8464DC9" w14:textId="77777777" w:rsidR="00F316D8" w:rsidRPr="004C5A7A" w:rsidRDefault="00F316D8">
            <w:pPr>
              <w:keepNext/>
              <w:keepLines/>
              <w:spacing w:before="40" w:after="40"/>
              <w:ind w:left="177"/>
              <w:rPr>
                <w:rFonts w:ascii="Arial" w:eastAsia="Times New Roman" w:hAnsi="Arial" w:cs="Arial"/>
                <w:spacing w:val="-2"/>
                <w:sz w:val="14"/>
                <w:szCs w:val="14"/>
                <w:lang w:val="en-US" w:eastAsia="pt-BR"/>
              </w:rPr>
            </w:pPr>
            <w:r w:rsidRPr="004C5A7A">
              <w:rPr>
                <w:rFonts w:ascii="Arial" w:eastAsia="Times New Roman" w:hAnsi="Arial" w:cs="Arial"/>
                <w:b w:val="0"/>
                <w:spacing w:val="-2"/>
                <w:sz w:val="14"/>
                <w:szCs w:val="14"/>
                <w:lang w:val="en-US" w:eastAsia="pt-BR"/>
              </w:rPr>
              <w:t>Other comprehensive income - adjustment of accounting practices CPC 06 (R 2)</w:t>
            </w:r>
          </w:p>
        </w:tc>
        <w:tc>
          <w:tcPr>
            <w:tcW w:w="570" w:type="dxa"/>
            <w:tcBorders>
              <w:top w:val="nil"/>
              <w:bottom w:val="nil"/>
            </w:tcBorders>
            <w:shd w:val="clear" w:color="auto" w:fill="FFFFFF" w:themeFill="background1"/>
          </w:tcPr>
          <w:p w14:paraId="4C23020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76123AA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bCs/>
                <w:color w:val="000000"/>
                <w:sz w:val="14"/>
                <w:szCs w:val="14"/>
              </w:rPr>
              <w:t>--</w:t>
            </w:r>
          </w:p>
        </w:tc>
        <w:tc>
          <w:tcPr>
            <w:tcW w:w="973" w:type="dxa"/>
            <w:tcBorders>
              <w:top w:val="nil"/>
              <w:bottom w:val="nil"/>
            </w:tcBorders>
            <w:shd w:val="clear" w:color="auto" w:fill="FFFFFF" w:themeFill="background1"/>
            <w:vAlign w:val="center"/>
          </w:tcPr>
          <w:p w14:paraId="346136FE"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08780C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963DEE2"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(23,169)</w:t>
            </w:r>
          </w:p>
        </w:tc>
        <w:tc>
          <w:tcPr>
            <w:tcW w:w="1099" w:type="dxa"/>
            <w:tcBorders>
              <w:top w:val="nil"/>
              <w:bottom w:val="nil"/>
            </w:tcBorders>
            <w:shd w:val="clear" w:color="auto" w:fill="FFFFFF" w:themeFill="background1"/>
            <w:vAlign w:val="center"/>
          </w:tcPr>
          <w:p w14:paraId="476A4B5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3D9D84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23,169</w:t>
            </w:r>
          </w:p>
        </w:tc>
        <w:tc>
          <w:tcPr>
            <w:tcW w:w="1525" w:type="dxa"/>
            <w:tcBorders>
              <w:top w:val="nil"/>
              <w:bottom w:val="nil"/>
            </w:tcBorders>
            <w:shd w:val="clear" w:color="auto" w:fill="FFFFFF" w:themeFill="background1"/>
            <w:vAlign w:val="center"/>
          </w:tcPr>
          <w:p w14:paraId="674BA73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C5AA70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b/>
                <w:bCs/>
                <w:color w:val="000000"/>
                <w:sz w:val="14"/>
                <w:szCs w:val="14"/>
              </w:rPr>
              <w:t>--</w:t>
            </w:r>
          </w:p>
        </w:tc>
      </w:tr>
      <w:tr w:rsidR="00AA1417" w:rsidRPr="004C5A7A" w14:paraId="40AD6A27" w14:textId="77777777" w:rsidTr="007A1DAC">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F8F1851" w14:textId="77777777" w:rsidR="00F316D8" w:rsidRPr="004C5A7A" w:rsidRDefault="00F316D8">
            <w:pPr>
              <w:keepNext/>
              <w:keepLines/>
              <w:spacing w:before="40" w:after="40"/>
              <w:ind w:left="177"/>
              <w:rPr>
                <w:rFonts w:ascii="Arial" w:eastAsia="Times New Roman" w:hAnsi="Arial" w:cs="Arial"/>
                <w:spacing w:val="-2"/>
                <w:sz w:val="14"/>
                <w:szCs w:val="14"/>
                <w:lang w:val="en-US" w:eastAsia="pt-BR"/>
              </w:rPr>
            </w:pPr>
            <w:r w:rsidRPr="004C5A7A">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tcPr>
          <w:p w14:paraId="2FA4DE7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62F7BC5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500730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D489F5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3615AC5D"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8824AD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97F13BF"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(466)</w:t>
            </w:r>
          </w:p>
        </w:tc>
        <w:tc>
          <w:tcPr>
            <w:tcW w:w="1525" w:type="dxa"/>
            <w:tcBorders>
              <w:top w:val="nil"/>
              <w:bottom w:val="nil"/>
            </w:tcBorders>
            <w:shd w:val="clear" w:color="auto" w:fill="FFFFFF" w:themeFill="background1"/>
            <w:vAlign w:val="center"/>
          </w:tcPr>
          <w:p w14:paraId="5B254BD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0DB85E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(466)</w:t>
            </w:r>
          </w:p>
        </w:tc>
      </w:tr>
      <w:tr w:rsidR="00AA1417" w:rsidRPr="004C5A7A" w14:paraId="167F0130" w14:textId="77777777" w:rsidTr="007A1DAC">
        <w:trPr>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7CE3594" w14:textId="77777777" w:rsidR="00F316D8" w:rsidRPr="004C5A7A" w:rsidRDefault="00F316D8">
            <w:pPr>
              <w:keepNext/>
              <w:keepLines/>
              <w:spacing w:before="40" w:after="40"/>
              <w:ind w:left="177"/>
              <w:rPr>
                <w:rFonts w:ascii="Arial" w:eastAsia="Times New Roman" w:hAnsi="Arial" w:cs="Arial"/>
                <w:spacing w:val="-2"/>
                <w:sz w:val="14"/>
                <w:szCs w:val="14"/>
                <w:lang w:val="en-US" w:eastAsia="pt-BR"/>
              </w:rPr>
            </w:pPr>
            <w:r w:rsidRPr="004C5A7A">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tcPr>
          <w:p w14:paraId="1CEA5FAF"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66658C2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60BE63E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30B3D1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1330FE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EF57FAF"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B3055F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785E7BB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72</w:t>
            </w:r>
          </w:p>
        </w:tc>
        <w:tc>
          <w:tcPr>
            <w:tcW w:w="1099" w:type="dxa"/>
            <w:tcBorders>
              <w:top w:val="nil"/>
              <w:bottom w:val="nil"/>
            </w:tcBorders>
            <w:shd w:val="clear" w:color="auto" w:fill="FFFFFF" w:themeFill="background1"/>
            <w:vAlign w:val="center"/>
          </w:tcPr>
          <w:p w14:paraId="5BBDAC1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72</w:t>
            </w:r>
          </w:p>
        </w:tc>
      </w:tr>
      <w:tr w:rsidR="00AA1417" w:rsidRPr="004C5A7A" w14:paraId="625E9D9D" w14:textId="77777777" w:rsidTr="007A1DAC">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15D4F54" w14:textId="77777777" w:rsidR="00F316D8" w:rsidRPr="004C5A7A" w:rsidRDefault="00F316D8">
            <w:pPr>
              <w:keepNext/>
              <w:keepLines/>
              <w:spacing w:before="40" w:after="40"/>
              <w:ind w:firstLine="176"/>
              <w:rPr>
                <w:rStyle w:val="rynqvb"/>
                <w:rFonts w:ascii="Arial" w:hAnsi="Arial" w:cs="Arial"/>
                <w:b w:val="0"/>
                <w:bCs w:val="0"/>
                <w:sz w:val="14"/>
                <w:szCs w:val="14"/>
                <w:lang w:val="en"/>
              </w:rPr>
            </w:pPr>
            <w:r w:rsidRPr="004C5A7A">
              <w:rPr>
                <w:rStyle w:val="rynqvb"/>
                <w:rFonts w:ascii="Arial" w:hAnsi="Arial" w:cs="Arial"/>
                <w:b w:val="0"/>
                <w:bCs w:val="0"/>
                <w:sz w:val="14"/>
                <w:szCs w:val="14"/>
                <w:lang w:val="en"/>
              </w:rPr>
              <w:t>Net Income for the Period</w:t>
            </w:r>
          </w:p>
        </w:tc>
        <w:tc>
          <w:tcPr>
            <w:tcW w:w="570" w:type="dxa"/>
            <w:tcBorders>
              <w:top w:val="nil"/>
              <w:bottom w:val="nil"/>
            </w:tcBorders>
            <w:shd w:val="clear" w:color="auto" w:fill="FFFFFF" w:themeFill="background1"/>
          </w:tcPr>
          <w:p w14:paraId="13B9088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3C891A0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2B86976"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7B2DBC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3A69B0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996B37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570889F"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6935F6E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7,947,203</w:t>
            </w:r>
          </w:p>
        </w:tc>
        <w:tc>
          <w:tcPr>
            <w:tcW w:w="1099" w:type="dxa"/>
            <w:tcBorders>
              <w:top w:val="nil"/>
              <w:bottom w:val="nil"/>
            </w:tcBorders>
            <w:shd w:val="clear" w:color="auto" w:fill="FFFFFF" w:themeFill="background1"/>
            <w:vAlign w:val="center"/>
          </w:tcPr>
          <w:p w14:paraId="564CFBA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lang w:val="en-US"/>
              </w:rPr>
            </w:pPr>
            <w:r w:rsidRPr="004C5A7A">
              <w:rPr>
                <w:rFonts w:ascii="Arial" w:hAnsi="Arial" w:cs="Arial"/>
                <w:b/>
                <w:bCs/>
                <w:color w:val="000000"/>
                <w:sz w:val="14"/>
                <w:szCs w:val="14"/>
              </w:rPr>
              <w:t>7,947,203</w:t>
            </w:r>
          </w:p>
        </w:tc>
      </w:tr>
      <w:tr w:rsidR="00AA1417" w:rsidRPr="004C5A7A" w14:paraId="0BDF7C36" w14:textId="77777777" w:rsidTr="007A1DAC">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2D18479" w14:textId="77777777" w:rsidR="00F316D8" w:rsidRPr="004C5A7A" w:rsidRDefault="00F316D8">
            <w:pPr>
              <w:keepNext/>
              <w:keepLines/>
              <w:spacing w:before="40" w:after="40"/>
              <w:ind w:firstLine="176"/>
              <w:rPr>
                <w:rStyle w:val="rynqvb"/>
                <w:rFonts w:ascii="Arial" w:hAnsi="Arial" w:cs="Arial"/>
                <w:b w:val="0"/>
                <w:bCs w:val="0"/>
                <w:sz w:val="14"/>
                <w:szCs w:val="14"/>
                <w:lang w:val="en"/>
              </w:rPr>
            </w:pPr>
            <w:proofErr w:type="spellStart"/>
            <w:r w:rsidRPr="004C5A7A">
              <w:rPr>
                <w:rFonts w:ascii="Arial" w:hAnsi="Arial" w:cs="Arial"/>
                <w:b w:val="0"/>
                <w:bCs w:val="0"/>
                <w:sz w:val="14"/>
                <w:szCs w:val="14"/>
              </w:rPr>
              <w:t>Destinations</w:t>
            </w:r>
            <w:proofErr w:type="spellEnd"/>
            <w:r w:rsidRPr="004C5A7A">
              <w:rPr>
                <w:rFonts w:ascii="Arial" w:hAnsi="Arial" w:cs="Arial"/>
                <w:b w:val="0"/>
                <w:bCs w:val="0"/>
                <w:sz w:val="14"/>
                <w:szCs w:val="14"/>
              </w:rPr>
              <w:t xml:space="preserve"> - Profit Reserves</w:t>
            </w:r>
          </w:p>
        </w:tc>
        <w:tc>
          <w:tcPr>
            <w:tcW w:w="570" w:type="dxa"/>
            <w:tcBorders>
              <w:top w:val="nil"/>
              <w:bottom w:val="nil"/>
            </w:tcBorders>
            <w:shd w:val="clear" w:color="auto" w:fill="FFFFFF" w:themeFill="background1"/>
          </w:tcPr>
          <w:p w14:paraId="1AD3FA2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512FE4EF"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56E84F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6BEF869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397,360</w:t>
            </w:r>
          </w:p>
        </w:tc>
        <w:tc>
          <w:tcPr>
            <w:tcW w:w="1386" w:type="dxa"/>
            <w:tcBorders>
              <w:top w:val="nil"/>
              <w:bottom w:val="nil"/>
            </w:tcBorders>
            <w:shd w:val="clear" w:color="auto" w:fill="FFFFFF" w:themeFill="background1"/>
            <w:vAlign w:val="center"/>
          </w:tcPr>
          <w:p w14:paraId="5F0A412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2,520,416</w:t>
            </w:r>
          </w:p>
        </w:tc>
        <w:tc>
          <w:tcPr>
            <w:tcW w:w="1099" w:type="dxa"/>
            <w:tcBorders>
              <w:top w:val="nil"/>
              <w:bottom w:val="nil"/>
            </w:tcBorders>
            <w:shd w:val="clear" w:color="auto" w:fill="FFFFFF" w:themeFill="background1"/>
            <w:vAlign w:val="center"/>
          </w:tcPr>
          <w:p w14:paraId="2772D60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7B89A85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6B0C6E6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(2,917,776)</w:t>
            </w:r>
          </w:p>
        </w:tc>
        <w:tc>
          <w:tcPr>
            <w:tcW w:w="1099" w:type="dxa"/>
            <w:tcBorders>
              <w:top w:val="nil"/>
              <w:bottom w:val="nil"/>
            </w:tcBorders>
            <w:shd w:val="clear" w:color="auto" w:fill="FFFFFF" w:themeFill="background1"/>
            <w:vAlign w:val="center"/>
          </w:tcPr>
          <w:p w14:paraId="56F4E41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4C5A7A">
              <w:rPr>
                <w:rFonts w:ascii="Arial" w:hAnsi="Arial" w:cs="Arial"/>
                <w:b/>
                <w:bCs/>
                <w:color w:val="000000"/>
                <w:sz w:val="14"/>
                <w:szCs w:val="14"/>
              </w:rPr>
              <w:t>--</w:t>
            </w:r>
          </w:p>
        </w:tc>
      </w:tr>
      <w:tr w:rsidR="00AA1417" w:rsidRPr="004C5A7A" w14:paraId="19B4222F" w14:textId="77777777" w:rsidTr="007A1DAC">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17ACD107" w14:textId="77777777" w:rsidR="00F316D8" w:rsidRPr="004C5A7A" w:rsidRDefault="00F316D8">
            <w:pPr>
              <w:keepNext/>
              <w:keepLines/>
              <w:spacing w:before="40" w:after="40"/>
              <w:ind w:firstLine="176"/>
              <w:rPr>
                <w:rFonts w:ascii="Arial" w:eastAsia="Times New Roman" w:hAnsi="Arial" w:cs="Arial"/>
                <w:spacing w:val="-2"/>
                <w:sz w:val="14"/>
                <w:szCs w:val="14"/>
                <w:lang w:val="en-US" w:eastAsia="pt-BR"/>
              </w:rPr>
            </w:pPr>
            <w:r w:rsidRPr="004C5A7A">
              <w:rPr>
                <w:rFonts w:ascii="Arial" w:hAnsi="Arial" w:cs="Arial"/>
                <w:b w:val="0"/>
                <w:bCs w:val="0"/>
                <w:sz w:val="14"/>
                <w:szCs w:val="14"/>
                <w:lang w:val="en-US"/>
              </w:rPr>
              <w:t xml:space="preserve">                      - </w:t>
            </w:r>
            <w:r w:rsidRPr="004C5A7A">
              <w:rPr>
                <w:rFonts w:ascii="Arial" w:hAnsi="Arial" w:cs="Arial"/>
                <w:b w:val="0"/>
                <w:bCs w:val="0"/>
                <w:sz w:val="14"/>
                <w:szCs w:val="14"/>
              </w:rPr>
              <w:t>Interim</w:t>
            </w:r>
            <w:r w:rsidRPr="004C5A7A">
              <w:rPr>
                <w:rFonts w:ascii="Arial" w:hAnsi="Arial" w:cs="Arial"/>
                <w:b w:val="0"/>
                <w:bCs w:val="0"/>
                <w:sz w:val="14"/>
                <w:szCs w:val="14"/>
                <w:lang w:val="en-US"/>
              </w:rPr>
              <w:t xml:space="preserve"> dividends payable</w:t>
            </w:r>
          </w:p>
        </w:tc>
        <w:tc>
          <w:tcPr>
            <w:tcW w:w="570" w:type="dxa"/>
            <w:tcBorders>
              <w:top w:val="nil"/>
              <w:bottom w:val="nil"/>
            </w:tcBorders>
            <w:shd w:val="clear" w:color="auto" w:fill="FFFFFF" w:themeFill="background1"/>
          </w:tcPr>
          <w:p w14:paraId="5BDBAFDD"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15F6A59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23ACEA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5166C6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8498AC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85EBD1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4588839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12D94E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(3,210,050)</w:t>
            </w:r>
          </w:p>
        </w:tc>
        <w:tc>
          <w:tcPr>
            <w:tcW w:w="1099" w:type="dxa"/>
            <w:tcBorders>
              <w:top w:val="nil"/>
              <w:bottom w:val="nil"/>
            </w:tcBorders>
            <w:shd w:val="clear" w:color="auto" w:fill="FFFFFF" w:themeFill="background1"/>
            <w:vAlign w:val="center"/>
          </w:tcPr>
          <w:p w14:paraId="6CB5E8E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4C5A7A">
              <w:rPr>
                <w:rFonts w:ascii="Arial" w:hAnsi="Arial" w:cs="Arial"/>
                <w:b/>
                <w:bCs/>
                <w:color w:val="000000"/>
                <w:sz w:val="14"/>
                <w:szCs w:val="14"/>
              </w:rPr>
              <w:t>(3,210,050)</w:t>
            </w:r>
          </w:p>
        </w:tc>
      </w:tr>
      <w:tr w:rsidR="00AA1417" w:rsidRPr="004C5A7A" w14:paraId="60A8BB19" w14:textId="77777777" w:rsidTr="007A1DAC">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E90371F" w14:textId="77777777" w:rsidR="00F316D8" w:rsidRPr="004C5A7A" w:rsidRDefault="00F316D8">
            <w:pPr>
              <w:keepNext/>
              <w:keepLines/>
              <w:spacing w:before="40" w:after="40"/>
              <w:ind w:firstLine="176"/>
              <w:rPr>
                <w:rStyle w:val="rynqvb"/>
                <w:rFonts w:ascii="Arial" w:hAnsi="Arial" w:cs="Arial"/>
                <w:sz w:val="14"/>
                <w:szCs w:val="14"/>
                <w:lang w:val="en"/>
              </w:rPr>
            </w:pPr>
            <w:r w:rsidRPr="004C5A7A">
              <w:rPr>
                <w:rFonts w:ascii="Arial" w:hAnsi="Arial" w:cs="Arial"/>
                <w:b w:val="0"/>
                <w:sz w:val="14"/>
                <w:szCs w:val="14"/>
              </w:rPr>
              <w:t xml:space="preserve">                      - </w:t>
            </w:r>
            <w:proofErr w:type="spellStart"/>
            <w:r w:rsidRPr="004C5A7A">
              <w:rPr>
                <w:rFonts w:ascii="Arial" w:hAnsi="Arial" w:cs="Arial"/>
                <w:b w:val="0"/>
                <w:sz w:val="14"/>
                <w:szCs w:val="14"/>
              </w:rPr>
              <w:t>Proposed</w:t>
            </w:r>
            <w:proofErr w:type="spellEnd"/>
            <w:r w:rsidRPr="004C5A7A">
              <w:rPr>
                <w:rFonts w:ascii="Arial" w:hAnsi="Arial" w:cs="Arial"/>
                <w:b w:val="0"/>
                <w:sz w:val="14"/>
                <w:szCs w:val="14"/>
              </w:rPr>
              <w:t xml:space="preserve"> </w:t>
            </w:r>
            <w:proofErr w:type="spellStart"/>
            <w:r w:rsidRPr="004C5A7A">
              <w:rPr>
                <w:rFonts w:ascii="Arial" w:hAnsi="Arial" w:cs="Arial"/>
                <w:b w:val="0"/>
                <w:sz w:val="14"/>
                <w:szCs w:val="14"/>
              </w:rPr>
              <w:t>dividends</w:t>
            </w:r>
            <w:proofErr w:type="spellEnd"/>
          </w:p>
        </w:tc>
        <w:tc>
          <w:tcPr>
            <w:tcW w:w="570" w:type="dxa"/>
            <w:tcBorders>
              <w:top w:val="nil"/>
              <w:bottom w:val="nil"/>
            </w:tcBorders>
            <w:shd w:val="clear" w:color="auto" w:fill="FFFFFF" w:themeFill="background1"/>
          </w:tcPr>
          <w:p w14:paraId="6D9F762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1983AFF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6C02B12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E53333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8E1474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5778D3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267223F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3DAAD8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color w:val="000000"/>
                <w:sz w:val="14"/>
                <w:szCs w:val="14"/>
              </w:rPr>
              <w:t>(2,455,023)</w:t>
            </w:r>
          </w:p>
        </w:tc>
        <w:tc>
          <w:tcPr>
            <w:tcW w:w="1099" w:type="dxa"/>
            <w:tcBorders>
              <w:top w:val="nil"/>
              <w:bottom w:val="nil"/>
            </w:tcBorders>
            <w:shd w:val="clear" w:color="auto" w:fill="FFFFFF" w:themeFill="background1"/>
            <w:vAlign w:val="center"/>
          </w:tcPr>
          <w:p w14:paraId="773FABA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lang w:val="en-US"/>
              </w:rPr>
            </w:pPr>
            <w:r w:rsidRPr="004C5A7A">
              <w:rPr>
                <w:rFonts w:ascii="Arial" w:hAnsi="Arial" w:cs="Arial"/>
                <w:b/>
                <w:bCs/>
                <w:color w:val="000000"/>
                <w:sz w:val="14"/>
                <w:szCs w:val="14"/>
              </w:rPr>
              <w:t>(2,455,023)</w:t>
            </w:r>
          </w:p>
        </w:tc>
      </w:tr>
      <w:tr w:rsidR="00F316D8" w:rsidRPr="004C5A7A" w14:paraId="10BF653A" w14:textId="77777777" w:rsidTr="007A1DAC">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4" w:space="0" w:color="1F3864" w:themeColor="accent1" w:themeShade="80"/>
            </w:tcBorders>
            <w:shd w:val="clear" w:color="auto" w:fill="FFFFFF" w:themeFill="background1"/>
            <w:vAlign w:val="center"/>
          </w:tcPr>
          <w:p w14:paraId="441E861F" w14:textId="77777777" w:rsidR="00F316D8" w:rsidRPr="004C5A7A" w:rsidRDefault="00F316D8">
            <w:pPr>
              <w:keepNext/>
              <w:keepLines/>
              <w:spacing w:before="40" w:after="40"/>
              <w:rPr>
                <w:rFonts w:ascii="Arial" w:hAnsi="Arial" w:cs="Arial"/>
                <w:color w:val="000000"/>
                <w:sz w:val="14"/>
                <w:szCs w:val="14"/>
                <w:lang w:val="en-US"/>
              </w:rPr>
            </w:pPr>
            <w:r w:rsidRPr="004C5A7A">
              <w:rPr>
                <w:rFonts w:ascii="Arial" w:hAnsi="Arial" w:cs="Arial"/>
                <w:color w:val="000000"/>
                <w:sz w:val="14"/>
                <w:szCs w:val="14"/>
                <w:lang w:val="en-US"/>
              </w:rPr>
              <w:t xml:space="preserve">Balances </w:t>
            </w:r>
            <w:proofErr w:type="gramStart"/>
            <w:r w:rsidRPr="004C5A7A">
              <w:rPr>
                <w:rFonts w:ascii="Arial" w:hAnsi="Arial" w:cs="Arial"/>
                <w:color w:val="000000"/>
                <w:sz w:val="14"/>
                <w:szCs w:val="14"/>
                <w:lang w:val="en-US"/>
              </w:rPr>
              <w:t>at</w:t>
            </w:r>
            <w:proofErr w:type="gramEnd"/>
            <w:r w:rsidRPr="004C5A7A">
              <w:rPr>
                <w:rFonts w:ascii="Arial" w:hAnsi="Arial" w:cs="Arial"/>
                <w:color w:val="000000"/>
                <w:sz w:val="14"/>
                <w:szCs w:val="14"/>
                <w:lang w:val="en-US"/>
              </w:rPr>
              <w:t xml:space="preserve"> Dec 31, 2023</w:t>
            </w:r>
          </w:p>
        </w:tc>
        <w:tc>
          <w:tcPr>
            <w:tcW w:w="570" w:type="dxa"/>
            <w:tcBorders>
              <w:top w:val="nil"/>
              <w:bottom w:val="single" w:sz="4" w:space="0" w:color="1F3864" w:themeColor="accent1" w:themeShade="80"/>
            </w:tcBorders>
            <w:shd w:val="clear" w:color="auto" w:fill="FFFFFF" w:themeFill="background1"/>
          </w:tcPr>
          <w:p w14:paraId="620C3D8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single" w:sz="4" w:space="0" w:color="1F3864" w:themeColor="accent1" w:themeShade="80"/>
            </w:tcBorders>
            <w:shd w:val="clear" w:color="auto" w:fill="FFFFFF" w:themeFill="background1"/>
            <w:vAlign w:val="center"/>
          </w:tcPr>
          <w:p w14:paraId="0AA093C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6</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269</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692</w:t>
            </w:r>
          </w:p>
        </w:tc>
        <w:tc>
          <w:tcPr>
            <w:tcW w:w="973" w:type="dxa"/>
            <w:tcBorders>
              <w:top w:val="nil"/>
              <w:bottom w:val="single" w:sz="4" w:space="0" w:color="1F3864" w:themeColor="accent1" w:themeShade="80"/>
            </w:tcBorders>
            <w:shd w:val="clear" w:color="auto" w:fill="FFFFFF" w:themeFill="background1"/>
            <w:vAlign w:val="center"/>
          </w:tcPr>
          <w:p w14:paraId="4D52BE5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1</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805</w:t>
            </w:r>
          </w:p>
        </w:tc>
        <w:tc>
          <w:tcPr>
            <w:tcW w:w="1044" w:type="dxa"/>
            <w:tcBorders>
              <w:top w:val="nil"/>
              <w:bottom w:val="single" w:sz="4" w:space="0" w:color="1F3864" w:themeColor="accent1" w:themeShade="80"/>
            </w:tcBorders>
            <w:shd w:val="clear" w:color="auto" w:fill="FFFFFF" w:themeFill="background1"/>
            <w:vAlign w:val="center"/>
          </w:tcPr>
          <w:p w14:paraId="7A5D0983"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699</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589</w:t>
            </w:r>
          </w:p>
        </w:tc>
        <w:tc>
          <w:tcPr>
            <w:tcW w:w="1386" w:type="dxa"/>
            <w:tcBorders>
              <w:top w:val="nil"/>
              <w:bottom w:val="single" w:sz="4" w:space="0" w:color="1F3864" w:themeColor="accent1" w:themeShade="80"/>
            </w:tcBorders>
            <w:shd w:val="clear" w:color="auto" w:fill="FFFFFF" w:themeFill="background1"/>
            <w:vAlign w:val="center"/>
          </w:tcPr>
          <w:p w14:paraId="5E42D4B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3</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747</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247</w:t>
            </w:r>
          </w:p>
        </w:tc>
        <w:tc>
          <w:tcPr>
            <w:tcW w:w="1099" w:type="dxa"/>
            <w:tcBorders>
              <w:top w:val="nil"/>
              <w:bottom w:val="single" w:sz="4" w:space="0" w:color="1F3864" w:themeColor="accent1" w:themeShade="80"/>
            </w:tcBorders>
            <w:shd w:val="clear" w:color="auto" w:fill="FFFFFF" w:themeFill="background1"/>
            <w:vAlign w:val="center"/>
          </w:tcPr>
          <w:p w14:paraId="44E80AB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(704</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030)</w:t>
            </w:r>
          </w:p>
        </w:tc>
        <w:tc>
          <w:tcPr>
            <w:tcW w:w="1485" w:type="dxa"/>
            <w:tcBorders>
              <w:top w:val="nil"/>
              <w:bottom w:val="single" w:sz="4" w:space="0" w:color="1F3864" w:themeColor="accent1" w:themeShade="80"/>
            </w:tcBorders>
            <w:shd w:val="clear" w:color="auto" w:fill="FFFFFF" w:themeFill="background1"/>
            <w:vAlign w:val="center"/>
          </w:tcPr>
          <w:p w14:paraId="14F0B15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(197</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821)</w:t>
            </w:r>
          </w:p>
        </w:tc>
        <w:tc>
          <w:tcPr>
            <w:tcW w:w="1525" w:type="dxa"/>
            <w:tcBorders>
              <w:top w:val="nil"/>
              <w:bottom w:val="single" w:sz="4" w:space="0" w:color="1F3864" w:themeColor="accent1" w:themeShade="80"/>
            </w:tcBorders>
            <w:shd w:val="clear" w:color="auto" w:fill="FFFFFF" w:themeFill="background1"/>
            <w:vAlign w:val="center"/>
          </w:tcPr>
          <w:p w14:paraId="70D0A87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w:t>
            </w:r>
          </w:p>
        </w:tc>
        <w:tc>
          <w:tcPr>
            <w:tcW w:w="1099" w:type="dxa"/>
            <w:tcBorders>
              <w:top w:val="nil"/>
              <w:bottom w:val="single" w:sz="4" w:space="0" w:color="1F3864" w:themeColor="accent1" w:themeShade="80"/>
            </w:tcBorders>
            <w:shd w:val="clear" w:color="auto" w:fill="FFFFFF" w:themeFill="background1"/>
            <w:vAlign w:val="center"/>
          </w:tcPr>
          <w:p w14:paraId="0FDC47E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lang w:val="en-US"/>
              </w:rPr>
              <w:t>9</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816</w:t>
            </w:r>
            <w:r w:rsidRPr="004C5A7A">
              <w:rPr>
                <w:rFonts w:ascii="Arial" w:hAnsi="Arial" w:cs="Arial"/>
                <w:color w:val="000000"/>
                <w:sz w:val="14"/>
                <w:szCs w:val="14"/>
                <w:lang w:val="en-US"/>
              </w:rPr>
              <w:t>,</w:t>
            </w:r>
            <w:r w:rsidRPr="004C5A7A">
              <w:rPr>
                <w:rFonts w:ascii="Arial" w:hAnsi="Arial" w:cs="Arial"/>
                <w:b/>
                <w:bCs/>
                <w:color w:val="000000"/>
                <w:sz w:val="14"/>
                <w:szCs w:val="14"/>
                <w:lang w:val="en-US"/>
              </w:rPr>
              <w:t>482</w:t>
            </w:r>
          </w:p>
        </w:tc>
      </w:tr>
      <w:tr w:rsidR="00AA1417" w:rsidRPr="004C5A7A" w14:paraId="3DECDD69" w14:textId="77777777" w:rsidTr="007A1DAC">
        <w:trPr>
          <w:trHeight w:val="133"/>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99B22A9" w14:textId="77777777" w:rsidR="00F316D8" w:rsidRPr="004C5A7A" w:rsidRDefault="00F316D8">
            <w:pPr>
              <w:keepNext/>
              <w:keepLines/>
              <w:spacing w:before="40" w:after="40"/>
              <w:rPr>
                <w:rFonts w:ascii="Arial" w:eastAsia="Times New Roman" w:hAnsi="Arial" w:cs="Arial"/>
                <w:spacing w:val="-2"/>
                <w:sz w:val="14"/>
                <w:szCs w:val="14"/>
                <w:lang w:val="en-US" w:eastAsia="pt-BR"/>
              </w:rPr>
            </w:pPr>
            <w:proofErr w:type="spellStart"/>
            <w:r w:rsidRPr="004C5A7A">
              <w:rPr>
                <w:rFonts w:ascii="Arial" w:hAnsi="Arial" w:cs="Arial"/>
                <w:color w:val="000000"/>
                <w:sz w:val="14"/>
                <w:szCs w:val="14"/>
              </w:rPr>
              <w:t>Changes</w:t>
            </w:r>
            <w:proofErr w:type="spellEnd"/>
            <w:r w:rsidRPr="004C5A7A">
              <w:rPr>
                <w:rFonts w:ascii="Arial" w:hAnsi="Arial" w:cs="Arial"/>
                <w:color w:val="000000"/>
                <w:sz w:val="14"/>
                <w:szCs w:val="14"/>
              </w:rPr>
              <w:t xml:space="preserve"> in </w:t>
            </w:r>
            <w:proofErr w:type="spellStart"/>
            <w:r w:rsidRPr="004C5A7A">
              <w:rPr>
                <w:rFonts w:ascii="Arial" w:hAnsi="Arial" w:cs="Arial"/>
                <w:color w:val="000000"/>
                <w:sz w:val="14"/>
                <w:szCs w:val="14"/>
              </w:rPr>
              <w:t>the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year</w:t>
            </w:r>
            <w:proofErr w:type="spellEnd"/>
          </w:p>
        </w:tc>
        <w:tc>
          <w:tcPr>
            <w:tcW w:w="570" w:type="dxa"/>
            <w:tcBorders>
              <w:top w:val="single" w:sz="4" w:space="0" w:color="1F3864" w:themeColor="accent1" w:themeShade="80"/>
              <w:bottom w:val="single" w:sz="4" w:space="0" w:color="1F3864" w:themeColor="accent1" w:themeShade="80"/>
            </w:tcBorders>
            <w:shd w:val="clear" w:color="auto" w:fill="FFFFFF" w:themeFill="background1"/>
          </w:tcPr>
          <w:p w14:paraId="6F8D76E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11736A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sz w:val="14"/>
                <w:szCs w:val="14"/>
              </w:rPr>
              <w:t>--</w:t>
            </w:r>
          </w:p>
        </w:tc>
        <w:tc>
          <w:tcPr>
            <w:tcW w:w="973"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298DAD2"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234</w:t>
            </w:r>
          </w:p>
        </w:tc>
        <w:tc>
          <w:tcPr>
            <w:tcW w:w="1044"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D0F739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397,360</w:t>
            </w:r>
          </w:p>
        </w:tc>
        <w:tc>
          <w:tcPr>
            <w:tcW w:w="1386"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24D1743E"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2,497,247</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12653DF3"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(623,686)</w:t>
            </w:r>
          </w:p>
        </w:tc>
        <w:tc>
          <w:tcPr>
            <w:tcW w:w="148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51065B6F"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144,171</w:t>
            </w:r>
          </w:p>
        </w:tc>
        <w:tc>
          <w:tcPr>
            <w:tcW w:w="1525"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7BEE881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(635,574)</w:t>
            </w:r>
          </w:p>
        </w:tc>
        <w:tc>
          <w:tcPr>
            <w:tcW w:w="1099" w:type="dxa"/>
            <w:tcBorders>
              <w:top w:val="single" w:sz="4" w:space="0" w:color="1F3864" w:themeColor="accent1" w:themeShade="80"/>
              <w:bottom w:val="single" w:sz="4" w:space="0" w:color="1F3864" w:themeColor="accent1" w:themeShade="80"/>
            </w:tcBorders>
            <w:shd w:val="clear" w:color="auto" w:fill="FFFFFF" w:themeFill="background1"/>
            <w:vAlign w:val="center"/>
          </w:tcPr>
          <w:p w14:paraId="08E7C13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1,779,752</w:t>
            </w:r>
          </w:p>
        </w:tc>
      </w:tr>
      <w:tr w:rsidR="00F316D8" w:rsidRPr="004C5A7A" w14:paraId="4BB4DFB6" w14:textId="77777777" w:rsidTr="007A1DAC">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nil"/>
            </w:tcBorders>
            <w:shd w:val="clear" w:color="auto" w:fill="FFFFFF" w:themeFill="background1"/>
            <w:vAlign w:val="center"/>
          </w:tcPr>
          <w:p w14:paraId="42F6CAFA" w14:textId="77777777" w:rsidR="00F316D8" w:rsidRPr="004C5A7A" w:rsidRDefault="00F316D8">
            <w:pPr>
              <w:keepNext/>
              <w:keepLines/>
              <w:spacing w:before="40" w:after="40"/>
              <w:rPr>
                <w:rFonts w:ascii="Arial" w:eastAsia="Times New Roman" w:hAnsi="Arial" w:cs="Arial"/>
                <w:spacing w:val="-2"/>
                <w:sz w:val="14"/>
                <w:szCs w:val="14"/>
                <w:lang w:val="en-US" w:eastAsia="pt-BR"/>
              </w:rPr>
            </w:pPr>
          </w:p>
        </w:tc>
        <w:tc>
          <w:tcPr>
            <w:tcW w:w="570" w:type="dxa"/>
            <w:tcBorders>
              <w:top w:val="single" w:sz="4" w:space="0" w:color="1F3864" w:themeColor="accent1" w:themeShade="80"/>
              <w:bottom w:val="nil"/>
            </w:tcBorders>
            <w:shd w:val="clear" w:color="auto" w:fill="FFFFFF" w:themeFill="background1"/>
            <w:vAlign w:val="center"/>
          </w:tcPr>
          <w:p w14:paraId="10D5BDC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single" w:sz="4" w:space="0" w:color="1F3864" w:themeColor="accent1" w:themeShade="80"/>
              <w:bottom w:val="nil"/>
            </w:tcBorders>
            <w:shd w:val="clear" w:color="auto" w:fill="FFFFFF" w:themeFill="background1"/>
            <w:vAlign w:val="center"/>
          </w:tcPr>
          <w:p w14:paraId="72DD3BE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973" w:type="dxa"/>
            <w:tcBorders>
              <w:top w:val="single" w:sz="4" w:space="0" w:color="1F3864" w:themeColor="accent1" w:themeShade="80"/>
              <w:bottom w:val="nil"/>
            </w:tcBorders>
            <w:shd w:val="clear" w:color="auto" w:fill="FFFFFF" w:themeFill="background1"/>
            <w:vAlign w:val="center"/>
          </w:tcPr>
          <w:p w14:paraId="2C50D063"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044" w:type="dxa"/>
            <w:tcBorders>
              <w:top w:val="single" w:sz="4" w:space="0" w:color="1F3864" w:themeColor="accent1" w:themeShade="80"/>
              <w:bottom w:val="nil"/>
            </w:tcBorders>
            <w:shd w:val="clear" w:color="auto" w:fill="FFFFFF" w:themeFill="background1"/>
            <w:vAlign w:val="center"/>
          </w:tcPr>
          <w:p w14:paraId="33571EFD"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86" w:type="dxa"/>
            <w:tcBorders>
              <w:top w:val="single" w:sz="4" w:space="0" w:color="1F3864" w:themeColor="accent1" w:themeShade="80"/>
              <w:bottom w:val="nil"/>
            </w:tcBorders>
            <w:shd w:val="clear" w:color="auto" w:fill="FFFFFF" w:themeFill="background1"/>
            <w:vAlign w:val="center"/>
          </w:tcPr>
          <w:p w14:paraId="304C8C2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03A98F8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85" w:type="dxa"/>
            <w:tcBorders>
              <w:top w:val="single" w:sz="4" w:space="0" w:color="1F3864" w:themeColor="accent1" w:themeShade="80"/>
              <w:bottom w:val="nil"/>
            </w:tcBorders>
            <w:shd w:val="clear" w:color="auto" w:fill="FFFFFF" w:themeFill="background1"/>
            <w:vAlign w:val="center"/>
          </w:tcPr>
          <w:p w14:paraId="1AF331D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25" w:type="dxa"/>
            <w:tcBorders>
              <w:top w:val="single" w:sz="4" w:space="0" w:color="1F3864" w:themeColor="accent1" w:themeShade="80"/>
              <w:bottom w:val="nil"/>
            </w:tcBorders>
            <w:shd w:val="clear" w:color="auto" w:fill="FFFFFF" w:themeFill="background1"/>
            <w:vAlign w:val="center"/>
          </w:tcPr>
          <w:p w14:paraId="7ECACC4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099" w:type="dxa"/>
            <w:tcBorders>
              <w:top w:val="single" w:sz="4" w:space="0" w:color="1F3864" w:themeColor="accent1" w:themeShade="80"/>
              <w:bottom w:val="nil"/>
            </w:tcBorders>
            <w:shd w:val="clear" w:color="auto" w:fill="FFFFFF" w:themeFill="background1"/>
            <w:vAlign w:val="center"/>
          </w:tcPr>
          <w:p w14:paraId="450AD5B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AA1417" w:rsidRPr="004C5A7A" w14:paraId="58A45789" w14:textId="77777777" w:rsidTr="007A1DAC">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4F71EFB" w14:textId="77777777" w:rsidR="00F316D8" w:rsidRPr="004C5A7A" w:rsidRDefault="00F316D8">
            <w:pPr>
              <w:keepNext/>
              <w:keepLines/>
              <w:spacing w:before="40" w:after="40"/>
              <w:rPr>
                <w:rFonts w:ascii="Arial" w:eastAsia="Times New Roman" w:hAnsi="Arial" w:cs="Arial"/>
                <w:spacing w:val="-2"/>
                <w:sz w:val="14"/>
                <w:szCs w:val="14"/>
                <w:lang w:val="en-US" w:eastAsia="pt-BR"/>
              </w:rPr>
            </w:pPr>
            <w:r w:rsidRPr="004C5A7A">
              <w:rPr>
                <w:rFonts w:ascii="Arial" w:eastAsia="Times New Roman" w:hAnsi="Arial" w:cs="Arial"/>
                <w:spacing w:val="-2"/>
                <w:sz w:val="14"/>
                <w:szCs w:val="14"/>
                <w:lang w:val="en-US" w:eastAsia="pt-BR"/>
              </w:rPr>
              <w:t xml:space="preserve">Balances </w:t>
            </w:r>
            <w:proofErr w:type="gramStart"/>
            <w:r w:rsidRPr="004C5A7A">
              <w:rPr>
                <w:rFonts w:ascii="Arial" w:eastAsia="Times New Roman" w:hAnsi="Arial" w:cs="Arial"/>
                <w:spacing w:val="-2"/>
                <w:sz w:val="14"/>
                <w:szCs w:val="14"/>
                <w:lang w:val="en-US" w:eastAsia="pt-BR"/>
              </w:rPr>
              <w:t>at</w:t>
            </w:r>
            <w:proofErr w:type="gramEnd"/>
            <w:r w:rsidRPr="004C5A7A">
              <w:rPr>
                <w:rFonts w:ascii="Arial" w:eastAsia="Times New Roman" w:hAnsi="Arial" w:cs="Arial"/>
                <w:spacing w:val="-2"/>
                <w:sz w:val="14"/>
                <w:szCs w:val="14"/>
                <w:lang w:val="en-US" w:eastAsia="pt-BR"/>
              </w:rPr>
              <w:t xml:space="preserve"> Dec 31, 2023</w:t>
            </w:r>
          </w:p>
        </w:tc>
        <w:tc>
          <w:tcPr>
            <w:tcW w:w="570" w:type="dxa"/>
            <w:tcBorders>
              <w:top w:val="nil"/>
              <w:bottom w:val="nil"/>
            </w:tcBorders>
            <w:shd w:val="clear" w:color="auto" w:fill="FFFFFF" w:themeFill="background1"/>
            <w:vAlign w:val="center"/>
          </w:tcPr>
          <w:p w14:paraId="476C898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FFFFFF" w:themeFill="background1"/>
            <w:vAlign w:val="center"/>
          </w:tcPr>
          <w:p w14:paraId="29E4F41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6,269,692</w:t>
            </w:r>
          </w:p>
        </w:tc>
        <w:tc>
          <w:tcPr>
            <w:tcW w:w="973" w:type="dxa"/>
            <w:tcBorders>
              <w:top w:val="nil"/>
              <w:bottom w:val="nil"/>
            </w:tcBorders>
            <w:shd w:val="clear" w:color="auto" w:fill="FFFFFF" w:themeFill="background1"/>
            <w:vAlign w:val="center"/>
          </w:tcPr>
          <w:p w14:paraId="4F759782"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1,805</w:t>
            </w:r>
          </w:p>
        </w:tc>
        <w:tc>
          <w:tcPr>
            <w:tcW w:w="1044" w:type="dxa"/>
            <w:tcBorders>
              <w:top w:val="nil"/>
              <w:bottom w:val="nil"/>
            </w:tcBorders>
            <w:shd w:val="clear" w:color="auto" w:fill="FFFFFF" w:themeFill="background1"/>
            <w:vAlign w:val="center"/>
          </w:tcPr>
          <w:p w14:paraId="6D423F0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699,589</w:t>
            </w:r>
          </w:p>
        </w:tc>
        <w:tc>
          <w:tcPr>
            <w:tcW w:w="1386" w:type="dxa"/>
            <w:tcBorders>
              <w:top w:val="nil"/>
              <w:bottom w:val="nil"/>
            </w:tcBorders>
            <w:shd w:val="clear" w:color="auto" w:fill="FFFFFF" w:themeFill="background1"/>
            <w:vAlign w:val="center"/>
          </w:tcPr>
          <w:p w14:paraId="2179B3F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3,747,247</w:t>
            </w:r>
          </w:p>
        </w:tc>
        <w:tc>
          <w:tcPr>
            <w:tcW w:w="1099" w:type="dxa"/>
            <w:tcBorders>
              <w:top w:val="nil"/>
              <w:bottom w:val="nil"/>
            </w:tcBorders>
            <w:shd w:val="clear" w:color="auto" w:fill="FFFFFF" w:themeFill="background1"/>
            <w:vAlign w:val="center"/>
          </w:tcPr>
          <w:p w14:paraId="54FA918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(704,030)</w:t>
            </w:r>
          </w:p>
        </w:tc>
        <w:tc>
          <w:tcPr>
            <w:tcW w:w="1485" w:type="dxa"/>
            <w:tcBorders>
              <w:top w:val="nil"/>
              <w:bottom w:val="nil"/>
            </w:tcBorders>
            <w:shd w:val="clear" w:color="auto" w:fill="FFFFFF" w:themeFill="background1"/>
            <w:vAlign w:val="center"/>
          </w:tcPr>
          <w:p w14:paraId="2BACDC3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(197,821)</w:t>
            </w:r>
          </w:p>
        </w:tc>
        <w:tc>
          <w:tcPr>
            <w:tcW w:w="1525" w:type="dxa"/>
            <w:tcBorders>
              <w:top w:val="nil"/>
              <w:bottom w:val="nil"/>
            </w:tcBorders>
            <w:shd w:val="clear" w:color="auto" w:fill="FFFFFF" w:themeFill="background1"/>
            <w:vAlign w:val="center"/>
          </w:tcPr>
          <w:p w14:paraId="2189792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 xml:space="preserve">--   </w:t>
            </w:r>
          </w:p>
        </w:tc>
        <w:tc>
          <w:tcPr>
            <w:tcW w:w="1099" w:type="dxa"/>
            <w:tcBorders>
              <w:top w:val="nil"/>
              <w:bottom w:val="nil"/>
            </w:tcBorders>
            <w:shd w:val="clear" w:color="auto" w:fill="FFFFFF" w:themeFill="background1"/>
            <w:vAlign w:val="center"/>
          </w:tcPr>
          <w:p w14:paraId="31F9D67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9,816,482</w:t>
            </w:r>
          </w:p>
        </w:tc>
      </w:tr>
      <w:tr w:rsidR="00AA1417" w:rsidRPr="004C5A7A" w14:paraId="0F428413" w14:textId="77777777" w:rsidTr="007A1DAC">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3BEFC3C" w14:textId="77777777" w:rsidR="00F316D8" w:rsidRPr="004C5A7A" w:rsidRDefault="00F316D8">
            <w:pPr>
              <w:keepNext/>
              <w:keepLines/>
              <w:spacing w:before="40" w:after="40"/>
              <w:ind w:left="177"/>
              <w:rPr>
                <w:rFonts w:ascii="Arial" w:eastAsia="Times New Roman" w:hAnsi="Arial" w:cs="Arial"/>
                <w:spacing w:val="-2"/>
                <w:sz w:val="14"/>
                <w:szCs w:val="14"/>
                <w:lang w:eastAsia="pt-BR"/>
              </w:rPr>
            </w:pPr>
            <w:r w:rsidRPr="004C5A7A">
              <w:rPr>
                <w:rFonts w:ascii="Arial" w:eastAsia="Times New Roman" w:hAnsi="Arial" w:cs="Arial"/>
                <w:b w:val="0"/>
                <w:spacing w:val="-2"/>
                <w:sz w:val="14"/>
                <w:szCs w:val="14"/>
                <w:lang w:val="en-US" w:eastAsia="pt-BR"/>
              </w:rPr>
              <w:t>Share buyback</w:t>
            </w:r>
          </w:p>
        </w:tc>
        <w:tc>
          <w:tcPr>
            <w:tcW w:w="570" w:type="dxa"/>
            <w:tcBorders>
              <w:top w:val="nil"/>
              <w:bottom w:val="nil"/>
            </w:tcBorders>
            <w:shd w:val="clear" w:color="auto" w:fill="FFFFFF" w:themeFill="background1"/>
            <w:vAlign w:val="center"/>
          </w:tcPr>
          <w:p w14:paraId="40DF5EF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nil"/>
              <w:bottom w:val="nil"/>
            </w:tcBorders>
            <w:shd w:val="clear" w:color="auto" w:fill="FFFFFF" w:themeFill="background1"/>
            <w:vAlign w:val="center"/>
          </w:tcPr>
          <w:p w14:paraId="544BFDE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25879A3"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173F193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AB712E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C5CC9B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(1,166,630)</w:t>
            </w:r>
          </w:p>
        </w:tc>
        <w:tc>
          <w:tcPr>
            <w:tcW w:w="1485" w:type="dxa"/>
            <w:tcBorders>
              <w:top w:val="nil"/>
              <w:bottom w:val="nil"/>
            </w:tcBorders>
            <w:shd w:val="clear" w:color="auto" w:fill="FFFFFF" w:themeFill="background1"/>
            <w:vAlign w:val="center"/>
          </w:tcPr>
          <w:p w14:paraId="5EB321E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927C1F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5497CB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(1,166,630)</w:t>
            </w:r>
          </w:p>
        </w:tc>
      </w:tr>
      <w:tr w:rsidR="00AA1417" w:rsidRPr="004C5A7A" w14:paraId="42BC99DE" w14:textId="77777777" w:rsidTr="007A1DAC">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05D18F98" w14:textId="77777777" w:rsidR="00F316D8" w:rsidRPr="004C5A7A" w:rsidRDefault="00F316D8">
            <w:pPr>
              <w:keepNext/>
              <w:keepLines/>
              <w:spacing w:before="40" w:after="40"/>
              <w:ind w:left="177"/>
              <w:rPr>
                <w:rFonts w:ascii="Arial" w:hAnsi="Arial" w:cs="Arial"/>
                <w:sz w:val="14"/>
                <w:szCs w:val="14"/>
              </w:rPr>
            </w:pPr>
            <w:proofErr w:type="spellStart"/>
            <w:r w:rsidRPr="004C5A7A">
              <w:rPr>
                <w:rFonts w:ascii="Arial" w:eastAsia="Times New Roman" w:hAnsi="Arial" w:cs="Arial"/>
                <w:b w:val="0"/>
                <w:spacing w:val="-2"/>
                <w:sz w:val="14"/>
                <w:szCs w:val="14"/>
                <w:lang w:eastAsia="pt-BR"/>
              </w:rPr>
              <w:t>Share-based</w:t>
            </w:r>
            <w:proofErr w:type="spellEnd"/>
            <w:r w:rsidRPr="004C5A7A">
              <w:rPr>
                <w:rFonts w:ascii="Arial" w:eastAsia="Times New Roman" w:hAnsi="Arial" w:cs="Arial"/>
                <w:b w:val="0"/>
                <w:spacing w:val="-2"/>
                <w:sz w:val="14"/>
                <w:szCs w:val="14"/>
                <w:lang w:eastAsia="pt-BR"/>
              </w:rPr>
              <w:t xml:space="preserve"> </w:t>
            </w:r>
            <w:proofErr w:type="spellStart"/>
            <w:r w:rsidRPr="004C5A7A">
              <w:rPr>
                <w:rFonts w:ascii="Arial" w:eastAsia="Times New Roman" w:hAnsi="Arial" w:cs="Arial"/>
                <w:b w:val="0"/>
                <w:spacing w:val="-2"/>
                <w:sz w:val="14"/>
                <w:szCs w:val="14"/>
                <w:lang w:eastAsia="pt-BR"/>
              </w:rPr>
              <w:t>payment</w:t>
            </w:r>
            <w:proofErr w:type="spellEnd"/>
            <w:r w:rsidRPr="004C5A7A">
              <w:rPr>
                <w:rFonts w:ascii="Arial" w:eastAsia="Times New Roman" w:hAnsi="Arial" w:cs="Arial"/>
                <w:b w:val="0"/>
                <w:spacing w:val="-2"/>
                <w:sz w:val="14"/>
                <w:szCs w:val="14"/>
                <w:lang w:eastAsia="pt-BR"/>
              </w:rPr>
              <w:t xml:space="preserve"> </w:t>
            </w:r>
            <w:proofErr w:type="spellStart"/>
            <w:r w:rsidRPr="004C5A7A">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FFFFFF" w:themeFill="background1"/>
            <w:vAlign w:val="center"/>
          </w:tcPr>
          <w:p w14:paraId="537E60A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nil"/>
              <w:bottom w:val="nil"/>
            </w:tcBorders>
            <w:shd w:val="clear" w:color="auto" w:fill="FFFFFF" w:themeFill="background1"/>
            <w:vAlign w:val="center"/>
          </w:tcPr>
          <w:p w14:paraId="324EEDD7"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19071EA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(827)</w:t>
            </w:r>
          </w:p>
        </w:tc>
        <w:tc>
          <w:tcPr>
            <w:tcW w:w="1044" w:type="dxa"/>
            <w:tcBorders>
              <w:top w:val="nil"/>
              <w:bottom w:val="nil"/>
            </w:tcBorders>
            <w:shd w:val="clear" w:color="auto" w:fill="FFFFFF" w:themeFill="background1"/>
            <w:vAlign w:val="center"/>
          </w:tcPr>
          <w:p w14:paraId="412FECC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69C18D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D70C11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827</w:t>
            </w:r>
          </w:p>
        </w:tc>
        <w:tc>
          <w:tcPr>
            <w:tcW w:w="1485" w:type="dxa"/>
            <w:tcBorders>
              <w:top w:val="nil"/>
              <w:bottom w:val="nil"/>
            </w:tcBorders>
            <w:shd w:val="clear" w:color="auto" w:fill="FFFFFF" w:themeFill="background1"/>
            <w:vAlign w:val="center"/>
          </w:tcPr>
          <w:p w14:paraId="39ABC3C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D81926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ED9C08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4C5A7A">
              <w:rPr>
                <w:rFonts w:ascii="Arial" w:hAnsi="Arial" w:cs="Arial"/>
                <w:b/>
                <w:bCs/>
                <w:color w:val="000000"/>
                <w:sz w:val="14"/>
                <w:szCs w:val="14"/>
              </w:rPr>
              <w:t>--</w:t>
            </w:r>
          </w:p>
        </w:tc>
      </w:tr>
      <w:tr w:rsidR="00AA1417" w:rsidRPr="004C5A7A" w14:paraId="67A7786C" w14:textId="77777777" w:rsidTr="007A1DAC">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5867BFC6" w14:textId="77777777" w:rsidR="00F316D8" w:rsidRPr="004C5A7A" w:rsidRDefault="00F316D8">
            <w:pPr>
              <w:keepNext/>
              <w:keepLines/>
              <w:spacing w:before="40" w:after="40"/>
              <w:ind w:left="177"/>
              <w:rPr>
                <w:rFonts w:ascii="Arial" w:hAnsi="Arial" w:cs="Arial"/>
                <w:sz w:val="14"/>
                <w:szCs w:val="14"/>
                <w:lang w:val="en-US"/>
              </w:rPr>
            </w:pPr>
            <w:r w:rsidRPr="004C5A7A">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FFFFFF" w:themeFill="background1"/>
            <w:vAlign w:val="center"/>
          </w:tcPr>
          <w:p w14:paraId="1F34FEE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eastAsia="Times New Roman" w:hAnsi="Arial" w:cs="Arial"/>
                <w:spacing w:val="-2"/>
                <w:sz w:val="14"/>
                <w:szCs w:val="14"/>
                <w:lang w:eastAsia="pt-BR"/>
              </w:rPr>
              <w:t>[7.b]</w:t>
            </w:r>
          </w:p>
        </w:tc>
        <w:tc>
          <w:tcPr>
            <w:tcW w:w="859" w:type="dxa"/>
            <w:tcBorders>
              <w:top w:val="nil"/>
              <w:bottom w:val="nil"/>
            </w:tcBorders>
            <w:shd w:val="clear" w:color="auto" w:fill="FFFFFF" w:themeFill="background1"/>
            <w:vAlign w:val="center"/>
          </w:tcPr>
          <w:p w14:paraId="4F229916"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7D57C64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2B5F1B4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7AA5C87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450818A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62A6AB16"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(279,966)</w:t>
            </w:r>
          </w:p>
        </w:tc>
        <w:tc>
          <w:tcPr>
            <w:tcW w:w="1525" w:type="dxa"/>
            <w:tcBorders>
              <w:top w:val="nil"/>
              <w:bottom w:val="nil"/>
            </w:tcBorders>
            <w:shd w:val="clear" w:color="auto" w:fill="FFFFFF" w:themeFill="background1"/>
            <w:vAlign w:val="center"/>
          </w:tcPr>
          <w:p w14:paraId="2EFE64D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706ED9D3"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4C5A7A">
              <w:rPr>
                <w:rFonts w:ascii="Arial" w:hAnsi="Arial" w:cs="Arial"/>
                <w:b/>
                <w:bCs/>
                <w:color w:val="000000"/>
                <w:sz w:val="14"/>
                <w:szCs w:val="14"/>
              </w:rPr>
              <w:t>(279,966)</w:t>
            </w:r>
          </w:p>
        </w:tc>
      </w:tr>
      <w:tr w:rsidR="00AA1417" w:rsidRPr="004C5A7A" w14:paraId="621BDA5C" w14:textId="77777777" w:rsidTr="007A1DAC">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1EC3C258" w14:textId="77777777" w:rsidR="00F316D8" w:rsidRPr="004C5A7A" w:rsidRDefault="00F316D8">
            <w:pPr>
              <w:keepNext/>
              <w:keepLines/>
              <w:spacing w:before="40" w:after="40"/>
              <w:ind w:left="177"/>
              <w:rPr>
                <w:rFonts w:ascii="Arial" w:eastAsia="Times New Roman" w:hAnsi="Arial" w:cs="Arial"/>
                <w:b w:val="0"/>
                <w:spacing w:val="-2"/>
                <w:sz w:val="14"/>
                <w:szCs w:val="14"/>
                <w:lang w:val="en-US" w:eastAsia="pt-BR"/>
              </w:rPr>
            </w:pPr>
            <w:r w:rsidRPr="004C5A7A">
              <w:rPr>
                <w:rFonts w:ascii="Arial" w:eastAsia="Times New Roman" w:hAnsi="Arial" w:cs="Arial"/>
                <w:b w:val="0"/>
                <w:spacing w:val="-2"/>
                <w:sz w:val="14"/>
                <w:szCs w:val="14"/>
                <w:lang w:val="en-US" w:eastAsia="pt-BR"/>
              </w:rPr>
              <w:t>Other comprehensive income - E</w:t>
            </w:r>
            <w:r w:rsidRPr="004C5A7A">
              <w:rPr>
                <w:rFonts w:ascii="Arial" w:hAnsi="Arial" w:cs="Arial"/>
                <w:b w:val="0"/>
                <w:bCs w:val="0"/>
                <w:sz w:val="14"/>
                <w:szCs w:val="14"/>
                <w:lang w:val="en-US"/>
              </w:rPr>
              <w:t>ffects CPC 50</w:t>
            </w:r>
          </w:p>
        </w:tc>
        <w:tc>
          <w:tcPr>
            <w:tcW w:w="570" w:type="dxa"/>
            <w:tcBorders>
              <w:top w:val="nil"/>
              <w:bottom w:val="nil"/>
            </w:tcBorders>
            <w:shd w:val="clear" w:color="auto" w:fill="FFFFFF" w:themeFill="background1"/>
            <w:vAlign w:val="center"/>
          </w:tcPr>
          <w:p w14:paraId="57036E27"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4C5A7A">
              <w:rPr>
                <w:rFonts w:ascii="Arial" w:eastAsia="Times New Roman" w:hAnsi="Arial" w:cs="Arial"/>
                <w:bCs/>
                <w:spacing w:val="-2"/>
                <w:sz w:val="14"/>
                <w:szCs w:val="14"/>
                <w:lang w:eastAsia="pt-BR"/>
              </w:rPr>
              <w:t>[7.b]</w:t>
            </w:r>
          </w:p>
        </w:tc>
        <w:tc>
          <w:tcPr>
            <w:tcW w:w="859" w:type="dxa"/>
            <w:tcBorders>
              <w:top w:val="nil"/>
              <w:bottom w:val="nil"/>
            </w:tcBorders>
            <w:shd w:val="clear" w:color="auto" w:fill="FFFFFF" w:themeFill="background1"/>
            <w:vAlign w:val="center"/>
          </w:tcPr>
          <w:p w14:paraId="39A5B33F"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4DA530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66AEFC0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208120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6AA977A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02612AD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(267,064)</w:t>
            </w:r>
          </w:p>
        </w:tc>
        <w:tc>
          <w:tcPr>
            <w:tcW w:w="1525" w:type="dxa"/>
            <w:tcBorders>
              <w:top w:val="nil"/>
              <w:bottom w:val="nil"/>
            </w:tcBorders>
            <w:shd w:val="clear" w:color="auto" w:fill="FFFFFF" w:themeFill="background1"/>
            <w:vAlign w:val="center"/>
          </w:tcPr>
          <w:p w14:paraId="64B4A79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018EE60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(267,064)</w:t>
            </w:r>
          </w:p>
        </w:tc>
      </w:tr>
      <w:tr w:rsidR="00AA1417" w:rsidRPr="004C5A7A" w14:paraId="22DB318A" w14:textId="77777777" w:rsidTr="007A1DAC">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6194D543" w14:textId="77777777" w:rsidR="00F316D8" w:rsidRPr="004C5A7A" w:rsidRDefault="00F316D8">
            <w:pPr>
              <w:keepNext/>
              <w:keepLines/>
              <w:spacing w:before="40" w:after="40"/>
              <w:ind w:left="177"/>
              <w:rPr>
                <w:rFonts w:ascii="Arial" w:eastAsia="Times New Roman" w:hAnsi="Arial" w:cs="Arial"/>
                <w:b w:val="0"/>
                <w:spacing w:val="-2"/>
                <w:sz w:val="14"/>
                <w:szCs w:val="14"/>
                <w:lang w:val="en-US" w:eastAsia="pt-BR"/>
              </w:rPr>
            </w:pPr>
            <w:r w:rsidRPr="004C5A7A">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FFFFFF" w:themeFill="background1"/>
            <w:vAlign w:val="center"/>
          </w:tcPr>
          <w:p w14:paraId="25C6487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r w:rsidRPr="004C5A7A">
              <w:rPr>
                <w:rFonts w:ascii="Arial" w:eastAsia="Times New Roman" w:hAnsi="Arial" w:cs="Arial"/>
                <w:bCs/>
                <w:spacing w:val="-2"/>
                <w:sz w:val="14"/>
                <w:szCs w:val="14"/>
                <w:lang w:eastAsia="pt-BR"/>
              </w:rPr>
              <w:t>[7.b]</w:t>
            </w:r>
          </w:p>
        </w:tc>
        <w:tc>
          <w:tcPr>
            <w:tcW w:w="859" w:type="dxa"/>
            <w:tcBorders>
              <w:top w:val="nil"/>
              <w:bottom w:val="nil"/>
            </w:tcBorders>
            <w:shd w:val="clear" w:color="auto" w:fill="FFFFFF" w:themeFill="background1"/>
            <w:vAlign w:val="center"/>
          </w:tcPr>
          <w:p w14:paraId="42D741B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5700072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7204E6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6D6D4F7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158F487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34DC30AF"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246</w:t>
            </w:r>
          </w:p>
        </w:tc>
        <w:tc>
          <w:tcPr>
            <w:tcW w:w="1525" w:type="dxa"/>
            <w:tcBorders>
              <w:top w:val="nil"/>
              <w:bottom w:val="nil"/>
            </w:tcBorders>
            <w:shd w:val="clear" w:color="auto" w:fill="FFFFFF" w:themeFill="background1"/>
            <w:vAlign w:val="center"/>
          </w:tcPr>
          <w:p w14:paraId="7E44848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59D693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246</w:t>
            </w:r>
          </w:p>
        </w:tc>
      </w:tr>
      <w:tr w:rsidR="00AA1417" w:rsidRPr="004C5A7A" w14:paraId="507801E6" w14:textId="77777777" w:rsidTr="007A1DAC">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4E082F95" w14:textId="77777777" w:rsidR="00F316D8" w:rsidRPr="004C5A7A" w:rsidRDefault="00F316D8">
            <w:pPr>
              <w:keepNext/>
              <w:keepLines/>
              <w:spacing w:before="40" w:after="40"/>
              <w:ind w:left="177"/>
              <w:rPr>
                <w:rFonts w:ascii="Arial" w:eastAsia="Times New Roman" w:hAnsi="Arial" w:cs="Arial"/>
                <w:b w:val="0"/>
                <w:spacing w:val="-2"/>
                <w:sz w:val="14"/>
                <w:szCs w:val="14"/>
                <w:lang w:val="en-US" w:eastAsia="pt-BR"/>
              </w:rPr>
            </w:pPr>
            <w:r w:rsidRPr="004C5A7A">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FFFFFF" w:themeFill="background1"/>
            <w:vAlign w:val="center"/>
          </w:tcPr>
          <w:p w14:paraId="2B1646A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10A1B1F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6341749"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76E0FD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14631137"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798177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60C9EC3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3D775FE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color w:val="000000"/>
                <w:sz w:val="14"/>
                <w:szCs w:val="14"/>
              </w:rPr>
              <w:t>26</w:t>
            </w:r>
          </w:p>
        </w:tc>
        <w:tc>
          <w:tcPr>
            <w:tcW w:w="1099" w:type="dxa"/>
            <w:tcBorders>
              <w:top w:val="nil"/>
              <w:bottom w:val="nil"/>
            </w:tcBorders>
            <w:shd w:val="clear" w:color="auto" w:fill="FFFFFF" w:themeFill="background1"/>
            <w:vAlign w:val="center"/>
          </w:tcPr>
          <w:p w14:paraId="27A7190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26</w:t>
            </w:r>
          </w:p>
        </w:tc>
      </w:tr>
      <w:tr w:rsidR="00AA1417" w:rsidRPr="004C5A7A" w14:paraId="6E34B11D" w14:textId="77777777" w:rsidTr="007A1DAC">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6EDC506" w14:textId="77777777" w:rsidR="00F316D8" w:rsidRPr="004C5A7A" w:rsidRDefault="00F316D8">
            <w:pPr>
              <w:keepNext/>
              <w:keepLines/>
              <w:spacing w:before="40" w:after="40"/>
              <w:ind w:firstLine="176"/>
              <w:rPr>
                <w:rStyle w:val="rynqvb"/>
                <w:rFonts w:ascii="Arial" w:hAnsi="Arial" w:cs="Arial"/>
                <w:b w:val="0"/>
                <w:bCs w:val="0"/>
                <w:sz w:val="14"/>
                <w:szCs w:val="14"/>
                <w:lang w:val="en"/>
              </w:rPr>
            </w:pPr>
            <w:r w:rsidRPr="004C5A7A">
              <w:rPr>
                <w:rStyle w:val="rynqvb"/>
                <w:rFonts w:ascii="Arial" w:hAnsi="Arial" w:cs="Arial"/>
                <w:b w:val="0"/>
                <w:bCs w:val="0"/>
                <w:sz w:val="14"/>
                <w:szCs w:val="14"/>
                <w:lang w:val="en"/>
              </w:rPr>
              <w:t>Net Income for the Period</w:t>
            </w:r>
          </w:p>
        </w:tc>
        <w:tc>
          <w:tcPr>
            <w:tcW w:w="570" w:type="dxa"/>
            <w:tcBorders>
              <w:top w:val="nil"/>
              <w:bottom w:val="nil"/>
            </w:tcBorders>
            <w:shd w:val="clear" w:color="auto" w:fill="FFFFFF" w:themeFill="background1"/>
            <w:vAlign w:val="center"/>
          </w:tcPr>
          <w:p w14:paraId="0AAC434F"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FFFFFF" w:themeFill="background1"/>
            <w:vAlign w:val="center"/>
          </w:tcPr>
          <w:p w14:paraId="0D9EF62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265628CF"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5268639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09C18242"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5FAECEC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503EA57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0E5EC0E4"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color w:val="000000"/>
                <w:sz w:val="14"/>
                <w:szCs w:val="14"/>
              </w:rPr>
              <w:t>8,703,353</w:t>
            </w:r>
          </w:p>
        </w:tc>
        <w:tc>
          <w:tcPr>
            <w:tcW w:w="1099" w:type="dxa"/>
            <w:tcBorders>
              <w:top w:val="nil"/>
              <w:bottom w:val="nil"/>
            </w:tcBorders>
            <w:shd w:val="clear" w:color="auto" w:fill="FFFFFF" w:themeFill="background1"/>
            <w:vAlign w:val="center"/>
          </w:tcPr>
          <w:p w14:paraId="641AAB9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4C5A7A">
              <w:rPr>
                <w:rFonts w:ascii="Arial" w:hAnsi="Arial" w:cs="Arial"/>
                <w:b/>
                <w:bCs/>
                <w:color w:val="000000"/>
                <w:sz w:val="14"/>
                <w:szCs w:val="14"/>
              </w:rPr>
              <w:t>8,703,353</w:t>
            </w:r>
          </w:p>
        </w:tc>
      </w:tr>
      <w:tr w:rsidR="00AA1417" w:rsidRPr="004C5A7A" w14:paraId="48C47DA8" w14:textId="77777777" w:rsidTr="007A1DAC">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767BA4C3" w14:textId="77777777" w:rsidR="00F316D8" w:rsidRPr="004C5A7A" w:rsidRDefault="00F316D8">
            <w:pPr>
              <w:keepNext/>
              <w:keepLines/>
              <w:spacing w:before="40" w:after="40"/>
              <w:ind w:firstLine="176"/>
              <w:rPr>
                <w:rFonts w:ascii="Arial" w:eastAsia="Times New Roman" w:hAnsi="Arial" w:cs="Arial"/>
                <w:spacing w:val="-2"/>
                <w:sz w:val="14"/>
                <w:szCs w:val="14"/>
                <w:lang w:val="en-US" w:eastAsia="pt-BR"/>
              </w:rPr>
            </w:pPr>
            <w:proofErr w:type="spellStart"/>
            <w:r w:rsidRPr="004C5A7A">
              <w:rPr>
                <w:rFonts w:ascii="Arial" w:hAnsi="Arial" w:cs="Arial"/>
                <w:b w:val="0"/>
                <w:bCs w:val="0"/>
                <w:sz w:val="14"/>
                <w:szCs w:val="14"/>
              </w:rPr>
              <w:t>Destinations</w:t>
            </w:r>
            <w:proofErr w:type="spellEnd"/>
            <w:r w:rsidRPr="004C5A7A">
              <w:rPr>
                <w:rFonts w:ascii="Arial" w:hAnsi="Arial" w:cs="Arial"/>
                <w:b w:val="0"/>
                <w:bCs w:val="0"/>
                <w:sz w:val="14"/>
                <w:szCs w:val="14"/>
              </w:rPr>
              <w:t xml:space="preserve"> - Profit Reserves</w:t>
            </w:r>
          </w:p>
        </w:tc>
        <w:tc>
          <w:tcPr>
            <w:tcW w:w="570" w:type="dxa"/>
            <w:tcBorders>
              <w:top w:val="nil"/>
              <w:bottom w:val="nil"/>
            </w:tcBorders>
            <w:shd w:val="clear" w:color="auto" w:fill="FFFFFF" w:themeFill="background1"/>
            <w:vAlign w:val="center"/>
          </w:tcPr>
          <w:p w14:paraId="006CB72B"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65BB968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6889C14E"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07C9CEF7"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435,168</w:t>
            </w:r>
          </w:p>
        </w:tc>
        <w:tc>
          <w:tcPr>
            <w:tcW w:w="1386" w:type="dxa"/>
            <w:tcBorders>
              <w:top w:val="nil"/>
              <w:bottom w:val="nil"/>
            </w:tcBorders>
            <w:shd w:val="clear" w:color="auto" w:fill="FFFFFF" w:themeFill="background1"/>
            <w:vAlign w:val="center"/>
          </w:tcPr>
          <w:p w14:paraId="6415965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1,157,185</w:t>
            </w:r>
          </w:p>
        </w:tc>
        <w:tc>
          <w:tcPr>
            <w:tcW w:w="1099" w:type="dxa"/>
            <w:tcBorders>
              <w:top w:val="nil"/>
              <w:bottom w:val="nil"/>
            </w:tcBorders>
            <w:shd w:val="clear" w:color="auto" w:fill="FFFFFF" w:themeFill="background1"/>
            <w:vAlign w:val="center"/>
          </w:tcPr>
          <w:p w14:paraId="2B35AC2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451A032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11F79E6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(1,592,353)</w:t>
            </w:r>
          </w:p>
        </w:tc>
        <w:tc>
          <w:tcPr>
            <w:tcW w:w="1099" w:type="dxa"/>
            <w:tcBorders>
              <w:top w:val="nil"/>
              <w:bottom w:val="nil"/>
            </w:tcBorders>
            <w:shd w:val="clear" w:color="auto" w:fill="FFFFFF" w:themeFill="background1"/>
            <w:vAlign w:val="center"/>
          </w:tcPr>
          <w:p w14:paraId="63838CF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
                <w:bCs/>
                <w:color w:val="000000"/>
                <w:sz w:val="14"/>
                <w:szCs w:val="14"/>
              </w:rPr>
              <w:t>--</w:t>
            </w:r>
          </w:p>
        </w:tc>
      </w:tr>
      <w:tr w:rsidR="00AA1417" w:rsidRPr="004C5A7A" w14:paraId="5777E2BE" w14:textId="77777777" w:rsidTr="007A1DAC">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35157544" w14:textId="77777777" w:rsidR="00F316D8" w:rsidRPr="004C5A7A" w:rsidRDefault="00F316D8">
            <w:pPr>
              <w:keepNext/>
              <w:keepLines/>
              <w:spacing w:before="40" w:after="40"/>
              <w:ind w:firstLine="176"/>
              <w:rPr>
                <w:rFonts w:ascii="Arial" w:eastAsia="Times New Roman" w:hAnsi="Arial" w:cs="Arial"/>
                <w:spacing w:val="-2"/>
                <w:sz w:val="14"/>
                <w:szCs w:val="14"/>
                <w:lang w:val="en-US" w:eastAsia="pt-BR"/>
              </w:rPr>
            </w:pPr>
            <w:r w:rsidRPr="004C5A7A">
              <w:rPr>
                <w:rFonts w:ascii="Arial" w:hAnsi="Arial" w:cs="Arial"/>
                <w:b w:val="0"/>
                <w:bCs w:val="0"/>
                <w:sz w:val="14"/>
                <w:szCs w:val="14"/>
                <w:lang w:val="en-US"/>
              </w:rPr>
              <w:t xml:space="preserve">                      - </w:t>
            </w:r>
            <w:r w:rsidRPr="004C5A7A">
              <w:rPr>
                <w:rFonts w:ascii="Arial" w:hAnsi="Arial" w:cs="Arial"/>
                <w:b w:val="0"/>
                <w:bCs w:val="0"/>
                <w:sz w:val="14"/>
                <w:szCs w:val="14"/>
              </w:rPr>
              <w:t>Interim</w:t>
            </w:r>
            <w:r w:rsidRPr="004C5A7A">
              <w:rPr>
                <w:rFonts w:ascii="Arial" w:hAnsi="Arial" w:cs="Arial"/>
                <w:b w:val="0"/>
                <w:bCs w:val="0"/>
                <w:sz w:val="14"/>
                <w:szCs w:val="14"/>
                <w:lang w:val="en-US"/>
              </w:rPr>
              <w:t xml:space="preserve"> dividends payable</w:t>
            </w:r>
          </w:p>
        </w:tc>
        <w:tc>
          <w:tcPr>
            <w:tcW w:w="570" w:type="dxa"/>
            <w:tcBorders>
              <w:top w:val="nil"/>
              <w:bottom w:val="nil"/>
            </w:tcBorders>
            <w:shd w:val="clear" w:color="auto" w:fill="FFFFFF" w:themeFill="background1"/>
            <w:vAlign w:val="center"/>
          </w:tcPr>
          <w:p w14:paraId="1340866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2D6FCE1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3542318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4773EF53"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45B11BB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36813025"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1520CE2A"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2691E91E"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(2,700,012)</w:t>
            </w:r>
          </w:p>
        </w:tc>
        <w:tc>
          <w:tcPr>
            <w:tcW w:w="1099" w:type="dxa"/>
            <w:tcBorders>
              <w:top w:val="nil"/>
              <w:bottom w:val="nil"/>
            </w:tcBorders>
            <w:shd w:val="clear" w:color="auto" w:fill="FFFFFF" w:themeFill="background1"/>
            <w:vAlign w:val="center"/>
          </w:tcPr>
          <w:p w14:paraId="46A8DECB"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
                <w:bCs/>
                <w:color w:val="000000"/>
                <w:sz w:val="14"/>
                <w:szCs w:val="14"/>
              </w:rPr>
              <w:t>(2,700,012)</w:t>
            </w:r>
          </w:p>
        </w:tc>
      </w:tr>
      <w:tr w:rsidR="00AA1417" w:rsidRPr="004C5A7A" w14:paraId="4AD5469E" w14:textId="77777777" w:rsidTr="007A1DAC">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FFFFFF" w:themeFill="background1"/>
            <w:vAlign w:val="center"/>
          </w:tcPr>
          <w:p w14:paraId="2D427A6D" w14:textId="77777777" w:rsidR="00F316D8" w:rsidRPr="004C5A7A" w:rsidRDefault="00F316D8">
            <w:pPr>
              <w:keepNext/>
              <w:keepLines/>
              <w:spacing w:before="40" w:after="40"/>
              <w:ind w:firstLine="176"/>
              <w:rPr>
                <w:rStyle w:val="rynqvb"/>
                <w:rFonts w:ascii="Arial" w:hAnsi="Arial" w:cs="Arial"/>
                <w:sz w:val="14"/>
                <w:szCs w:val="14"/>
                <w:lang w:val="en"/>
              </w:rPr>
            </w:pPr>
            <w:r w:rsidRPr="004C5A7A">
              <w:rPr>
                <w:rFonts w:ascii="Arial" w:hAnsi="Arial" w:cs="Arial"/>
                <w:b w:val="0"/>
                <w:sz w:val="14"/>
                <w:szCs w:val="14"/>
              </w:rPr>
              <w:t xml:space="preserve">                      - </w:t>
            </w:r>
            <w:proofErr w:type="spellStart"/>
            <w:r w:rsidRPr="004C5A7A">
              <w:rPr>
                <w:rFonts w:ascii="Arial" w:hAnsi="Arial" w:cs="Arial"/>
                <w:b w:val="0"/>
                <w:sz w:val="14"/>
                <w:szCs w:val="14"/>
              </w:rPr>
              <w:t>Proposed</w:t>
            </w:r>
            <w:proofErr w:type="spellEnd"/>
            <w:r w:rsidRPr="004C5A7A">
              <w:rPr>
                <w:rFonts w:ascii="Arial" w:hAnsi="Arial" w:cs="Arial"/>
                <w:b w:val="0"/>
                <w:sz w:val="14"/>
                <w:szCs w:val="14"/>
              </w:rPr>
              <w:t xml:space="preserve"> </w:t>
            </w:r>
            <w:proofErr w:type="spellStart"/>
            <w:r w:rsidRPr="004C5A7A">
              <w:rPr>
                <w:rFonts w:ascii="Arial" w:hAnsi="Arial" w:cs="Arial"/>
                <w:b w:val="0"/>
                <w:sz w:val="14"/>
                <w:szCs w:val="14"/>
              </w:rPr>
              <w:t>dividends</w:t>
            </w:r>
            <w:proofErr w:type="spellEnd"/>
          </w:p>
        </w:tc>
        <w:tc>
          <w:tcPr>
            <w:tcW w:w="570" w:type="dxa"/>
            <w:tcBorders>
              <w:top w:val="nil"/>
              <w:bottom w:val="nil"/>
            </w:tcBorders>
            <w:shd w:val="clear" w:color="auto" w:fill="FFFFFF" w:themeFill="background1"/>
            <w:vAlign w:val="center"/>
          </w:tcPr>
          <w:p w14:paraId="6A5F748C"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FFFFFF" w:themeFill="background1"/>
            <w:vAlign w:val="center"/>
          </w:tcPr>
          <w:p w14:paraId="6B070D9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973" w:type="dxa"/>
            <w:tcBorders>
              <w:top w:val="nil"/>
              <w:bottom w:val="nil"/>
            </w:tcBorders>
            <w:shd w:val="clear" w:color="auto" w:fill="FFFFFF" w:themeFill="background1"/>
            <w:vAlign w:val="center"/>
          </w:tcPr>
          <w:p w14:paraId="08A1B89F"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44" w:type="dxa"/>
            <w:tcBorders>
              <w:top w:val="nil"/>
              <w:bottom w:val="nil"/>
            </w:tcBorders>
            <w:shd w:val="clear" w:color="auto" w:fill="FFFFFF" w:themeFill="background1"/>
            <w:vAlign w:val="center"/>
          </w:tcPr>
          <w:p w14:paraId="3F345FF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386" w:type="dxa"/>
            <w:tcBorders>
              <w:top w:val="nil"/>
              <w:bottom w:val="nil"/>
            </w:tcBorders>
            <w:shd w:val="clear" w:color="auto" w:fill="FFFFFF" w:themeFill="background1"/>
            <w:vAlign w:val="center"/>
          </w:tcPr>
          <w:p w14:paraId="5753378A"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99" w:type="dxa"/>
            <w:tcBorders>
              <w:top w:val="nil"/>
              <w:bottom w:val="nil"/>
            </w:tcBorders>
            <w:shd w:val="clear" w:color="auto" w:fill="FFFFFF" w:themeFill="background1"/>
            <w:vAlign w:val="center"/>
          </w:tcPr>
          <w:p w14:paraId="2E867FA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485" w:type="dxa"/>
            <w:tcBorders>
              <w:top w:val="nil"/>
              <w:bottom w:val="nil"/>
            </w:tcBorders>
            <w:shd w:val="clear" w:color="auto" w:fill="FFFFFF" w:themeFill="background1"/>
            <w:vAlign w:val="center"/>
          </w:tcPr>
          <w:p w14:paraId="78DCE1D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525" w:type="dxa"/>
            <w:tcBorders>
              <w:top w:val="nil"/>
              <w:bottom w:val="nil"/>
            </w:tcBorders>
            <w:shd w:val="clear" w:color="auto" w:fill="FFFFFF" w:themeFill="background1"/>
            <w:vAlign w:val="center"/>
          </w:tcPr>
          <w:p w14:paraId="4CD00430"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(4,411,014)</w:t>
            </w:r>
          </w:p>
        </w:tc>
        <w:tc>
          <w:tcPr>
            <w:tcW w:w="1099" w:type="dxa"/>
            <w:tcBorders>
              <w:top w:val="nil"/>
              <w:bottom w:val="nil"/>
            </w:tcBorders>
            <w:shd w:val="clear" w:color="auto" w:fill="FFFFFF" w:themeFill="background1"/>
            <w:vAlign w:val="center"/>
          </w:tcPr>
          <w:p w14:paraId="633D899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
                <w:bCs/>
                <w:color w:val="000000"/>
                <w:sz w:val="14"/>
                <w:szCs w:val="14"/>
              </w:rPr>
              <w:t>(4,411,014)</w:t>
            </w:r>
          </w:p>
        </w:tc>
      </w:tr>
      <w:tr w:rsidR="00F316D8" w:rsidRPr="004C5A7A" w14:paraId="64D40ADF" w14:textId="77777777" w:rsidTr="007A1DAC">
        <w:trPr>
          <w:cnfStyle w:val="000000010000" w:firstRow="0" w:lastRow="0" w:firstColumn="0" w:lastColumn="0" w:oddVBand="0" w:evenVBand="0" w:oddHBand="0" w:evenHBand="1"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2" w:space="0" w:color="1F3864" w:themeColor="accent1" w:themeShade="80"/>
            </w:tcBorders>
            <w:shd w:val="clear" w:color="auto" w:fill="FFFFFF" w:themeFill="background1"/>
            <w:vAlign w:val="center"/>
          </w:tcPr>
          <w:p w14:paraId="7302FB87" w14:textId="77777777" w:rsidR="00F316D8" w:rsidRPr="004C5A7A" w:rsidRDefault="00F316D8">
            <w:pPr>
              <w:keepNext/>
              <w:keepLines/>
              <w:spacing w:before="40" w:after="40"/>
              <w:rPr>
                <w:rFonts w:ascii="Arial" w:hAnsi="Arial" w:cs="Arial"/>
                <w:color w:val="000000"/>
                <w:sz w:val="14"/>
                <w:szCs w:val="14"/>
                <w:lang w:val="en-US"/>
              </w:rPr>
            </w:pPr>
            <w:r w:rsidRPr="004C5A7A">
              <w:rPr>
                <w:rFonts w:ascii="Arial" w:hAnsi="Arial" w:cs="Arial"/>
                <w:color w:val="000000"/>
                <w:sz w:val="14"/>
                <w:szCs w:val="14"/>
                <w:lang w:val="en-US"/>
              </w:rPr>
              <w:t xml:space="preserve">Balances </w:t>
            </w:r>
            <w:proofErr w:type="gramStart"/>
            <w:r w:rsidRPr="004C5A7A">
              <w:rPr>
                <w:rFonts w:ascii="Arial" w:hAnsi="Arial" w:cs="Arial"/>
                <w:color w:val="000000"/>
                <w:sz w:val="14"/>
                <w:szCs w:val="14"/>
                <w:lang w:val="en-US"/>
              </w:rPr>
              <w:t>at</w:t>
            </w:r>
            <w:proofErr w:type="gramEnd"/>
            <w:r w:rsidRPr="004C5A7A">
              <w:rPr>
                <w:rFonts w:ascii="Arial" w:hAnsi="Arial" w:cs="Arial"/>
                <w:color w:val="000000"/>
                <w:sz w:val="14"/>
                <w:szCs w:val="14"/>
                <w:lang w:val="en-US"/>
              </w:rPr>
              <w:t xml:space="preserve"> Dec 31, 2024</w:t>
            </w:r>
          </w:p>
        </w:tc>
        <w:tc>
          <w:tcPr>
            <w:tcW w:w="570" w:type="dxa"/>
            <w:tcBorders>
              <w:top w:val="nil"/>
              <w:bottom w:val="single" w:sz="2" w:space="0" w:color="1F3864" w:themeColor="accent1" w:themeShade="80"/>
            </w:tcBorders>
            <w:shd w:val="clear" w:color="auto" w:fill="FFFFFF" w:themeFill="background1"/>
            <w:vAlign w:val="center"/>
          </w:tcPr>
          <w:p w14:paraId="54786BF8" w14:textId="77777777" w:rsidR="00F316D8" w:rsidRPr="004C5A7A" w:rsidRDefault="00F316D8">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859" w:type="dxa"/>
            <w:tcBorders>
              <w:top w:val="nil"/>
              <w:bottom w:val="single" w:sz="2" w:space="0" w:color="1F3864" w:themeColor="accent1" w:themeShade="80"/>
            </w:tcBorders>
            <w:shd w:val="clear" w:color="auto" w:fill="FFFFFF" w:themeFill="background1"/>
            <w:vAlign w:val="center"/>
          </w:tcPr>
          <w:p w14:paraId="2AD2E1BC"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6,269,692</w:t>
            </w:r>
          </w:p>
        </w:tc>
        <w:tc>
          <w:tcPr>
            <w:tcW w:w="973" w:type="dxa"/>
            <w:tcBorders>
              <w:top w:val="nil"/>
              <w:bottom w:val="single" w:sz="2" w:space="0" w:color="1F3864" w:themeColor="accent1" w:themeShade="80"/>
            </w:tcBorders>
            <w:shd w:val="clear" w:color="auto" w:fill="FFFFFF" w:themeFill="background1"/>
            <w:vAlign w:val="center"/>
          </w:tcPr>
          <w:p w14:paraId="772ABE90"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978</w:t>
            </w:r>
          </w:p>
        </w:tc>
        <w:tc>
          <w:tcPr>
            <w:tcW w:w="1044" w:type="dxa"/>
            <w:tcBorders>
              <w:top w:val="nil"/>
              <w:bottom w:val="single" w:sz="2" w:space="0" w:color="1F3864" w:themeColor="accent1" w:themeShade="80"/>
            </w:tcBorders>
            <w:shd w:val="clear" w:color="auto" w:fill="FFFFFF" w:themeFill="background1"/>
            <w:vAlign w:val="center"/>
          </w:tcPr>
          <w:p w14:paraId="3DDD8F47"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1,134,757</w:t>
            </w:r>
          </w:p>
        </w:tc>
        <w:tc>
          <w:tcPr>
            <w:tcW w:w="1386" w:type="dxa"/>
            <w:tcBorders>
              <w:top w:val="nil"/>
              <w:bottom w:val="single" w:sz="2" w:space="0" w:color="1F3864" w:themeColor="accent1" w:themeShade="80"/>
            </w:tcBorders>
            <w:shd w:val="clear" w:color="auto" w:fill="FFFFFF" w:themeFill="background1"/>
            <w:vAlign w:val="center"/>
          </w:tcPr>
          <w:p w14:paraId="77CE5F1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4,904,432</w:t>
            </w:r>
          </w:p>
        </w:tc>
        <w:tc>
          <w:tcPr>
            <w:tcW w:w="1099" w:type="dxa"/>
            <w:tcBorders>
              <w:top w:val="nil"/>
              <w:bottom w:val="single" w:sz="2" w:space="0" w:color="1F3864" w:themeColor="accent1" w:themeShade="80"/>
            </w:tcBorders>
            <w:shd w:val="clear" w:color="auto" w:fill="FFFFFF" w:themeFill="background1"/>
            <w:vAlign w:val="center"/>
          </w:tcPr>
          <w:p w14:paraId="432326C9"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(1,869,833)</w:t>
            </w:r>
          </w:p>
        </w:tc>
        <w:tc>
          <w:tcPr>
            <w:tcW w:w="1485" w:type="dxa"/>
            <w:tcBorders>
              <w:top w:val="nil"/>
              <w:bottom w:val="single" w:sz="2" w:space="0" w:color="1F3864" w:themeColor="accent1" w:themeShade="80"/>
            </w:tcBorders>
            <w:shd w:val="clear" w:color="auto" w:fill="FFFFFF" w:themeFill="background1"/>
            <w:vAlign w:val="center"/>
          </w:tcPr>
          <w:p w14:paraId="3693CBA8"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(744,605)</w:t>
            </w:r>
          </w:p>
        </w:tc>
        <w:tc>
          <w:tcPr>
            <w:tcW w:w="1525" w:type="dxa"/>
            <w:tcBorders>
              <w:top w:val="nil"/>
              <w:bottom w:val="single" w:sz="2" w:space="0" w:color="1F3864" w:themeColor="accent1" w:themeShade="80"/>
            </w:tcBorders>
            <w:shd w:val="clear" w:color="auto" w:fill="FFFFFF" w:themeFill="background1"/>
            <w:vAlign w:val="center"/>
          </w:tcPr>
          <w:p w14:paraId="5EF8AF51"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w:t>
            </w:r>
          </w:p>
        </w:tc>
        <w:tc>
          <w:tcPr>
            <w:tcW w:w="1099" w:type="dxa"/>
            <w:tcBorders>
              <w:top w:val="nil"/>
              <w:bottom w:val="single" w:sz="2" w:space="0" w:color="1F3864" w:themeColor="accent1" w:themeShade="80"/>
            </w:tcBorders>
            <w:shd w:val="clear" w:color="auto" w:fill="FFFFFF" w:themeFill="background1"/>
            <w:vAlign w:val="center"/>
          </w:tcPr>
          <w:p w14:paraId="056A949D" w14:textId="77777777" w:rsidR="00F316D8" w:rsidRPr="004C5A7A" w:rsidRDefault="00F316D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4C5A7A">
              <w:rPr>
                <w:rFonts w:ascii="Arial" w:hAnsi="Arial" w:cs="Arial"/>
                <w:b/>
                <w:bCs/>
                <w:color w:val="000000"/>
                <w:sz w:val="14"/>
                <w:szCs w:val="14"/>
              </w:rPr>
              <w:t>9,695,421</w:t>
            </w:r>
          </w:p>
        </w:tc>
      </w:tr>
      <w:tr w:rsidR="00AA1417" w:rsidRPr="004C5A7A" w14:paraId="11FECEA3" w14:textId="77777777" w:rsidTr="007A1DAC">
        <w:trPr>
          <w:trHeight w:val="218"/>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5B203ED" w14:textId="77777777" w:rsidR="00F316D8" w:rsidRPr="004C5A7A" w:rsidRDefault="00F316D8">
            <w:pPr>
              <w:keepNext/>
              <w:keepLines/>
              <w:spacing w:before="40" w:after="40"/>
              <w:rPr>
                <w:rFonts w:ascii="Arial" w:eastAsia="Times New Roman" w:hAnsi="Arial" w:cs="Arial"/>
                <w:spacing w:val="-2"/>
                <w:sz w:val="14"/>
                <w:szCs w:val="14"/>
                <w:lang w:eastAsia="pt-BR"/>
              </w:rPr>
            </w:pPr>
            <w:proofErr w:type="spellStart"/>
            <w:r w:rsidRPr="004C5A7A">
              <w:rPr>
                <w:rFonts w:ascii="Arial" w:hAnsi="Arial" w:cs="Arial"/>
                <w:color w:val="000000"/>
                <w:sz w:val="14"/>
                <w:szCs w:val="14"/>
              </w:rPr>
              <w:t>Changes</w:t>
            </w:r>
            <w:proofErr w:type="spellEnd"/>
            <w:r w:rsidRPr="004C5A7A">
              <w:rPr>
                <w:rFonts w:ascii="Arial" w:hAnsi="Arial" w:cs="Arial"/>
                <w:color w:val="000000"/>
                <w:sz w:val="14"/>
                <w:szCs w:val="14"/>
              </w:rPr>
              <w:t xml:space="preserve"> in </w:t>
            </w:r>
            <w:proofErr w:type="spellStart"/>
            <w:r w:rsidRPr="004C5A7A">
              <w:rPr>
                <w:rFonts w:ascii="Arial" w:hAnsi="Arial" w:cs="Arial"/>
                <w:color w:val="000000"/>
                <w:sz w:val="14"/>
                <w:szCs w:val="14"/>
              </w:rPr>
              <w:t>the</w:t>
            </w:r>
            <w:proofErr w:type="spellEnd"/>
            <w:r w:rsidRPr="004C5A7A">
              <w:rPr>
                <w:rFonts w:ascii="Arial" w:hAnsi="Arial" w:cs="Arial"/>
                <w:color w:val="000000"/>
                <w:sz w:val="14"/>
                <w:szCs w:val="14"/>
              </w:rPr>
              <w:t xml:space="preserve"> </w:t>
            </w:r>
            <w:r w:rsidRPr="004C5A7A">
              <w:rPr>
                <w:rFonts w:ascii="Arial" w:hAnsi="Arial" w:cs="Arial"/>
                <w:sz w:val="14"/>
                <w:szCs w:val="14"/>
              </w:rPr>
              <w:t>Year</w:t>
            </w:r>
          </w:p>
        </w:tc>
        <w:tc>
          <w:tcPr>
            <w:tcW w:w="57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94D58B1"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7503D9D"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w:t>
            </w:r>
          </w:p>
        </w:tc>
        <w:tc>
          <w:tcPr>
            <w:tcW w:w="97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589C8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(827)</w:t>
            </w:r>
          </w:p>
        </w:tc>
        <w:tc>
          <w:tcPr>
            <w:tcW w:w="104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E79E7D8"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435,168</w:t>
            </w:r>
          </w:p>
        </w:tc>
        <w:tc>
          <w:tcPr>
            <w:tcW w:w="13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5C02C86"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1,157,185</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78EF77"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(1,165,803)</w:t>
            </w:r>
          </w:p>
        </w:tc>
        <w:tc>
          <w:tcPr>
            <w:tcW w:w="148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287797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(546,784)</w:t>
            </w:r>
          </w:p>
        </w:tc>
        <w:tc>
          <w:tcPr>
            <w:tcW w:w="1525"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24B2D15"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w:t>
            </w:r>
          </w:p>
        </w:tc>
        <w:tc>
          <w:tcPr>
            <w:tcW w:w="10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90D6594" w14:textId="77777777" w:rsidR="00F316D8" w:rsidRPr="004C5A7A" w:rsidRDefault="00F316D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C5A7A">
              <w:rPr>
                <w:rFonts w:ascii="Arial" w:hAnsi="Arial" w:cs="Arial"/>
                <w:b/>
                <w:bCs/>
                <w:color w:val="000000"/>
                <w:sz w:val="14"/>
                <w:szCs w:val="14"/>
              </w:rPr>
              <w:t>(121,061)</w:t>
            </w:r>
          </w:p>
        </w:tc>
      </w:tr>
    </w:tbl>
    <w:p w14:paraId="05862666" w14:textId="3A0F3CB6" w:rsidR="0020561F" w:rsidRDefault="0020561F" w:rsidP="00C90E89">
      <w:pPr>
        <w:spacing w:after="0" w:line="26" w:lineRule="atLeast"/>
        <w:ind w:hanging="426"/>
        <w:rPr>
          <w:rFonts w:ascii="Arial" w:hAnsi="Arial" w:cs="Arial"/>
          <w:sz w:val="14"/>
          <w:szCs w:val="14"/>
          <w:lang w:val="en-US"/>
        </w:rPr>
      </w:pPr>
      <w:r w:rsidRPr="003908CA">
        <w:rPr>
          <w:rFonts w:ascii="Arial" w:hAnsi="Arial" w:cs="Arial"/>
          <w:sz w:val="14"/>
          <w:szCs w:val="14"/>
          <w:lang w:val="en-US"/>
        </w:rPr>
        <w:t>(1)</w:t>
      </w:r>
      <w:r w:rsidRPr="00C90E89">
        <w:rPr>
          <w:rFonts w:ascii="Arial" w:hAnsi="Arial" w:cs="Arial"/>
          <w:sz w:val="14"/>
          <w:szCs w:val="14"/>
          <w:lang w:val="en-US"/>
        </w:rPr>
        <w:t xml:space="preserve"> </w:t>
      </w:r>
      <w:r w:rsidRPr="003908CA">
        <w:rPr>
          <w:rFonts w:ascii="Arial" w:hAnsi="Arial" w:cs="Arial"/>
          <w:sz w:val="14"/>
          <w:szCs w:val="14"/>
          <w:lang w:val="en-US"/>
        </w:rPr>
        <w:t xml:space="preserve"> The composition of the Statutory Reserves balances is presented in note 25.e.</w:t>
      </w:r>
    </w:p>
    <w:p w14:paraId="7749FE08" w14:textId="77777777" w:rsidR="00F316D8" w:rsidRPr="004C5A7A" w:rsidRDefault="00F316D8" w:rsidP="0020561F">
      <w:pPr>
        <w:spacing w:after="0" w:line="26" w:lineRule="atLeast"/>
        <w:ind w:left="-709" w:right="-315" w:firstLine="283"/>
        <w:rPr>
          <w:rFonts w:ascii="Arial" w:hAnsi="Arial" w:cs="Arial"/>
          <w:sz w:val="14"/>
          <w:szCs w:val="14"/>
          <w:lang w:val="en-US"/>
        </w:rPr>
      </w:pPr>
      <w:r w:rsidRPr="004C5A7A">
        <w:rPr>
          <w:rFonts w:ascii="Arial" w:hAnsi="Arial" w:cs="Arial"/>
          <w:sz w:val="14"/>
          <w:szCs w:val="14"/>
          <w:lang w:val="en-US"/>
        </w:rPr>
        <w:t>The explanatory notes are an integral part of the interim financial statements. The restatements (retrospective applications) refer to the adoption of CPC 50 [IFRS 17] – Insurance Contracts and CPC 48 [IFRS 9] – Financial Instruments.</w:t>
      </w:r>
    </w:p>
    <w:p w14:paraId="240A05A8" w14:textId="6CA3694C" w:rsidR="00CB2BF1" w:rsidRPr="004C5A7A" w:rsidRDefault="00F316D8" w:rsidP="00BD23C5">
      <w:pPr>
        <w:spacing w:line="26" w:lineRule="atLeast"/>
        <w:ind w:left="-142" w:hanging="284"/>
        <w:rPr>
          <w:rFonts w:ascii="Arial" w:hAnsi="Arial" w:cs="Arial"/>
          <w:lang w:val="en-US" w:eastAsia="pt-BR"/>
        </w:rPr>
      </w:pPr>
      <w:r w:rsidRPr="004C5A7A">
        <w:rPr>
          <w:rFonts w:ascii="Arial" w:hAnsi="Arial" w:cs="Arial"/>
          <w:sz w:val="14"/>
          <w:szCs w:val="14"/>
          <w:lang w:val="en-US"/>
        </w:rPr>
        <w:t>Other comprehensive income is presented net of tax effects.</w:t>
      </w:r>
    </w:p>
    <w:p w14:paraId="482A2EE7" w14:textId="77777777" w:rsidR="00AA1417" w:rsidRPr="004C5A7A" w:rsidRDefault="00AA1417" w:rsidP="0020561F">
      <w:pPr>
        <w:pStyle w:val="Ttulo1"/>
        <w:spacing w:line="26" w:lineRule="atLeast"/>
        <w:jc w:val="both"/>
        <w:rPr>
          <w:rFonts w:ascii="Arial" w:hAnsi="Arial" w:cs="Arial"/>
          <w:b/>
          <w:color w:val="1F3864" w:themeColor="accent1" w:themeShade="80"/>
          <w:sz w:val="20"/>
          <w:lang w:val="en-US"/>
        </w:rPr>
        <w:sectPr w:rsidR="00AA1417" w:rsidRPr="004C5A7A" w:rsidSect="005D6EF4">
          <w:headerReference w:type="first" r:id="rId19"/>
          <w:pgSz w:w="16840" w:h="11907" w:orient="landscape" w:code="9"/>
          <w:pgMar w:top="1134" w:right="1134" w:bottom="851" w:left="1134" w:header="851" w:footer="567" w:gutter="0"/>
          <w:cols w:space="720"/>
          <w:titlePg/>
          <w:docGrid w:linePitch="299"/>
        </w:sectPr>
      </w:pPr>
    </w:p>
    <w:p w14:paraId="3FCA24FF" w14:textId="232FE36E"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20" w:name="_Toc190680620"/>
      <w:r w:rsidRPr="00432934">
        <w:rPr>
          <w:rFonts w:ascii="Arial" w:hAnsi="Arial" w:cs="Arial"/>
          <w:b/>
          <w:color w:val="1F3864" w:themeColor="accent1" w:themeShade="80"/>
          <w:sz w:val="20"/>
          <w:lang w:val="en-US"/>
        </w:rPr>
        <w:lastRenderedPageBreak/>
        <w:t>STATEMENT OF VALUE ADDED</w:t>
      </w:r>
      <w:bookmarkEnd w:id="18"/>
      <w:bookmarkEnd w:id="19"/>
      <w:bookmarkEnd w:id="20"/>
    </w:p>
    <w:p w14:paraId="091F7943" w14:textId="684CAA0C" w:rsidR="009D25B5" w:rsidRPr="00F84079" w:rsidRDefault="009D25B5" w:rsidP="00D342A4">
      <w:pPr>
        <w:pStyle w:val="06-Rmil"/>
        <w:ind w:right="-284"/>
        <w:rPr>
          <w:lang w:val="en-US"/>
        </w:rPr>
      </w:pPr>
      <w:bookmarkStart w:id="21" w:name="_Hlk149320930"/>
      <w:r w:rsidRPr="00F84079">
        <w:rPr>
          <w:lang w:val="en-US"/>
        </w:rPr>
        <w:t>R$ thousand</w:t>
      </w:r>
    </w:p>
    <w:tbl>
      <w:tblPr>
        <w:tblStyle w:val="TabeladeLista6Colorida-nfase5"/>
        <w:tblW w:w="10207" w:type="dxa"/>
        <w:jc w:val="center"/>
        <w:tblLayout w:type="fixed"/>
        <w:tblLook w:val="04A0" w:firstRow="1" w:lastRow="0" w:firstColumn="1" w:lastColumn="0" w:noHBand="0" w:noVBand="1"/>
      </w:tblPr>
      <w:tblGrid>
        <w:gridCol w:w="2977"/>
        <w:gridCol w:w="709"/>
        <w:gridCol w:w="1559"/>
        <w:gridCol w:w="1560"/>
        <w:gridCol w:w="280"/>
        <w:gridCol w:w="1562"/>
        <w:gridCol w:w="1560"/>
      </w:tblGrid>
      <w:tr w:rsidR="009D25B5" w:rsidRPr="002965BB" w14:paraId="7A5193C3"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auto"/>
            <w:vAlign w:val="center"/>
          </w:tcPr>
          <w:p w14:paraId="177BA269" w14:textId="77777777" w:rsidR="009D25B5" w:rsidRPr="00557CCF" w:rsidRDefault="009D25B5">
            <w:pPr>
              <w:jc w:val="center"/>
              <w:rPr>
                <w:rFonts w:ascii="Arial" w:hAnsi="Arial" w:cs="Arial"/>
                <w:b w:val="0"/>
                <w:sz w:val="14"/>
                <w:szCs w:val="14"/>
                <w:lang w:val="en-US"/>
              </w:rPr>
            </w:pPr>
          </w:p>
        </w:tc>
        <w:tc>
          <w:tcPr>
            <w:tcW w:w="709" w:type="dxa"/>
            <w:tcBorders>
              <w:top w:val="single" w:sz="2" w:space="0" w:color="1F3864" w:themeColor="accent1" w:themeShade="80"/>
              <w:bottom w:val="nil"/>
            </w:tcBorders>
            <w:shd w:val="clear" w:color="auto" w:fill="auto"/>
          </w:tcPr>
          <w:p w14:paraId="7D1249EB" w14:textId="77777777" w:rsidR="009D25B5" w:rsidRPr="00557CCF" w:rsidRDefault="009D25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p>
        </w:tc>
        <w:tc>
          <w:tcPr>
            <w:tcW w:w="3119" w:type="dxa"/>
            <w:gridSpan w:val="2"/>
            <w:tcBorders>
              <w:top w:val="single" w:sz="2" w:space="0" w:color="1F3864" w:themeColor="accent1" w:themeShade="80"/>
              <w:bottom w:val="single" w:sz="2" w:space="0" w:color="1F3864" w:themeColor="accent1" w:themeShade="80"/>
            </w:tcBorders>
            <w:shd w:val="clear" w:color="auto" w:fill="auto"/>
            <w:vAlign w:val="center"/>
          </w:tcPr>
          <w:p w14:paraId="41AAA9EB" w14:textId="77777777" w:rsidR="009D25B5" w:rsidRPr="00557CCF" w:rsidRDefault="009D25B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557CCF">
              <w:rPr>
                <w:rFonts w:ascii="Arial" w:hAnsi="Arial" w:cs="Arial"/>
                <w:sz w:val="14"/>
                <w:szCs w:val="14"/>
              </w:rPr>
              <w:t>Parent</w:t>
            </w:r>
            <w:proofErr w:type="spellEnd"/>
          </w:p>
        </w:tc>
        <w:tc>
          <w:tcPr>
            <w:tcW w:w="280" w:type="dxa"/>
            <w:tcBorders>
              <w:top w:val="single" w:sz="2" w:space="0" w:color="1F3864" w:themeColor="accent1" w:themeShade="80"/>
              <w:bottom w:val="nil"/>
            </w:tcBorders>
            <w:shd w:val="clear" w:color="auto" w:fill="auto"/>
          </w:tcPr>
          <w:p w14:paraId="4B45656D" w14:textId="77777777" w:rsidR="009D25B5" w:rsidRPr="00557CCF" w:rsidRDefault="009D25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3122" w:type="dxa"/>
            <w:gridSpan w:val="2"/>
            <w:tcBorders>
              <w:top w:val="single" w:sz="2" w:space="0" w:color="1F3864" w:themeColor="accent1" w:themeShade="80"/>
              <w:bottom w:val="single" w:sz="2" w:space="0" w:color="1F3864" w:themeColor="accent1" w:themeShade="80"/>
            </w:tcBorders>
            <w:shd w:val="clear" w:color="auto" w:fill="auto"/>
            <w:vAlign w:val="center"/>
          </w:tcPr>
          <w:p w14:paraId="4050E442" w14:textId="77777777" w:rsidR="009D25B5" w:rsidRPr="00557CCF" w:rsidRDefault="009D25B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557CCF">
              <w:rPr>
                <w:rFonts w:ascii="Arial" w:hAnsi="Arial" w:cs="Arial"/>
                <w:sz w:val="14"/>
                <w:szCs w:val="14"/>
              </w:rPr>
              <w:t>Consolidated</w:t>
            </w:r>
            <w:proofErr w:type="spellEnd"/>
          </w:p>
        </w:tc>
      </w:tr>
      <w:tr w:rsidR="009D25B5" w:rsidRPr="002965BB" w14:paraId="2878279C" w14:textId="77777777">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shd w:val="clear" w:color="auto" w:fill="auto"/>
          </w:tcPr>
          <w:p w14:paraId="269E8D3D" w14:textId="77777777" w:rsidR="009D25B5" w:rsidRPr="00557CCF" w:rsidRDefault="009D25B5">
            <w:pPr>
              <w:pStyle w:val="08-Tabelageral"/>
              <w:jc w:val="left"/>
              <w:rPr>
                <w:rFonts w:cs="Arial"/>
                <w:b w:val="0"/>
                <w:szCs w:val="14"/>
              </w:rPr>
            </w:pPr>
          </w:p>
        </w:tc>
        <w:tc>
          <w:tcPr>
            <w:tcW w:w="709" w:type="dxa"/>
            <w:tcBorders>
              <w:top w:val="nil"/>
              <w:bottom w:val="single" w:sz="2" w:space="0" w:color="1F3864" w:themeColor="accent1" w:themeShade="80"/>
            </w:tcBorders>
            <w:shd w:val="clear" w:color="auto" w:fill="auto"/>
            <w:vAlign w:val="center"/>
          </w:tcPr>
          <w:p w14:paraId="2B9D1821" w14:textId="77777777" w:rsidR="009D25B5" w:rsidRPr="00557CCF"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57CCF">
              <w:rPr>
                <w:b/>
                <w:szCs w:val="14"/>
              </w:rPr>
              <w:t>Note</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44B381F4" w14:textId="77777777" w:rsidR="009D25B5" w:rsidRPr="002965BB" w:rsidRDefault="009D25B5">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965BB">
              <w:rPr>
                <w:rFonts w:ascii="Arial" w:hAnsi="Arial" w:cs="Arial"/>
                <w:b/>
                <w:sz w:val="14"/>
                <w:szCs w:val="14"/>
              </w:rPr>
              <w:t>2024</w:t>
            </w:r>
          </w:p>
        </w:tc>
        <w:tc>
          <w:tcPr>
            <w:tcW w:w="1560" w:type="dxa"/>
            <w:tcBorders>
              <w:top w:val="single" w:sz="2" w:space="0" w:color="1F3864" w:themeColor="accent1" w:themeShade="80"/>
              <w:bottom w:val="single" w:sz="2" w:space="0" w:color="1F3864" w:themeColor="accent1" w:themeShade="80"/>
            </w:tcBorders>
            <w:shd w:val="clear" w:color="auto" w:fill="auto"/>
            <w:vAlign w:val="center"/>
          </w:tcPr>
          <w:p w14:paraId="358D50EC" w14:textId="77777777" w:rsidR="009D25B5" w:rsidRPr="002965BB" w:rsidRDefault="009D25B5">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965BB">
              <w:rPr>
                <w:rFonts w:ascii="Arial" w:hAnsi="Arial" w:cs="Arial"/>
                <w:b/>
                <w:sz w:val="14"/>
                <w:szCs w:val="14"/>
              </w:rPr>
              <w:t>2023</w:t>
            </w:r>
          </w:p>
        </w:tc>
        <w:tc>
          <w:tcPr>
            <w:tcW w:w="280" w:type="dxa"/>
            <w:tcBorders>
              <w:top w:val="nil"/>
              <w:bottom w:val="single" w:sz="2" w:space="0" w:color="1F3864" w:themeColor="accent1" w:themeShade="80"/>
            </w:tcBorders>
            <w:shd w:val="clear" w:color="auto" w:fill="auto"/>
            <w:vAlign w:val="center"/>
          </w:tcPr>
          <w:p w14:paraId="09663B10" w14:textId="77777777" w:rsidR="009D25B5" w:rsidRPr="009D34C6"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p>
        </w:tc>
        <w:tc>
          <w:tcPr>
            <w:tcW w:w="1562" w:type="dxa"/>
            <w:tcBorders>
              <w:top w:val="single" w:sz="2" w:space="0" w:color="1F3864" w:themeColor="accent1" w:themeShade="80"/>
              <w:bottom w:val="single" w:sz="2" w:space="0" w:color="1F3864" w:themeColor="accent1" w:themeShade="80"/>
            </w:tcBorders>
            <w:shd w:val="clear" w:color="auto" w:fill="auto"/>
            <w:vAlign w:val="center"/>
          </w:tcPr>
          <w:p w14:paraId="31F499AC" w14:textId="77777777" w:rsidR="009D25B5" w:rsidRPr="002965BB" w:rsidRDefault="009D25B5">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highlight w:val="yellow"/>
              </w:rPr>
            </w:pPr>
            <w:r w:rsidRPr="002965BB">
              <w:rPr>
                <w:rFonts w:ascii="Arial" w:hAnsi="Arial" w:cs="Arial"/>
                <w:b/>
                <w:sz w:val="14"/>
                <w:szCs w:val="14"/>
              </w:rPr>
              <w:t>2024</w:t>
            </w:r>
          </w:p>
        </w:tc>
        <w:tc>
          <w:tcPr>
            <w:tcW w:w="1560" w:type="dxa"/>
            <w:tcBorders>
              <w:top w:val="single" w:sz="2" w:space="0" w:color="1F3864" w:themeColor="accent1" w:themeShade="80"/>
              <w:bottom w:val="single" w:sz="2" w:space="0" w:color="1F3864" w:themeColor="accent1" w:themeShade="80"/>
            </w:tcBorders>
            <w:shd w:val="clear" w:color="auto" w:fill="auto"/>
            <w:vAlign w:val="center"/>
          </w:tcPr>
          <w:p w14:paraId="0FB8328E" w14:textId="77777777" w:rsidR="009D25B5" w:rsidRPr="002965BB" w:rsidRDefault="009D25B5">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2965BB">
              <w:rPr>
                <w:rFonts w:ascii="Arial" w:hAnsi="Arial" w:cs="Arial"/>
                <w:b/>
                <w:sz w:val="14"/>
                <w:szCs w:val="14"/>
              </w:rPr>
              <w:t>2023</w:t>
            </w:r>
          </w:p>
        </w:tc>
      </w:tr>
      <w:tr w:rsidR="009D25B5" w:rsidRPr="002965BB" w14:paraId="5D0AA74C" w14:textId="77777777" w:rsidTr="00F8407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auto"/>
            <w:vAlign w:val="center"/>
          </w:tcPr>
          <w:p w14:paraId="24946417" w14:textId="77777777" w:rsidR="009D25B5" w:rsidRPr="00557CCF" w:rsidRDefault="009D25B5">
            <w:pPr>
              <w:pStyle w:val="08-Tabelageral"/>
              <w:jc w:val="left"/>
              <w:rPr>
                <w:szCs w:val="14"/>
              </w:rPr>
            </w:pPr>
            <w:r w:rsidRPr="00557CCF">
              <w:rPr>
                <w:szCs w:val="14"/>
              </w:rPr>
              <w:t>Income</w:t>
            </w:r>
          </w:p>
        </w:tc>
        <w:tc>
          <w:tcPr>
            <w:tcW w:w="709" w:type="dxa"/>
            <w:tcBorders>
              <w:top w:val="single" w:sz="2" w:space="0" w:color="1F3864" w:themeColor="accent1" w:themeShade="80"/>
              <w:bottom w:val="nil"/>
            </w:tcBorders>
            <w:shd w:val="clear" w:color="auto" w:fill="auto"/>
            <w:vAlign w:val="center"/>
          </w:tcPr>
          <w:p w14:paraId="6BD086B7"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single" w:sz="2" w:space="0" w:color="1F3864" w:themeColor="accent1" w:themeShade="80"/>
              <w:left w:val="nil"/>
              <w:bottom w:val="nil"/>
              <w:right w:val="nil"/>
            </w:tcBorders>
            <w:shd w:val="clear" w:color="auto" w:fill="FFFFFF" w:themeFill="background1"/>
            <w:vAlign w:val="center"/>
          </w:tcPr>
          <w:p w14:paraId="39CD1BCF"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3,888</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0CB09B76"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6,237</w:t>
            </w:r>
          </w:p>
        </w:tc>
        <w:tc>
          <w:tcPr>
            <w:tcW w:w="280" w:type="dxa"/>
            <w:tcBorders>
              <w:top w:val="single" w:sz="2" w:space="0" w:color="1F3864" w:themeColor="accent1" w:themeShade="80"/>
              <w:bottom w:val="nil"/>
            </w:tcBorders>
            <w:shd w:val="clear" w:color="auto" w:fill="FFFFFF" w:themeFill="background1"/>
            <w:vAlign w:val="bottom"/>
          </w:tcPr>
          <w:p w14:paraId="6E48A760"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single" w:sz="2" w:space="0" w:color="1F3864" w:themeColor="accent1" w:themeShade="80"/>
              <w:left w:val="nil"/>
              <w:bottom w:val="nil"/>
              <w:right w:val="nil"/>
            </w:tcBorders>
            <w:shd w:val="clear" w:color="auto" w:fill="FFFFFF" w:themeFill="background1"/>
            <w:vAlign w:val="bottom"/>
          </w:tcPr>
          <w:p w14:paraId="7449FFD7"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5,526,069</w:t>
            </w:r>
          </w:p>
        </w:tc>
        <w:tc>
          <w:tcPr>
            <w:tcW w:w="1560" w:type="dxa"/>
            <w:tcBorders>
              <w:top w:val="single" w:sz="2" w:space="0" w:color="1F3864" w:themeColor="accent1" w:themeShade="80"/>
              <w:left w:val="nil"/>
              <w:bottom w:val="nil"/>
              <w:right w:val="nil"/>
            </w:tcBorders>
            <w:shd w:val="clear" w:color="auto" w:fill="FFFFFF" w:themeFill="background1"/>
            <w:vAlign w:val="bottom"/>
          </w:tcPr>
          <w:p w14:paraId="55E8BF95"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5,017,914</w:t>
            </w:r>
          </w:p>
        </w:tc>
      </w:tr>
      <w:tr w:rsidR="009D25B5" w:rsidRPr="002965BB" w14:paraId="6EC2F30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7CC0E539" w14:textId="77777777" w:rsidR="009D25B5" w:rsidRPr="00557CCF" w:rsidRDefault="009D25B5">
            <w:pPr>
              <w:pStyle w:val="08-Tabelageral"/>
              <w:ind w:left="113"/>
              <w:jc w:val="left"/>
              <w:rPr>
                <w:b w:val="0"/>
                <w:szCs w:val="14"/>
              </w:rPr>
            </w:pPr>
            <w:proofErr w:type="spellStart"/>
            <w:r w:rsidRPr="00557CCF">
              <w:rPr>
                <w:b w:val="0"/>
                <w:szCs w:val="14"/>
              </w:rPr>
              <w:t>Commissions</w:t>
            </w:r>
            <w:proofErr w:type="spellEnd"/>
            <w:r w:rsidRPr="00557CCF">
              <w:rPr>
                <w:b w:val="0"/>
                <w:szCs w:val="14"/>
              </w:rPr>
              <w:t xml:space="preserve"> income</w:t>
            </w:r>
          </w:p>
        </w:tc>
        <w:tc>
          <w:tcPr>
            <w:tcW w:w="709" w:type="dxa"/>
            <w:tcBorders>
              <w:top w:val="nil"/>
              <w:bottom w:val="nil"/>
            </w:tcBorders>
            <w:shd w:val="clear" w:color="auto" w:fill="auto"/>
            <w:vAlign w:val="center"/>
          </w:tcPr>
          <w:p w14:paraId="0F26BB03" w14:textId="77777777" w:rsidR="009D25B5" w:rsidRPr="00557CCF" w:rsidRDefault="009D25B5">
            <w:pPr>
              <w:pStyle w:val="08-Tabelageral"/>
              <w:ind w:left="112"/>
              <w:jc w:val="center"/>
              <w:cnfStyle w:val="000000100000" w:firstRow="0" w:lastRow="0" w:firstColumn="0" w:lastColumn="0" w:oddVBand="0" w:evenVBand="0" w:oddHBand="1" w:evenHBand="0" w:firstRowFirstColumn="0" w:firstRowLastColumn="0" w:lastRowFirstColumn="0" w:lastRowLastColumn="0"/>
              <w:rPr>
                <w:szCs w:val="14"/>
              </w:rPr>
            </w:pPr>
            <w:r w:rsidRPr="00557CCF">
              <w:rPr>
                <w:szCs w:val="14"/>
              </w:rPr>
              <w:t>[8]</w:t>
            </w:r>
          </w:p>
        </w:tc>
        <w:tc>
          <w:tcPr>
            <w:tcW w:w="1559" w:type="dxa"/>
            <w:tcBorders>
              <w:top w:val="nil"/>
              <w:left w:val="nil"/>
              <w:bottom w:val="nil"/>
              <w:right w:val="nil"/>
            </w:tcBorders>
            <w:vAlign w:val="center"/>
          </w:tcPr>
          <w:p w14:paraId="5BE12CF1"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560" w:type="dxa"/>
            <w:tcBorders>
              <w:top w:val="nil"/>
              <w:left w:val="nil"/>
              <w:bottom w:val="nil"/>
              <w:right w:val="nil"/>
            </w:tcBorders>
            <w:vAlign w:val="bottom"/>
          </w:tcPr>
          <w:p w14:paraId="688604FF"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280" w:type="dxa"/>
            <w:tcBorders>
              <w:top w:val="nil"/>
              <w:bottom w:val="nil"/>
            </w:tcBorders>
            <w:vAlign w:val="bottom"/>
          </w:tcPr>
          <w:p w14:paraId="787A969B"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bottom"/>
          </w:tcPr>
          <w:p w14:paraId="11F0AEB3"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5,505,722</w:t>
            </w:r>
          </w:p>
        </w:tc>
        <w:tc>
          <w:tcPr>
            <w:tcW w:w="1560" w:type="dxa"/>
            <w:tcBorders>
              <w:top w:val="nil"/>
              <w:left w:val="nil"/>
              <w:bottom w:val="nil"/>
              <w:right w:val="nil"/>
            </w:tcBorders>
            <w:vAlign w:val="bottom"/>
          </w:tcPr>
          <w:p w14:paraId="596ABC34"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5,001,687</w:t>
            </w:r>
          </w:p>
        </w:tc>
      </w:tr>
      <w:tr w:rsidR="009D25B5" w:rsidRPr="002965BB" w14:paraId="561C65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47F32399" w14:textId="77777777" w:rsidR="009D25B5" w:rsidRPr="00557CCF" w:rsidRDefault="009D25B5">
            <w:pPr>
              <w:pStyle w:val="08-Tabelageral"/>
              <w:ind w:left="113"/>
              <w:jc w:val="left"/>
              <w:rPr>
                <w:b w:val="0"/>
                <w:szCs w:val="14"/>
              </w:rPr>
            </w:pPr>
            <w:r w:rsidRPr="00557CCF">
              <w:rPr>
                <w:b w:val="0"/>
                <w:szCs w:val="14"/>
              </w:rPr>
              <w:t>Other income</w:t>
            </w:r>
          </w:p>
        </w:tc>
        <w:tc>
          <w:tcPr>
            <w:tcW w:w="709" w:type="dxa"/>
            <w:tcBorders>
              <w:top w:val="nil"/>
              <w:bottom w:val="nil"/>
            </w:tcBorders>
            <w:shd w:val="clear" w:color="auto" w:fill="auto"/>
            <w:vAlign w:val="center"/>
          </w:tcPr>
          <w:p w14:paraId="55A97162"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szCs w:val="14"/>
              </w:rPr>
            </w:pPr>
          </w:p>
        </w:tc>
        <w:tc>
          <w:tcPr>
            <w:tcW w:w="1559" w:type="dxa"/>
            <w:tcBorders>
              <w:top w:val="nil"/>
              <w:left w:val="nil"/>
              <w:bottom w:val="nil"/>
              <w:right w:val="nil"/>
            </w:tcBorders>
            <w:shd w:val="clear" w:color="auto" w:fill="FFFFFF" w:themeFill="background1"/>
            <w:vAlign w:val="center"/>
          </w:tcPr>
          <w:p w14:paraId="606F9D68" w14:textId="77777777" w:rsidR="009D25B5" w:rsidRPr="001C7112"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3,888</w:t>
            </w:r>
          </w:p>
        </w:tc>
        <w:tc>
          <w:tcPr>
            <w:tcW w:w="1560" w:type="dxa"/>
            <w:tcBorders>
              <w:top w:val="nil"/>
              <w:left w:val="nil"/>
              <w:bottom w:val="nil"/>
              <w:right w:val="nil"/>
            </w:tcBorders>
            <w:shd w:val="clear" w:color="auto" w:fill="FFFFFF" w:themeFill="background1"/>
            <w:vAlign w:val="bottom"/>
          </w:tcPr>
          <w:p w14:paraId="34F692B2"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6,237</w:t>
            </w:r>
          </w:p>
        </w:tc>
        <w:tc>
          <w:tcPr>
            <w:tcW w:w="280" w:type="dxa"/>
            <w:tcBorders>
              <w:top w:val="nil"/>
              <w:bottom w:val="nil"/>
            </w:tcBorders>
            <w:shd w:val="clear" w:color="auto" w:fill="FFFFFF" w:themeFill="background1"/>
            <w:vAlign w:val="bottom"/>
          </w:tcPr>
          <w:p w14:paraId="7266906D" w14:textId="77777777" w:rsidR="009D25B5" w:rsidRPr="001C7112"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63BF96AA" w14:textId="77777777" w:rsidR="009D25B5" w:rsidRPr="001C7112"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20,347</w:t>
            </w:r>
          </w:p>
        </w:tc>
        <w:tc>
          <w:tcPr>
            <w:tcW w:w="1560" w:type="dxa"/>
            <w:tcBorders>
              <w:top w:val="nil"/>
              <w:left w:val="nil"/>
              <w:bottom w:val="nil"/>
              <w:right w:val="nil"/>
            </w:tcBorders>
            <w:shd w:val="clear" w:color="auto" w:fill="FFFFFF" w:themeFill="background1"/>
            <w:vAlign w:val="bottom"/>
          </w:tcPr>
          <w:p w14:paraId="4803D558"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16,227</w:t>
            </w:r>
          </w:p>
        </w:tc>
      </w:tr>
      <w:tr w:rsidR="009D25B5" w:rsidRPr="002965BB" w14:paraId="62AF742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bottom"/>
          </w:tcPr>
          <w:p w14:paraId="1A79C18A" w14:textId="77777777" w:rsidR="009D25B5" w:rsidRPr="00557CCF" w:rsidRDefault="009D25B5">
            <w:pPr>
              <w:pStyle w:val="08-Tabelageral"/>
              <w:ind w:left="113"/>
              <w:jc w:val="left"/>
              <w:rPr>
                <w:b w:val="0"/>
                <w:szCs w:val="14"/>
              </w:rPr>
            </w:pPr>
          </w:p>
        </w:tc>
        <w:tc>
          <w:tcPr>
            <w:tcW w:w="709" w:type="dxa"/>
            <w:tcBorders>
              <w:top w:val="nil"/>
              <w:bottom w:val="nil"/>
            </w:tcBorders>
            <w:shd w:val="clear" w:color="auto" w:fill="auto"/>
            <w:vAlign w:val="center"/>
          </w:tcPr>
          <w:p w14:paraId="4C0285BA" w14:textId="77777777" w:rsidR="009D25B5" w:rsidRPr="00557CCF" w:rsidRDefault="009D25B5">
            <w:pPr>
              <w:pStyle w:val="08-Tabelageral"/>
              <w:jc w:val="center"/>
              <w:cnfStyle w:val="000000100000" w:firstRow="0" w:lastRow="0" w:firstColumn="0" w:lastColumn="0" w:oddVBand="0" w:evenVBand="0" w:oddHBand="1" w:evenHBand="0" w:firstRowFirstColumn="0" w:firstRowLastColumn="0" w:lastRowFirstColumn="0" w:lastRowLastColumn="0"/>
              <w:rPr>
                <w:szCs w:val="14"/>
              </w:rPr>
            </w:pPr>
          </w:p>
        </w:tc>
        <w:tc>
          <w:tcPr>
            <w:tcW w:w="1559" w:type="dxa"/>
            <w:tcBorders>
              <w:top w:val="nil"/>
              <w:left w:val="nil"/>
              <w:bottom w:val="nil"/>
              <w:right w:val="nil"/>
            </w:tcBorders>
            <w:vAlign w:val="center"/>
          </w:tcPr>
          <w:p w14:paraId="17D10C0F" w14:textId="77777777" w:rsidR="009D25B5" w:rsidRPr="001C7112"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49C86CF9"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0" w:type="dxa"/>
            <w:tcBorders>
              <w:top w:val="nil"/>
              <w:bottom w:val="nil"/>
            </w:tcBorders>
            <w:vAlign w:val="bottom"/>
          </w:tcPr>
          <w:p w14:paraId="290957E9" w14:textId="77777777" w:rsidR="009D25B5" w:rsidRPr="001C7112"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bottom"/>
          </w:tcPr>
          <w:p w14:paraId="667E5C1C" w14:textId="77777777" w:rsidR="009D25B5" w:rsidRPr="001C7112"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bottom"/>
          </w:tcPr>
          <w:p w14:paraId="18A08F8B"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r>
      <w:tr w:rsidR="009D25B5" w:rsidRPr="002965BB" w14:paraId="030DA0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007DFE7" w14:textId="77777777" w:rsidR="009D25B5" w:rsidRPr="00557CCF" w:rsidRDefault="009D25B5">
            <w:pPr>
              <w:pStyle w:val="08-Tabelageral"/>
              <w:jc w:val="left"/>
              <w:rPr>
                <w:szCs w:val="14"/>
                <w:lang w:val="en-US"/>
              </w:rPr>
            </w:pPr>
            <w:r w:rsidRPr="00557CCF">
              <w:rPr>
                <w:szCs w:val="14"/>
                <w:lang w:val="en-US"/>
              </w:rPr>
              <w:t>Input Acquired from Third Parties</w:t>
            </w:r>
          </w:p>
        </w:tc>
        <w:tc>
          <w:tcPr>
            <w:tcW w:w="709" w:type="dxa"/>
            <w:tcBorders>
              <w:top w:val="nil"/>
              <w:bottom w:val="nil"/>
            </w:tcBorders>
            <w:shd w:val="clear" w:color="auto" w:fill="auto"/>
            <w:vAlign w:val="center"/>
          </w:tcPr>
          <w:p w14:paraId="49254B54"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b/>
                <w:szCs w:val="14"/>
                <w:lang w:val="en-US"/>
              </w:rPr>
            </w:pPr>
          </w:p>
        </w:tc>
        <w:tc>
          <w:tcPr>
            <w:tcW w:w="1559" w:type="dxa"/>
            <w:tcBorders>
              <w:top w:val="nil"/>
              <w:left w:val="nil"/>
              <w:bottom w:val="nil"/>
              <w:right w:val="nil"/>
            </w:tcBorders>
            <w:shd w:val="clear" w:color="auto" w:fill="FFFFFF" w:themeFill="background1"/>
            <w:vAlign w:val="center"/>
          </w:tcPr>
          <w:p w14:paraId="36C7A804"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(5,613)</w:t>
            </w:r>
          </w:p>
        </w:tc>
        <w:tc>
          <w:tcPr>
            <w:tcW w:w="1560" w:type="dxa"/>
            <w:tcBorders>
              <w:top w:val="nil"/>
              <w:left w:val="nil"/>
              <w:bottom w:val="nil"/>
              <w:right w:val="nil"/>
            </w:tcBorders>
            <w:shd w:val="clear" w:color="auto" w:fill="FFFFFF" w:themeFill="background1"/>
            <w:vAlign w:val="bottom"/>
          </w:tcPr>
          <w:p w14:paraId="2485620B"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(3,586)</w:t>
            </w:r>
          </w:p>
        </w:tc>
        <w:tc>
          <w:tcPr>
            <w:tcW w:w="280" w:type="dxa"/>
            <w:tcBorders>
              <w:top w:val="nil"/>
              <w:bottom w:val="nil"/>
            </w:tcBorders>
            <w:shd w:val="clear" w:color="auto" w:fill="FFFFFF" w:themeFill="background1"/>
            <w:vAlign w:val="bottom"/>
          </w:tcPr>
          <w:p w14:paraId="2C0F0981"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57EC549B"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(314,062)</w:t>
            </w:r>
          </w:p>
        </w:tc>
        <w:tc>
          <w:tcPr>
            <w:tcW w:w="1560" w:type="dxa"/>
            <w:tcBorders>
              <w:top w:val="nil"/>
              <w:left w:val="nil"/>
              <w:bottom w:val="nil"/>
              <w:right w:val="nil"/>
            </w:tcBorders>
            <w:shd w:val="clear" w:color="auto" w:fill="FFFFFF" w:themeFill="background1"/>
            <w:vAlign w:val="bottom"/>
          </w:tcPr>
          <w:p w14:paraId="2076A7BC"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(298,950)</w:t>
            </w:r>
          </w:p>
        </w:tc>
      </w:tr>
      <w:tr w:rsidR="009D25B5" w:rsidRPr="002965BB" w14:paraId="10F93D2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CD619F8" w14:textId="77777777" w:rsidR="009D25B5" w:rsidRPr="00557CCF" w:rsidRDefault="009D25B5">
            <w:pPr>
              <w:pStyle w:val="08-Tabelageral"/>
              <w:ind w:left="113"/>
              <w:jc w:val="left"/>
              <w:rPr>
                <w:b w:val="0"/>
                <w:szCs w:val="14"/>
              </w:rPr>
            </w:pPr>
            <w:proofErr w:type="spellStart"/>
            <w:r w:rsidRPr="00557CCF">
              <w:rPr>
                <w:b w:val="0"/>
                <w:szCs w:val="14"/>
              </w:rPr>
              <w:t>Administrative</w:t>
            </w:r>
            <w:proofErr w:type="spellEnd"/>
            <w:r w:rsidRPr="00557CCF">
              <w:rPr>
                <w:b w:val="0"/>
                <w:szCs w:val="14"/>
              </w:rPr>
              <w:t xml:space="preserve"> </w:t>
            </w:r>
            <w:proofErr w:type="spellStart"/>
            <w:r w:rsidRPr="00557CCF">
              <w:rPr>
                <w:b w:val="0"/>
                <w:szCs w:val="14"/>
              </w:rPr>
              <w:t>expenses</w:t>
            </w:r>
            <w:proofErr w:type="spellEnd"/>
            <w:r w:rsidRPr="00557CCF">
              <w:rPr>
                <w:b w:val="0"/>
                <w:szCs w:val="14"/>
              </w:rPr>
              <w:t xml:space="preserve"> </w:t>
            </w:r>
            <w:proofErr w:type="spellStart"/>
            <w:r w:rsidRPr="00557CCF">
              <w:rPr>
                <w:b w:val="0"/>
                <w:szCs w:val="14"/>
              </w:rPr>
              <w:t>diverse</w:t>
            </w:r>
            <w:proofErr w:type="spellEnd"/>
          </w:p>
        </w:tc>
        <w:tc>
          <w:tcPr>
            <w:tcW w:w="709" w:type="dxa"/>
            <w:tcBorders>
              <w:top w:val="nil"/>
              <w:bottom w:val="nil"/>
            </w:tcBorders>
            <w:shd w:val="clear" w:color="auto" w:fill="auto"/>
            <w:vAlign w:val="center"/>
          </w:tcPr>
          <w:p w14:paraId="7CAF0E84"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szCs w:val="14"/>
              </w:rPr>
            </w:pPr>
          </w:p>
        </w:tc>
        <w:tc>
          <w:tcPr>
            <w:tcW w:w="1559" w:type="dxa"/>
            <w:tcBorders>
              <w:top w:val="nil"/>
              <w:left w:val="nil"/>
              <w:bottom w:val="nil"/>
              <w:right w:val="nil"/>
            </w:tcBorders>
            <w:vAlign w:val="center"/>
          </w:tcPr>
          <w:p w14:paraId="62CCE379"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(3,220)</w:t>
            </w:r>
          </w:p>
        </w:tc>
        <w:tc>
          <w:tcPr>
            <w:tcW w:w="1560" w:type="dxa"/>
            <w:tcBorders>
              <w:top w:val="nil"/>
              <w:left w:val="nil"/>
              <w:bottom w:val="nil"/>
              <w:right w:val="nil"/>
            </w:tcBorders>
            <w:vAlign w:val="bottom"/>
          </w:tcPr>
          <w:p w14:paraId="693F8D2B"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(2,914)</w:t>
            </w:r>
          </w:p>
        </w:tc>
        <w:tc>
          <w:tcPr>
            <w:tcW w:w="280" w:type="dxa"/>
            <w:tcBorders>
              <w:top w:val="nil"/>
              <w:bottom w:val="nil"/>
            </w:tcBorders>
            <w:vAlign w:val="bottom"/>
          </w:tcPr>
          <w:p w14:paraId="4617A042"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bottom"/>
          </w:tcPr>
          <w:p w14:paraId="136BE490"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(103,770)</w:t>
            </w:r>
          </w:p>
        </w:tc>
        <w:tc>
          <w:tcPr>
            <w:tcW w:w="1560" w:type="dxa"/>
            <w:tcBorders>
              <w:top w:val="nil"/>
              <w:left w:val="nil"/>
              <w:bottom w:val="nil"/>
              <w:right w:val="nil"/>
            </w:tcBorders>
            <w:vAlign w:val="bottom"/>
          </w:tcPr>
          <w:p w14:paraId="2D2C20F6"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(85,294)</w:t>
            </w:r>
          </w:p>
        </w:tc>
      </w:tr>
      <w:tr w:rsidR="009D25B5" w:rsidRPr="002965BB" w14:paraId="1A94018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4AB0AEE" w14:textId="77777777" w:rsidR="009D25B5" w:rsidRPr="00557CCF" w:rsidRDefault="009D25B5">
            <w:pPr>
              <w:pStyle w:val="08-Tabelageral"/>
              <w:ind w:left="113"/>
              <w:jc w:val="left"/>
              <w:rPr>
                <w:b w:val="0"/>
                <w:szCs w:val="14"/>
              </w:rPr>
            </w:pPr>
            <w:proofErr w:type="spellStart"/>
            <w:r w:rsidRPr="00557CCF">
              <w:rPr>
                <w:b w:val="0"/>
                <w:szCs w:val="14"/>
              </w:rPr>
              <w:t>Cost</w:t>
            </w:r>
            <w:proofErr w:type="spellEnd"/>
            <w:r w:rsidRPr="00557CCF">
              <w:rPr>
                <w:b w:val="0"/>
                <w:szCs w:val="14"/>
              </w:rPr>
              <w:t xml:space="preserve"> </w:t>
            </w:r>
            <w:proofErr w:type="spellStart"/>
            <w:r w:rsidRPr="00557CCF">
              <w:rPr>
                <w:b w:val="0"/>
                <w:szCs w:val="14"/>
              </w:rPr>
              <w:t>of</w:t>
            </w:r>
            <w:proofErr w:type="spellEnd"/>
            <w:r w:rsidRPr="00557CCF">
              <w:rPr>
                <w:b w:val="0"/>
                <w:szCs w:val="14"/>
              </w:rPr>
              <w:t xml:space="preserve"> </w:t>
            </w:r>
            <w:proofErr w:type="spellStart"/>
            <w:r w:rsidRPr="00557CCF">
              <w:rPr>
                <w:b w:val="0"/>
                <w:szCs w:val="14"/>
              </w:rPr>
              <w:t>services</w:t>
            </w:r>
            <w:proofErr w:type="spellEnd"/>
            <w:r w:rsidRPr="00557CCF">
              <w:rPr>
                <w:b w:val="0"/>
                <w:szCs w:val="14"/>
              </w:rPr>
              <w:t xml:space="preserve"> </w:t>
            </w:r>
            <w:proofErr w:type="spellStart"/>
            <w:r w:rsidRPr="00557CCF">
              <w:rPr>
                <w:b w:val="0"/>
                <w:szCs w:val="14"/>
              </w:rPr>
              <w:t>provided</w:t>
            </w:r>
            <w:proofErr w:type="spellEnd"/>
          </w:p>
        </w:tc>
        <w:tc>
          <w:tcPr>
            <w:tcW w:w="709" w:type="dxa"/>
            <w:tcBorders>
              <w:top w:val="nil"/>
              <w:bottom w:val="nil"/>
            </w:tcBorders>
            <w:shd w:val="clear" w:color="auto" w:fill="auto"/>
            <w:vAlign w:val="center"/>
          </w:tcPr>
          <w:p w14:paraId="70CF3489"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szCs w:val="14"/>
              </w:rPr>
            </w:pPr>
            <w:r w:rsidRPr="00557CCF">
              <w:rPr>
                <w:szCs w:val="14"/>
              </w:rPr>
              <w:t>[9]</w:t>
            </w:r>
          </w:p>
        </w:tc>
        <w:tc>
          <w:tcPr>
            <w:tcW w:w="1559" w:type="dxa"/>
            <w:tcBorders>
              <w:top w:val="nil"/>
              <w:left w:val="nil"/>
              <w:bottom w:val="nil"/>
              <w:right w:val="nil"/>
            </w:tcBorders>
            <w:shd w:val="clear" w:color="auto" w:fill="FFFFFF" w:themeFill="background1"/>
            <w:vAlign w:val="center"/>
          </w:tcPr>
          <w:p w14:paraId="581F5112"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560" w:type="dxa"/>
            <w:tcBorders>
              <w:top w:val="nil"/>
              <w:left w:val="nil"/>
              <w:bottom w:val="nil"/>
              <w:right w:val="nil"/>
            </w:tcBorders>
            <w:shd w:val="clear" w:color="auto" w:fill="FFFFFF" w:themeFill="background1"/>
            <w:vAlign w:val="bottom"/>
          </w:tcPr>
          <w:p w14:paraId="44760F8F"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80" w:type="dxa"/>
            <w:tcBorders>
              <w:top w:val="nil"/>
              <w:bottom w:val="nil"/>
            </w:tcBorders>
            <w:shd w:val="clear" w:color="auto" w:fill="FFFFFF" w:themeFill="background1"/>
            <w:vAlign w:val="bottom"/>
          </w:tcPr>
          <w:p w14:paraId="003FA9A2"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255B66AC"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(172,198)</w:t>
            </w:r>
          </w:p>
        </w:tc>
        <w:tc>
          <w:tcPr>
            <w:tcW w:w="1560" w:type="dxa"/>
            <w:tcBorders>
              <w:top w:val="nil"/>
              <w:left w:val="nil"/>
              <w:bottom w:val="nil"/>
              <w:right w:val="nil"/>
            </w:tcBorders>
            <w:shd w:val="clear" w:color="auto" w:fill="FFFFFF" w:themeFill="background1"/>
            <w:vAlign w:val="bottom"/>
          </w:tcPr>
          <w:p w14:paraId="3E7E9E84"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(188,792)</w:t>
            </w:r>
          </w:p>
        </w:tc>
      </w:tr>
      <w:tr w:rsidR="009D25B5" w:rsidRPr="002965BB" w14:paraId="57CE8C1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B0A5348" w14:textId="77777777" w:rsidR="009D25B5" w:rsidRPr="00557CCF" w:rsidRDefault="009D25B5">
            <w:pPr>
              <w:pStyle w:val="08-Tabelageral"/>
              <w:ind w:left="113"/>
              <w:jc w:val="left"/>
              <w:rPr>
                <w:b w:val="0"/>
                <w:szCs w:val="14"/>
              </w:rPr>
            </w:pPr>
            <w:r w:rsidRPr="00557CCF">
              <w:rPr>
                <w:b w:val="0"/>
                <w:szCs w:val="14"/>
              </w:rPr>
              <w:t xml:space="preserve">Other </w:t>
            </w:r>
            <w:proofErr w:type="spellStart"/>
            <w:r w:rsidRPr="00557CCF">
              <w:rPr>
                <w:b w:val="0"/>
                <w:szCs w:val="14"/>
              </w:rPr>
              <w:t>expenses</w:t>
            </w:r>
            <w:proofErr w:type="spellEnd"/>
          </w:p>
        </w:tc>
        <w:tc>
          <w:tcPr>
            <w:tcW w:w="709" w:type="dxa"/>
            <w:tcBorders>
              <w:top w:val="nil"/>
              <w:bottom w:val="nil"/>
            </w:tcBorders>
            <w:shd w:val="clear" w:color="auto" w:fill="auto"/>
            <w:vAlign w:val="center"/>
          </w:tcPr>
          <w:p w14:paraId="1629CB73"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szCs w:val="14"/>
              </w:rPr>
            </w:pPr>
          </w:p>
        </w:tc>
        <w:tc>
          <w:tcPr>
            <w:tcW w:w="1559" w:type="dxa"/>
            <w:tcBorders>
              <w:top w:val="nil"/>
              <w:left w:val="nil"/>
              <w:bottom w:val="nil"/>
              <w:right w:val="nil"/>
            </w:tcBorders>
            <w:vAlign w:val="center"/>
          </w:tcPr>
          <w:p w14:paraId="5C6EA988"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(2,393)</w:t>
            </w:r>
          </w:p>
        </w:tc>
        <w:tc>
          <w:tcPr>
            <w:tcW w:w="1560" w:type="dxa"/>
            <w:tcBorders>
              <w:top w:val="nil"/>
              <w:left w:val="nil"/>
              <w:bottom w:val="nil"/>
              <w:right w:val="nil"/>
            </w:tcBorders>
            <w:vAlign w:val="bottom"/>
          </w:tcPr>
          <w:p w14:paraId="1C6AAD6F"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(672)</w:t>
            </w:r>
          </w:p>
        </w:tc>
        <w:tc>
          <w:tcPr>
            <w:tcW w:w="280" w:type="dxa"/>
            <w:tcBorders>
              <w:top w:val="nil"/>
              <w:bottom w:val="nil"/>
            </w:tcBorders>
            <w:vAlign w:val="bottom"/>
          </w:tcPr>
          <w:p w14:paraId="438C4BCC"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bottom"/>
          </w:tcPr>
          <w:p w14:paraId="7844AE18"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(38,094)</w:t>
            </w:r>
          </w:p>
        </w:tc>
        <w:tc>
          <w:tcPr>
            <w:tcW w:w="1560" w:type="dxa"/>
            <w:tcBorders>
              <w:top w:val="nil"/>
              <w:left w:val="nil"/>
              <w:bottom w:val="nil"/>
              <w:right w:val="nil"/>
            </w:tcBorders>
            <w:vAlign w:val="bottom"/>
          </w:tcPr>
          <w:p w14:paraId="7DD7B884"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(24,864)</w:t>
            </w:r>
          </w:p>
        </w:tc>
      </w:tr>
      <w:tr w:rsidR="009D25B5" w:rsidRPr="002965BB" w14:paraId="4DD658A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9E092F0" w14:textId="77777777" w:rsidR="009D25B5" w:rsidRPr="00557CCF" w:rsidRDefault="009D25B5">
            <w:pPr>
              <w:pStyle w:val="08-Tabelageral"/>
              <w:jc w:val="left"/>
              <w:rPr>
                <w:szCs w:val="14"/>
              </w:rPr>
            </w:pPr>
            <w:r w:rsidRPr="00557CCF">
              <w:rPr>
                <w:szCs w:val="14"/>
              </w:rPr>
              <w:t> </w:t>
            </w:r>
          </w:p>
        </w:tc>
        <w:tc>
          <w:tcPr>
            <w:tcW w:w="709" w:type="dxa"/>
            <w:tcBorders>
              <w:top w:val="nil"/>
              <w:bottom w:val="nil"/>
            </w:tcBorders>
            <w:shd w:val="clear" w:color="auto" w:fill="auto"/>
            <w:vAlign w:val="center"/>
          </w:tcPr>
          <w:p w14:paraId="2771D974"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szCs w:val="14"/>
              </w:rPr>
            </w:pPr>
          </w:p>
        </w:tc>
        <w:tc>
          <w:tcPr>
            <w:tcW w:w="1559" w:type="dxa"/>
            <w:tcBorders>
              <w:top w:val="nil"/>
              <w:left w:val="nil"/>
              <w:bottom w:val="nil"/>
              <w:right w:val="nil"/>
            </w:tcBorders>
            <w:shd w:val="clear" w:color="auto" w:fill="FFFFFF" w:themeFill="background1"/>
            <w:vAlign w:val="center"/>
          </w:tcPr>
          <w:p w14:paraId="55B00FEE" w14:textId="77777777" w:rsidR="009D25B5" w:rsidRPr="00350BA7"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5E6000AA"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0" w:type="dxa"/>
            <w:tcBorders>
              <w:top w:val="nil"/>
              <w:bottom w:val="nil"/>
            </w:tcBorders>
            <w:shd w:val="clear" w:color="auto" w:fill="FFFFFF" w:themeFill="background1"/>
            <w:vAlign w:val="bottom"/>
          </w:tcPr>
          <w:p w14:paraId="2406667B" w14:textId="77777777" w:rsidR="009D25B5" w:rsidRPr="00350BA7"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bottom"/>
          </w:tcPr>
          <w:p w14:paraId="249645AA" w14:textId="77777777" w:rsidR="009D25B5" w:rsidRPr="00350BA7"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bottom"/>
          </w:tcPr>
          <w:p w14:paraId="33FB6173"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r>
      <w:tr w:rsidR="009D25B5" w:rsidRPr="002965BB" w14:paraId="3626092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3151E99" w14:textId="77777777" w:rsidR="009D25B5" w:rsidRPr="00557CCF" w:rsidRDefault="009D25B5">
            <w:pPr>
              <w:pStyle w:val="08-Tabelageral"/>
              <w:jc w:val="left"/>
              <w:rPr>
                <w:szCs w:val="14"/>
              </w:rPr>
            </w:pPr>
            <w:r w:rsidRPr="00557CCF">
              <w:rPr>
                <w:szCs w:val="14"/>
              </w:rPr>
              <w:t xml:space="preserve">Gross </w:t>
            </w:r>
            <w:proofErr w:type="spellStart"/>
            <w:r w:rsidRPr="00557CCF">
              <w:rPr>
                <w:szCs w:val="14"/>
              </w:rPr>
              <w:t>Added</w:t>
            </w:r>
            <w:proofErr w:type="spellEnd"/>
            <w:r w:rsidRPr="00557CCF">
              <w:rPr>
                <w:szCs w:val="14"/>
              </w:rPr>
              <w:t xml:space="preserve"> </w:t>
            </w:r>
            <w:proofErr w:type="spellStart"/>
            <w:r w:rsidRPr="00557CCF">
              <w:rPr>
                <w:szCs w:val="14"/>
              </w:rPr>
              <w:t>Value</w:t>
            </w:r>
            <w:proofErr w:type="spellEnd"/>
          </w:p>
        </w:tc>
        <w:tc>
          <w:tcPr>
            <w:tcW w:w="709" w:type="dxa"/>
            <w:tcBorders>
              <w:top w:val="nil"/>
              <w:bottom w:val="nil"/>
            </w:tcBorders>
            <w:shd w:val="clear" w:color="auto" w:fill="auto"/>
            <w:vAlign w:val="center"/>
          </w:tcPr>
          <w:p w14:paraId="4C439212" w14:textId="77777777" w:rsidR="009D25B5" w:rsidRPr="00557CCF" w:rsidRDefault="009D25B5">
            <w:pPr>
              <w:pStyle w:val="08-Tabelageral"/>
              <w:jc w:val="center"/>
              <w:cnfStyle w:val="000000100000" w:firstRow="0" w:lastRow="0" w:firstColumn="0" w:lastColumn="0" w:oddVBand="0" w:evenVBand="0" w:oddHBand="1" w:evenHBand="0" w:firstRowFirstColumn="0" w:firstRowLastColumn="0" w:lastRowFirstColumn="0" w:lastRowLastColumn="0"/>
              <w:rPr>
                <w:b/>
                <w:szCs w:val="14"/>
              </w:rPr>
            </w:pPr>
          </w:p>
        </w:tc>
        <w:tc>
          <w:tcPr>
            <w:tcW w:w="1559" w:type="dxa"/>
            <w:tcBorders>
              <w:top w:val="nil"/>
              <w:left w:val="nil"/>
              <w:bottom w:val="nil"/>
              <w:right w:val="nil"/>
            </w:tcBorders>
            <w:vAlign w:val="center"/>
          </w:tcPr>
          <w:p w14:paraId="5747A91C"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(1,725)</w:t>
            </w:r>
          </w:p>
        </w:tc>
        <w:tc>
          <w:tcPr>
            <w:tcW w:w="1560" w:type="dxa"/>
            <w:tcBorders>
              <w:top w:val="nil"/>
              <w:left w:val="nil"/>
              <w:bottom w:val="nil"/>
              <w:right w:val="nil"/>
            </w:tcBorders>
            <w:vAlign w:val="bottom"/>
          </w:tcPr>
          <w:p w14:paraId="732F7893"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2,651</w:t>
            </w:r>
          </w:p>
        </w:tc>
        <w:tc>
          <w:tcPr>
            <w:tcW w:w="280" w:type="dxa"/>
            <w:tcBorders>
              <w:top w:val="nil"/>
              <w:bottom w:val="nil"/>
            </w:tcBorders>
            <w:vAlign w:val="bottom"/>
          </w:tcPr>
          <w:p w14:paraId="7F31A4B2"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vAlign w:val="bottom"/>
          </w:tcPr>
          <w:p w14:paraId="2E884643"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5,212,007</w:t>
            </w:r>
          </w:p>
        </w:tc>
        <w:tc>
          <w:tcPr>
            <w:tcW w:w="1560" w:type="dxa"/>
            <w:tcBorders>
              <w:top w:val="nil"/>
              <w:left w:val="nil"/>
              <w:bottom w:val="nil"/>
              <w:right w:val="nil"/>
            </w:tcBorders>
            <w:vAlign w:val="bottom"/>
          </w:tcPr>
          <w:p w14:paraId="3CFC4D16"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4,718,964</w:t>
            </w:r>
          </w:p>
        </w:tc>
      </w:tr>
      <w:tr w:rsidR="009D25B5" w:rsidRPr="002965BB" w14:paraId="167BDEB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C3AE86C" w14:textId="77777777" w:rsidR="009D25B5" w:rsidRPr="00557CCF" w:rsidRDefault="009D25B5">
            <w:pPr>
              <w:pStyle w:val="08-Tabelageral"/>
              <w:jc w:val="left"/>
              <w:rPr>
                <w:szCs w:val="14"/>
              </w:rPr>
            </w:pPr>
            <w:r w:rsidRPr="00557CCF">
              <w:rPr>
                <w:szCs w:val="14"/>
              </w:rPr>
              <w:t> </w:t>
            </w:r>
          </w:p>
        </w:tc>
        <w:tc>
          <w:tcPr>
            <w:tcW w:w="709" w:type="dxa"/>
            <w:tcBorders>
              <w:top w:val="nil"/>
              <w:bottom w:val="nil"/>
            </w:tcBorders>
            <w:shd w:val="clear" w:color="auto" w:fill="auto"/>
            <w:vAlign w:val="center"/>
          </w:tcPr>
          <w:p w14:paraId="2AF378B6"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FFFFFF" w:themeFill="background1"/>
            <w:vAlign w:val="center"/>
          </w:tcPr>
          <w:p w14:paraId="596AB329"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6D680BF3"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280" w:type="dxa"/>
            <w:tcBorders>
              <w:top w:val="nil"/>
              <w:bottom w:val="nil"/>
            </w:tcBorders>
            <w:shd w:val="clear" w:color="auto" w:fill="FFFFFF" w:themeFill="background1"/>
            <w:vAlign w:val="bottom"/>
          </w:tcPr>
          <w:p w14:paraId="4B9F643C"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3CD52E7C"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596518F9"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r>
      <w:tr w:rsidR="009D25B5" w:rsidRPr="002965BB" w14:paraId="67E51FE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91B557E" w14:textId="77777777" w:rsidR="009D25B5" w:rsidRPr="00557CCF" w:rsidRDefault="009D25B5">
            <w:pPr>
              <w:pStyle w:val="08-Tabelageral"/>
              <w:jc w:val="left"/>
              <w:rPr>
                <w:szCs w:val="14"/>
              </w:rPr>
            </w:pPr>
            <w:proofErr w:type="spellStart"/>
            <w:r w:rsidRPr="00557CCF">
              <w:rPr>
                <w:szCs w:val="14"/>
              </w:rPr>
              <w:t>Depreciation</w:t>
            </w:r>
            <w:proofErr w:type="spellEnd"/>
            <w:r w:rsidRPr="00557CCF">
              <w:rPr>
                <w:szCs w:val="14"/>
              </w:rPr>
              <w:t xml:space="preserve"> </w:t>
            </w:r>
            <w:proofErr w:type="spellStart"/>
            <w:r w:rsidRPr="00557CCF">
              <w:rPr>
                <w:szCs w:val="14"/>
              </w:rPr>
              <w:t>and</w:t>
            </w:r>
            <w:proofErr w:type="spellEnd"/>
            <w:r w:rsidRPr="00557CCF">
              <w:rPr>
                <w:szCs w:val="14"/>
              </w:rPr>
              <w:t xml:space="preserve"> </w:t>
            </w:r>
            <w:proofErr w:type="spellStart"/>
            <w:r w:rsidRPr="00557CCF">
              <w:rPr>
                <w:szCs w:val="14"/>
              </w:rPr>
              <w:t>amortization</w:t>
            </w:r>
            <w:proofErr w:type="spellEnd"/>
          </w:p>
        </w:tc>
        <w:tc>
          <w:tcPr>
            <w:tcW w:w="709" w:type="dxa"/>
            <w:tcBorders>
              <w:top w:val="nil"/>
              <w:bottom w:val="nil"/>
            </w:tcBorders>
            <w:shd w:val="clear" w:color="auto" w:fill="auto"/>
            <w:vAlign w:val="center"/>
          </w:tcPr>
          <w:p w14:paraId="18AB7BCC"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rPr>
            </w:pPr>
            <w:r w:rsidRPr="00557CCF">
              <w:rPr>
                <w:b/>
                <w:szCs w:val="14"/>
              </w:rPr>
              <w:t>[13]</w:t>
            </w:r>
          </w:p>
        </w:tc>
        <w:tc>
          <w:tcPr>
            <w:tcW w:w="1559" w:type="dxa"/>
            <w:tcBorders>
              <w:top w:val="nil"/>
              <w:left w:val="nil"/>
              <w:bottom w:val="nil"/>
              <w:right w:val="nil"/>
            </w:tcBorders>
            <w:vAlign w:val="center"/>
          </w:tcPr>
          <w:p w14:paraId="05B8FD5B"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(162)</w:t>
            </w:r>
          </w:p>
        </w:tc>
        <w:tc>
          <w:tcPr>
            <w:tcW w:w="1560" w:type="dxa"/>
            <w:tcBorders>
              <w:top w:val="nil"/>
              <w:left w:val="nil"/>
              <w:bottom w:val="nil"/>
              <w:right w:val="nil"/>
            </w:tcBorders>
            <w:vAlign w:val="bottom"/>
          </w:tcPr>
          <w:p w14:paraId="24DC4109"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(167)</w:t>
            </w:r>
          </w:p>
        </w:tc>
        <w:tc>
          <w:tcPr>
            <w:tcW w:w="280" w:type="dxa"/>
            <w:tcBorders>
              <w:top w:val="nil"/>
              <w:bottom w:val="nil"/>
            </w:tcBorders>
            <w:vAlign w:val="bottom"/>
          </w:tcPr>
          <w:p w14:paraId="30B7B9DB"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vAlign w:val="bottom"/>
          </w:tcPr>
          <w:p w14:paraId="1361DA42"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(1,268)</w:t>
            </w:r>
          </w:p>
        </w:tc>
        <w:tc>
          <w:tcPr>
            <w:tcW w:w="1560" w:type="dxa"/>
            <w:tcBorders>
              <w:top w:val="nil"/>
              <w:left w:val="nil"/>
              <w:bottom w:val="nil"/>
              <w:right w:val="nil"/>
            </w:tcBorders>
            <w:vAlign w:val="bottom"/>
          </w:tcPr>
          <w:p w14:paraId="2BFEC555"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(1,303)</w:t>
            </w:r>
          </w:p>
        </w:tc>
      </w:tr>
      <w:tr w:rsidR="009D25B5" w:rsidRPr="002965BB" w14:paraId="4FE6A42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C069CF7" w14:textId="77777777" w:rsidR="009D25B5" w:rsidRPr="00557CCF" w:rsidRDefault="009D25B5">
            <w:pPr>
              <w:pStyle w:val="08-Tabelageral"/>
              <w:jc w:val="left"/>
              <w:rPr>
                <w:szCs w:val="14"/>
              </w:rPr>
            </w:pPr>
          </w:p>
        </w:tc>
        <w:tc>
          <w:tcPr>
            <w:tcW w:w="709" w:type="dxa"/>
            <w:tcBorders>
              <w:top w:val="nil"/>
              <w:bottom w:val="nil"/>
            </w:tcBorders>
            <w:shd w:val="clear" w:color="auto" w:fill="auto"/>
            <w:vAlign w:val="center"/>
          </w:tcPr>
          <w:p w14:paraId="04C08FB8"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FFFFFF" w:themeFill="background1"/>
            <w:vAlign w:val="center"/>
          </w:tcPr>
          <w:p w14:paraId="6A562D1B"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070D458B"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280" w:type="dxa"/>
            <w:tcBorders>
              <w:top w:val="nil"/>
              <w:bottom w:val="nil"/>
            </w:tcBorders>
            <w:shd w:val="clear" w:color="auto" w:fill="FFFFFF" w:themeFill="background1"/>
            <w:vAlign w:val="bottom"/>
          </w:tcPr>
          <w:p w14:paraId="2331AC15"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43A35927"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6C9FF77F"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r>
      <w:tr w:rsidR="009D25B5" w:rsidRPr="002965BB" w14:paraId="0956472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E34E826" w14:textId="77777777" w:rsidR="009D25B5" w:rsidRPr="00557CCF" w:rsidRDefault="009D25B5">
            <w:pPr>
              <w:pStyle w:val="08-Tabelageral"/>
              <w:jc w:val="left"/>
              <w:rPr>
                <w:szCs w:val="14"/>
                <w:lang w:val="en-US"/>
              </w:rPr>
            </w:pPr>
            <w:r w:rsidRPr="00557CCF">
              <w:rPr>
                <w:szCs w:val="14"/>
                <w:lang w:val="en-US"/>
              </w:rPr>
              <w:t>Net Added Value Generated by the Entity</w:t>
            </w:r>
          </w:p>
        </w:tc>
        <w:tc>
          <w:tcPr>
            <w:tcW w:w="709" w:type="dxa"/>
            <w:tcBorders>
              <w:top w:val="nil"/>
              <w:bottom w:val="nil"/>
            </w:tcBorders>
            <w:shd w:val="clear" w:color="auto" w:fill="auto"/>
            <w:vAlign w:val="center"/>
          </w:tcPr>
          <w:p w14:paraId="2EBAF48A" w14:textId="77777777" w:rsidR="009D25B5" w:rsidRPr="00557CCF" w:rsidRDefault="009D25B5">
            <w:pPr>
              <w:pStyle w:val="08-Tabelageral"/>
              <w:jc w:val="center"/>
              <w:cnfStyle w:val="000000100000" w:firstRow="0" w:lastRow="0" w:firstColumn="0" w:lastColumn="0" w:oddVBand="0" w:evenVBand="0" w:oddHBand="1" w:evenHBand="0" w:firstRowFirstColumn="0" w:firstRowLastColumn="0" w:lastRowFirstColumn="0" w:lastRowLastColumn="0"/>
              <w:rPr>
                <w:b/>
                <w:szCs w:val="14"/>
                <w:lang w:val="en-US"/>
              </w:rPr>
            </w:pPr>
          </w:p>
        </w:tc>
        <w:tc>
          <w:tcPr>
            <w:tcW w:w="1559" w:type="dxa"/>
            <w:tcBorders>
              <w:top w:val="nil"/>
              <w:left w:val="nil"/>
              <w:bottom w:val="nil"/>
              <w:right w:val="nil"/>
            </w:tcBorders>
            <w:vAlign w:val="center"/>
          </w:tcPr>
          <w:p w14:paraId="554419D7"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(1,887)</w:t>
            </w:r>
          </w:p>
        </w:tc>
        <w:tc>
          <w:tcPr>
            <w:tcW w:w="1560" w:type="dxa"/>
            <w:tcBorders>
              <w:top w:val="nil"/>
              <w:left w:val="nil"/>
              <w:bottom w:val="nil"/>
              <w:right w:val="nil"/>
            </w:tcBorders>
            <w:vAlign w:val="bottom"/>
          </w:tcPr>
          <w:p w14:paraId="30A0206D"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2,484</w:t>
            </w:r>
          </w:p>
        </w:tc>
        <w:tc>
          <w:tcPr>
            <w:tcW w:w="280" w:type="dxa"/>
            <w:tcBorders>
              <w:top w:val="nil"/>
              <w:bottom w:val="nil"/>
            </w:tcBorders>
            <w:vAlign w:val="bottom"/>
          </w:tcPr>
          <w:p w14:paraId="0A08CED7"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vAlign w:val="bottom"/>
          </w:tcPr>
          <w:p w14:paraId="0EF3CE66"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5,210,739</w:t>
            </w:r>
          </w:p>
        </w:tc>
        <w:tc>
          <w:tcPr>
            <w:tcW w:w="1560" w:type="dxa"/>
            <w:tcBorders>
              <w:top w:val="nil"/>
              <w:left w:val="nil"/>
              <w:bottom w:val="nil"/>
              <w:right w:val="nil"/>
            </w:tcBorders>
            <w:vAlign w:val="bottom"/>
          </w:tcPr>
          <w:p w14:paraId="3A41CCB0"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4,717,661</w:t>
            </w:r>
          </w:p>
        </w:tc>
      </w:tr>
      <w:tr w:rsidR="009D25B5" w:rsidRPr="002965BB" w14:paraId="0222940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DF4FE2F" w14:textId="77777777" w:rsidR="009D25B5" w:rsidRPr="00557CCF" w:rsidRDefault="009D25B5">
            <w:pPr>
              <w:pStyle w:val="08-Tabelageral"/>
              <w:jc w:val="left"/>
              <w:rPr>
                <w:szCs w:val="14"/>
              </w:rPr>
            </w:pPr>
            <w:r w:rsidRPr="00557CCF">
              <w:rPr>
                <w:szCs w:val="14"/>
              </w:rPr>
              <w:t> </w:t>
            </w:r>
          </w:p>
        </w:tc>
        <w:tc>
          <w:tcPr>
            <w:tcW w:w="709" w:type="dxa"/>
            <w:tcBorders>
              <w:top w:val="nil"/>
              <w:bottom w:val="nil"/>
            </w:tcBorders>
            <w:shd w:val="clear" w:color="auto" w:fill="auto"/>
            <w:vAlign w:val="center"/>
          </w:tcPr>
          <w:p w14:paraId="4AC82871"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FFFFFF" w:themeFill="background1"/>
            <w:vAlign w:val="center"/>
          </w:tcPr>
          <w:p w14:paraId="7BC448F2"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342F5A36"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280" w:type="dxa"/>
            <w:tcBorders>
              <w:top w:val="nil"/>
              <w:bottom w:val="nil"/>
            </w:tcBorders>
            <w:shd w:val="clear" w:color="auto" w:fill="FFFFFF" w:themeFill="background1"/>
            <w:vAlign w:val="bottom"/>
          </w:tcPr>
          <w:p w14:paraId="17A48B7B"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bottom"/>
          </w:tcPr>
          <w:p w14:paraId="1E87BA90"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bottom"/>
          </w:tcPr>
          <w:p w14:paraId="580CE7B9"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r>
      <w:tr w:rsidR="009D25B5" w:rsidRPr="002965BB" w14:paraId="1CF2DE7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3949E25" w14:textId="77777777" w:rsidR="009D25B5" w:rsidRPr="00557CCF" w:rsidRDefault="009D25B5">
            <w:pPr>
              <w:pStyle w:val="08-Tabelageral"/>
              <w:jc w:val="left"/>
              <w:rPr>
                <w:szCs w:val="14"/>
                <w:lang w:val="en-US"/>
              </w:rPr>
            </w:pPr>
            <w:r w:rsidRPr="00557CCF">
              <w:rPr>
                <w:szCs w:val="14"/>
                <w:lang w:val="en-US"/>
              </w:rPr>
              <w:t>Added Value Received Through Transfer</w:t>
            </w:r>
          </w:p>
        </w:tc>
        <w:tc>
          <w:tcPr>
            <w:tcW w:w="709" w:type="dxa"/>
            <w:tcBorders>
              <w:top w:val="nil"/>
              <w:bottom w:val="nil"/>
            </w:tcBorders>
            <w:shd w:val="clear" w:color="auto" w:fill="auto"/>
            <w:vAlign w:val="center"/>
          </w:tcPr>
          <w:p w14:paraId="77839242" w14:textId="77777777" w:rsidR="009D25B5" w:rsidRPr="00557CCF" w:rsidRDefault="009D25B5">
            <w:pPr>
              <w:pStyle w:val="08-Tabelageral"/>
              <w:jc w:val="center"/>
              <w:cnfStyle w:val="000000100000" w:firstRow="0" w:lastRow="0" w:firstColumn="0" w:lastColumn="0" w:oddVBand="0" w:evenVBand="0" w:oddHBand="1" w:evenHBand="0" w:firstRowFirstColumn="0" w:firstRowLastColumn="0" w:lastRowFirstColumn="0" w:lastRowLastColumn="0"/>
              <w:rPr>
                <w:b/>
                <w:szCs w:val="14"/>
                <w:lang w:val="en-US"/>
              </w:rPr>
            </w:pPr>
          </w:p>
        </w:tc>
        <w:tc>
          <w:tcPr>
            <w:tcW w:w="1559" w:type="dxa"/>
            <w:tcBorders>
              <w:top w:val="nil"/>
              <w:left w:val="nil"/>
              <w:bottom w:val="nil"/>
              <w:right w:val="nil"/>
            </w:tcBorders>
            <w:shd w:val="clear" w:color="auto" w:fill="auto"/>
            <w:vAlign w:val="center"/>
          </w:tcPr>
          <w:p w14:paraId="0D8EF43E"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8,772,858</w:t>
            </w:r>
          </w:p>
        </w:tc>
        <w:tc>
          <w:tcPr>
            <w:tcW w:w="1560" w:type="dxa"/>
            <w:tcBorders>
              <w:top w:val="nil"/>
              <w:left w:val="nil"/>
              <w:bottom w:val="nil"/>
              <w:right w:val="nil"/>
            </w:tcBorders>
            <w:shd w:val="clear" w:color="auto" w:fill="auto"/>
            <w:vAlign w:val="bottom"/>
          </w:tcPr>
          <w:p w14:paraId="403CA60C"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8,058,803</w:t>
            </w:r>
          </w:p>
        </w:tc>
        <w:tc>
          <w:tcPr>
            <w:tcW w:w="280" w:type="dxa"/>
            <w:tcBorders>
              <w:top w:val="nil"/>
              <w:left w:val="nil"/>
              <w:bottom w:val="nil"/>
              <w:right w:val="nil"/>
            </w:tcBorders>
            <w:shd w:val="clear" w:color="auto" w:fill="auto"/>
            <w:vAlign w:val="bottom"/>
          </w:tcPr>
          <w:p w14:paraId="71BAE4AF"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29E414F9"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6,008,324</w:t>
            </w:r>
          </w:p>
        </w:tc>
        <w:tc>
          <w:tcPr>
            <w:tcW w:w="1560" w:type="dxa"/>
            <w:tcBorders>
              <w:top w:val="nil"/>
              <w:left w:val="nil"/>
              <w:bottom w:val="nil"/>
              <w:right w:val="nil"/>
            </w:tcBorders>
            <w:shd w:val="clear" w:color="auto" w:fill="auto"/>
            <w:vAlign w:val="bottom"/>
          </w:tcPr>
          <w:p w14:paraId="2E0550A0"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5,561,389</w:t>
            </w:r>
          </w:p>
        </w:tc>
      </w:tr>
      <w:tr w:rsidR="009D25B5" w:rsidRPr="002965BB" w14:paraId="4A86038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C4E75D8" w14:textId="77777777" w:rsidR="009D25B5" w:rsidRPr="00557CCF" w:rsidRDefault="009D25B5">
            <w:pPr>
              <w:pStyle w:val="08-Tabelageral"/>
              <w:ind w:left="113"/>
              <w:jc w:val="left"/>
              <w:rPr>
                <w:b w:val="0"/>
                <w:szCs w:val="14"/>
                <w:lang w:val="en-US"/>
              </w:rPr>
            </w:pPr>
            <w:r w:rsidRPr="00557CCF">
              <w:rPr>
                <w:b w:val="0"/>
                <w:szCs w:val="14"/>
                <w:lang w:val="en-US"/>
              </w:rPr>
              <w:t>Equity in the earnings of associates</w:t>
            </w:r>
          </w:p>
        </w:tc>
        <w:tc>
          <w:tcPr>
            <w:tcW w:w="709" w:type="dxa"/>
            <w:tcBorders>
              <w:top w:val="nil"/>
              <w:bottom w:val="nil"/>
            </w:tcBorders>
            <w:shd w:val="clear" w:color="auto" w:fill="auto"/>
            <w:vAlign w:val="center"/>
          </w:tcPr>
          <w:p w14:paraId="590BB2CA"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szCs w:val="14"/>
              </w:rPr>
            </w:pPr>
            <w:r w:rsidRPr="00557CCF">
              <w:rPr>
                <w:szCs w:val="14"/>
              </w:rPr>
              <w:t>[7.b]</w:t>
            </w:r>
          </w:p>
        </w:tc>
        <w:tc>
          <w:tcPr>
            <w:tcW w:w="1559" w:type="dxa"/>
            <w:tcBorders>
              <w:top w:val="nil"/>
              <w:left w:val="nil"/>
              <w:bottom w:val="nil"/>
              <w:right w:val="nil"/>
            </w:tcBorders>
            <w:shd w:val="clear" w:color="auto" w:fill="auto"/>
            <w:vAlign w:val="center"/>
          </w:tcPr>
          <w:p w14:paraId="30D6C8A0"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8,683,817</w:t>
            </w:r>
          </w:p>
        </w:tc>
        <w:tc>
          <w:tcPr>
            <w:tcW w:w="1560" w:type="dxa"/>
            <w:tcBorders>
              <w:top w:val="nil"/>
              <w:left w:val="nil"/>
              <w:bottom w:val="nil"/>
              <w:right w:val="nil"/>
            </w:tcBorders>
            <w:shd w:val="clear" w:color="auto" w:fill="auto"/>
            <w:vAlign w:val="bottom"/>
          </w:tcPr>
          <w:p w14:paraId="3ADB626A"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7,925,903</w:t>
            </w:r>
          </w:p>
        </w:tc>
        <w:tc>
          <w:tcPr>
            <w:tcW w:w="280" w:type="dxa"/>
            <w:tcBorders>
              <w:top w:val="nil"/>
              <w:left w:val="nil"/>
              <w:bottom w:val="nil"/>
              <w:right w:val="nil"/>
            </w:tcBorders>
            <w:shd w:val="clear" w:color="auto" w:fill="auto"/>
            <w:vAlign w:val="bottom"/>
          </w:tcPr>
          <w:p w14:paraId="0D5B5081"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auto"/>
            <w:vAlign w:val="bottom"/>
          </w:tcPr>
          <w:p w14:paraId="032C3018"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5,311,964</w:t>
            </w:r>
          </w:p>
        </w:tc>
        <w:tc>
          <w:tcPr>
            <w:tcW w:w="1560" w:type="dxa"/>
            <w:tcBorders>
              <w:top w:val="nil"/>
              <w:left w:val="nil"/>
              <w:bottom w:val="nil"/>
              <w:right w:val="nil"/>
            </w:tcBorders>
            <w:shd w:val="clear" w:color="auto" w:fill="auto"/>
            <w:vAlign w:val="bottom"/>
          </w:tcPr>
          <w:p w14:paraId="513DCA48"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4,890,456</w:t>
            </w:r>
          </w:p>
        </w:tc>
      </w:tr>
      <w:tr w:rsidR="009D25B5" w:rsidRPr="002965BB" w14:paraId="37DD71D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2421495" w14:textId="77777777" w:rsidR="009D25B5" w:rsidRPr="00557CCF" w:rsidRDefault="009D25B5">
            <w:pPr>
              <w:pStyle w:val="08-Tabelageral"/>
              <w:ind w:left="113"/>
              <w:jc w:val="left"/>
              <w:rPr>
                <w:b w:val="0"/>
                <w:szCs w:val="14"/>
              </w:rPr>
            </w:pPr>
            <w:r w:rsidRPr="00557CCF">
              <w:rPr>
                <w:b w:val="0"/>
                <w:szCs w:val="14"/>
              </w:rPr>
              <w:t>Financial income</w:t>
            </w:r>
          </w:p>
        </w:tc>
        <w:tc>
          <w:tcPr>
            <w:tcW w:w="709" w:type="dxa"/>
            <w:tcBorders>
              <w:top w:val="nil"/>
              <w:bottom w:val="nil"/>
            </w:tcBorders>
            <w:shd w:val="clear" w:color="auto" w:fill="auto"/>
            <w:vAlign w:val="center"/>
          </w:tcPr>
          <w:p w14:paraId="0C1C56FF"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szCs w:val="14"/>
              </w:rPr>
            </w:pPr>
            <w:r w:rsidRPr="00557CCF">
              <w:rPr>
                <w:szCs w:val="14"/>
              </w:rPr>
              <w:t>[14]</w:t>
            </w:r>
          </w:p>
        </w:tc>
        <w:tc>
          <w:tcPr>
            <w:tcW w:w="1559" w:type="dxa"/>
            <w:tcBorders>
              <w:top w:val="nil"/>
              <w:left w:val="nil"/>
              <w:bottom w:val="nil"/>
              <w:right w:val="nil"/>
            </w:tcBorders>
            <w:shd w:val="clear" w:color="auto" w:fill="auto"/>
            <w:vAlign w:val="center"/>
          </w:tcPr>
          <w:p w14:paraId="36423753"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89,041</w:t>
            </w:r>
          </w:p>
        </w:tc>
        <w:tc>
          <w:tcPr>
            <w:tcW w:w="1560" w:type="dxa"/>
            <w:tcBorders>
              <w:top w:val="nil"/>
              <w:left w:val="nil"/>
              <w:bottom w:val="nil"/>
              <w:right w:val="nil"/>
            </w:tcBorders>
            <w:shd w:val="clear" w:color="auto" w:fill="auto"/>
            <w:vAlign w:val="bottom"/>
          </w:tcPr>
          <w:p w14:paraId="255137F5"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132,900</w:t>
            </w:r>
          </w:p>
        </w:tc>
        <w:tc>
          <w:tcPr>
            <w:tcW w:w="280" w:type="dxa"/>
            <w:tcBorders>
              <w:top w:val="nil"/>
              <w:left w:val="nil"/>
              <w:bottom w:val="nil"/>
              <w:right w:val="nil"/>
            </w:tcBorders>
            <w:shd w:val="clear" w:color="auto" w:fill="auto"/>
            <w:vAlign w:val="bottom"/>
          </w:tcPr>
          <w:p w14:paraId="37DC6C73"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shd w:val="clear" w:color="auto" w:fill="auto"/>
            <w:vAlign w:val="bottom"/>
          </w:tcPr>
          <w:p w14:paraId="1E394555"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696,360</w:t>
            </w:r>
          </w:p>
        </w:tc>
        <w:tc>
          <w:tcPr>
            <w:tcW w:w="1560" w:type="dxa"/>
            <w:tcBorders>
              <w:top w:val="nil"/>
              <w:left w:val="nil"/>
              <w:bottom w:val="nil"/>
              <w:right w:val="nil"/>
            </w:tcBorders>
            <w:shd w:val="clear" w:color="auto" w:fill="auto"/>
            <w:vAlign w:val="bottom"/>
          </w:tcPr>
          <w:p w14:paraId="16258148"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670,933</w:t>
            </w:r>
          </w:p>
        </w:tc>
      </w:tr>
      <w:tr w:rsidR="009D25B5" w:rsidRPr="002965BB" w14:paraId="02CB686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4565E26F" w14:textId="77777777" w:rsidR="009D25B5" w:rsidRPr="00557CCF" w:rsidRDefault="009D25B5">
            <w:pPr>
              <w:pStyle w:val="08-Tabelageral"/>
              <w:jc w:val="left"/>
              <w:rPr>
                <w:b w:val="0"/>
                <w:szCs w:val="14"/>
              </w:rPr>
            </w:pPr>
            <w:r w:rsidRPr="00557CCF">
              <w:rPr>
                <w:b w:val="0"/>
                <w:szCs w:val="14"/>
              </w:rPr>
              <w:t> </w:t>
            </w:r>
          </w:p>
        </w:tc>
        <w:tc>
          <w:tcPr>
            <w:tcW w:w="709" w:type="dxa"/>
            <w:tcBorders>
              <w:top w:val="nil"/>
              <w:bottom w:val="nil"/>
            </w:tcBorders>
            <w:shd w:val="clear" w:color="auto" w:fill="auto"/>
            <w:vAlign w:val="center"/>
          </w:tcPr>
          <w:p w14:paraId="70AC8A2C"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szCs w:val="14"/>
              </w:rPr>
            </w:pPr>
          </w:p>
        </w:tc>
        <w:tc>
          <w:tcPr>
            <w:tcW w:w="1559" w:type="dxa"/>
            <w:tcBorders>
              <w:top w:val="nil"/>
              <w:left w:val="nil"/>
              <w:bottom w:val="nil"/>
              <w:right w:val="nil"/>
            </w:tcBorders>
            <w:shd w:val="clear" w:color="auto" w:fill="auto"/>
            <w:vAlign w:val="center"/>
          </w:tcPr>
          <w:p w14:paraId="263DAFA0" w14:textId="77777777" w:rsidR="009D25B5" w:rsidRPr="008A41F6"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auto"/>
            <w:vAlign w:val="bottom"/>
          </w:tcPr>
          <w:p w14:paraId="2787477F"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280" w:type="dxa"/>
            <w:tcBorders>
              <w:top w:val="nil"/>
              <w:left w:val="nil"/>
              <w:bottom w:val="nil"/>
              <w:right w:val="nil"/>
            </w:tcBorders>
            <w:shd w:val="clear" w:color="auto" w:fill="auto"/>
            <w:vAlign w:val="bottom"/>
          </w:tcPr>
          <w:p w14:paraId="0BCE99B9" w14:textId="77777777" w:rsidR="009D25B5" w:rsidRPr="008A41F6"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0FEC05BB" w14:textId="77777777" w:rsidR="009D25B5" w:rsidRPr="008A41F6"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auto"/>
            <w:vAlign w:val="bottom"/>
          </w:tcPr>
          <w:p w14:paraId="6CA4A143"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r>
      <w:tr w:rsidR="009D25B5" w:rsidRPr="002965BB" w14:paraId="657AA80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506FE70B" w14:textId="77777777" w:rsidR="009D25B5" w:rsidRPr="00557CCF" w:rsidRDefault="009D25B5">
            <w:pPr>
              <w:pStyle w:val="08-Tabelageral"/>
              <w:jc w:val="left"/>
              <w:rPr>
                <w:szCs w:val="14"/>
                <w:lang w:val="en-US"/>
              </w:rPr>
            </w:pPr>
            <w:r w:rsidRPr="00557CCF">
              <w:rPr>
                <w:szCs w:val="14"/>
                <w:lang w:val="en-US"/>
              </w:rPr>
              <w:t>Total Added Value to Distribute</w:t>
            </w:r>
          </w:p>
        </w:tc>
        <w:tc>
          <w:tcPr>
            <w:tcW w:w="709" w:type="dxa"/>
            <w:tcBorders>
              <w:top w:val="nil"/>
              <w:bottom w:val="nil"/>
            </w:tcBorders>
            <w:shd w:val="clear" w:color="auto" w:fill="auto"/>
            <w:vAlign w:val="center"/>
          </w:tcPr>
          <w:p w14:paraId="6FFF655D" w14:textId="77777777" w:rsidR="009D25B5" w:rsidRPr="00557CCF" w:rsidRDefault="009D25B5">
            <w:pPr>
              <w:pStyle w:val="08-Tabelageral"/>
              <w:jc w:val="center"/>
              <w:cnfStyle w:val="000000100000" w:firstRow="0" w:lastRow="0" w:firstColumn="0" w:lastColumn="0" w:oddVBand="0" w:evenVBand="0" w:oddHBand="1" w:evenHBand="0" w:firstRowFirstColumn="0" w:firstRowLastColumn="0" w:lastRowFirstColumn="0" w:lastRowLastColumn="0"/>
              <w:rPr>
                <w:b/>
                <w:szCs w:val="14"/>
                <w:lang w:val="en-US"/>
              </w:rPr>
            </w:pPr>
          </w:p>
        </w:tc>
        <w:tc>
          <w:tcPr>
            <w:tcW w:w="1559" w:type="dxa"/>
            <w:tcBorders>
              <w:top w:val="nil"/>
              <w:left w:val="nil"/>
              <w:bottom w:val="nil"/>
              <w:right w:val="nil"/>
            </w:tcBorders>
            <w:shd w:val="clear" w:color="auto" w:fill="auto"/>
            <w:vAlign w:val="center"/>
          </w:tcPr>
          <w:p w14:paraId="33E0A5DC"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8,770,971</w:t>
            </w:r>
          </w:p>
        </w:tc>
        <w:tc>
          <w:tcPr>
            <w:tcW w:w="1560" w:type="dxa"/>
            <w:tcBorders>
              <w:top w:val="nil"/>
              <w:left w:val="nil"/>
              <w:bottom w:val="nil"/>
              <w:right w:val="nil"/>
            </w:tcBorders>
            <w:shd w:val="clear" w:color="auto" w:fill="auto"/>
            <w:vAlign w:val="bottom"/>
          </w:tcPr>
          <w:p w14:paraId="4C47B32D"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8,061,287</w:t>
            </w:r>
          </w:p>
        </w:tc>
        <w:tc>
          <w:tcPr>
            <w:tcW w:w="280" w:type="dxa"/>
            <w:tcBorders>
              <w:top w:val="nil"/>
              <w:left w:val="nil"/>
              <w:bottom w:val="nil"/>
              <w:right w:val="nil"/>
            </w:tcBorders>
            <w:shd w:val="clear" w:color="auto" w:fill="auto"/>
            <w:vAlign w:val="bottom"/>
          </w:tcPr>
          <w:p w14:paraId="75B19F69"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3A3D65B9"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11,219,063</w:t>
            </w:r>
          </w:p>
        </w:tc>
        <w:tc>
          <w:tcPr>
            <w:tcW w:w="1560" w:type="dxa"/>
            <w:tcBorders>
              <w:top w:val="nil"/>
              <w:left w:val="nil"/>
              <w:bottom w:val="nil"/>
              <w:right w:val="nil"/>
            </w:tcBorders>
            <w:shd w:val="clear" w:color="auto" w:fill="auto"/>
            <w:vAlign w:val="bottom"/>
          </w:tcPr>
          <w:p w14:paraId="6074374E"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10,279,050</w:t>
            </w:r>
          </w:p>
        </w:tc>
      </w:tr>
      <w:tr w:rsidR="009D25B5" w:rsidRPr="002965BB" w14:paraId="155D13F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D8C84E2" w14:textId="77777777" w:rsidR="009D25B5" w:rsidRPr="00557CCF" w:rsidRDefault="009D25B5">
            <w:pPr>
              <w:pStyle w:val="08-Tabelageral"/>
              <w:jc w:val="left"/>
              <w:rPr>
                <w:szCs w:val="14"/>
              </w:rPr>
            </w:pPr>
            <w:r w:rsidRPr="00557CCF">
              <w:rPr>
                <w:szCs w:val="14"/>
              </w:rPr>
              <w:t> </w:t>
            </w:r>
          </w:p>
        </w:tc>
        <w:tc>
          <w:tcPr>
            <w:tcW w:w="709" w:type="dxa"/>
            <w:tcBorders>
              <w:top w:val="nil"/>
              <w:bottom w:val="nil"/>
            </w:tcBorders>
            <w:shd w:val="clear" w:color="auto" w:fill="auto"/>
            <w:vAlign w:val="center"/>
          </w:tcPr>
          <w:p w14:paraId="02D2AD5E" w14:textId="77777777" w:rsidR="009D25B5" w:rsidRPr="00557CCF" w:rsidRDefault="009D25B5">
            <w:pPr>
              <w:pStyle w:val="08-Tabelageral"/>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6751ABC3" w14:textId="77777777" w:rsidR="009D25B5" w:rsidRPr="00BD450B"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auto"/>
            <w:vAlign w:val="bottom"/>
          </w:tcPr>
          <w:p w14:paraId="43375606"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280" w:type="dxa"/>
            <w:tcBorders>
              <w:top w:val="nil"/>
              <w:left w:val="nil"/>
              <w:bottom w:val="nil"/>
              <w:right w:val="nil"/>
            </w:tcBorders>
            <w:shd w:val="clear" w:color="auto" w:fill="auto"/>
            <w:vAlign w:val="bottom"/>
          </w:tcPr>
          <w:p w14:paraId="3CEBEA2A" w14:textId="77777777" w:rsidR="009D25B5" w:rsidRPr="00BD450B"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418319C3" w14:textId="77777777" w:rsidR="009D25B5" w:rsidRPr="00BD450B"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auto"/>
            <w:vAlign w:val="bottom"/>
          </w:tcPr>
          <w:p w14:paraId="5D8012C6" w14:textId="77777777" w:rsidR="009D25B5" w:rsidRPr="00E7718C" w:rsidRDefault="009D25B5">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r>
      <w:tr w:rsidR="009D25B5" w:rsidRPr="002965BB" w14:paraId="0DAF2C0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2ED3C2FF" w14:textId="77777777" w:rsidR="009D25B5" w:rsidRPr="00557CCF" w:rsidRDefault="009D25B5">
            <w:pPr>
              <w:pStyle w:val="08-Tabelageral"/>
              <w:jc w:val="left"/>
              <w:rPr>
                <w:szCs w:val="14"/>
              </w:rPr>
            </w:pPr>
            <w:proofErr w:type="spellStart"/>
            <w:r w:rsidRPr="00557CCF">
              <w:rPr>
                <w:szCs w:val="14"/>
              </w:rPr>
              <w:t>Distribution</w:t>
            </w:r>
            <w:proofErr w:type="spellEnd"/>
            <w:r w:rsidRPr="00557CCF">
              <w:rPr>
                <w:szCs w:val="14"/>
              </w:rPr>
              <w:t xml:space="preserve"> </w:t>
            </w:r>
            <w:proofErr w:type="spellStart"/>
            <w:r w:rsidRPr="00557CCF">
              <w:rPr>
                <w:szCs w:val="14"/>
              </w:rPr>
              <w:t>of</w:t>
            </w:r>
            <w:proofErr w:type="spellEnd"/>
            <w:r w:rsidRPr="00557CCF">
              <w:rPr>
                <w:szCs w:val="14"/>
              </w:rPr>
              <w:t xml:space="preserve"> </w:t>
            </w:r>
            <w:proofErr w:type="spellStart"/>
            <w:r w:rsidRPr="00557CCF">
              <w:rPr>
                <w:szCs w:val="14"/>
              </w:rPr>
              <w:t>Added</w:t>
            </w:r>
            <w:proofErr w:type="spellEnd"/>
            <w:r w:rsidRPr="00557CCF">
              <w:rPr>
                <w:szCs w:val="14"/>
              </w:rPr>
              <w:t xml:space="preserve"> </w:t>
            </w:r>
            <w:proofErr w:type="spellStart"/>
            <w:r w:rsidRPr="00557CCF">
              <w:rPr>
                <w:szCs w:val="14"/>
              </w:rPr>
              <w:t>Value</w:t>
            </w:r>
            <w:proofErr w:type="spellEnd"/>
          </w:p>
        </w:tc>
        <w:tc>
          <w:tcPr>
            <w:tcW w:w="709" w:type="dxa"/>
            <w:tcBorders>
              <w:top w:val="nil"/>
              <w:bottom w:val="nil"/>
            </w:tcBorders>
            <w:shd w:val="clear" w:color="auto" w:fill="auto"/>
            <w:vAlign w:val="center"/>
          </w:tcPr>
          <w:p w14:paraId="0CEC896E" w14:textId="77777777" w:rsidR="009D25B5" w:rsidRPr="00557CCF" w:rsidRDefault="009D25B5">
            <w:pPr>
              <w:pStyle w:val="08-Tabelageral"/>
              <w:jc w:val="center"/>
              <w:cnfStyle w:val="000000100000" w:firstRow="0" w:lastRow="0" w:firstColumn="0" w:lastColumn="0" w:oddVBand="0" w:evenVBand="0" w:oddHBand="1" w:evenHBand="0"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6960FDCD"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8,770,971</w:t>
            </w:r>
          </w:p>
        </w:tc>
        <w:tc>
          <w:tcPr>
            <w:tcW w:w="1560" w:type="dxa"/>
            <w:tcBorders>
              <w:top w:val="nil"/>
              <w:left w:val="nil"/>
              <w:bottom w:val="nil"/>
              <w:right w:val="nil"/>
            </w:tcBorders>
            <w:shd w:val="clear" w:color="auto" w:fill="auto"/>
            <w:vAlign w:val="bottom"/>
          </w:tcPr>
          <w:p w14:paraId="48F58E32"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8,061,287</w:t>
            </w:r>
          </w:p>
        </w:tc>
        <w:tc>
          <w:tcPr>
            <w:tcW w:w="280" w:type="dxa"/>
            <w:tcBorders>
              <w:top w:val="nil"/>
              <w:left w:val="nil"/>
              <w:bottom w:val="nil"/>
              <w:right w:val="nil"/>
            </w:tcBorders>
            <w:shd w:val="clear" w:color="auto" w:fill="auto"/>
            <w:vAlign w:val="bottom"/>
          </w:tcPr>
          <w:p w14:paraId="0F5CDD26"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789CAB21"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11,219,063</w:t>
            </w:r>
          </w:p>
        </w:tc>
        <w:tc>
          <w:tcPr>
            <w:tcW w:w="1560" w:type="dxa"/>
            <w:tcBorders>
              <w:top w:val="nil"/>
              <w:left w:val="nil"/>
              <w:bottom w:val="nil"/>
              <w:right w:val="nil"/>
            </w:tcBorders>
            <w:shd w:val="clear" w:color="auto" w:fill="auto"/>
            <w:vAlign w:val="bottom"/>
          </w:tcPr>
          <w:p w14:paraId="2D5E1743" w14:textId="77777777" w:rsidR="009D25B5" w:rsidRPr="00E7718C" w:rsidRDefault="009D25B5">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10,279,050</w:t>
            </w:r>
          </w:p>
        </w:tc>
      </w:tr>
      <w:tr w:rsidR="009D25B5" w:rsidRPr="002965BB" w14:paraId="043E1E1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437BA7E" w14:textId="77777777" w:rsidR="009D25B5" w:rsidRPr="00557CCF" w:rsidRDefault="009D25B5">
            <w:pPr>
              <w:pStyle w:val="08-Tabelageral"/>
              <w:ind w:left="113"/>
              <w:jc w:val="left"/>
              <w:rPr>
                <w:szCs w:val="14"/>
              </w:rPr>
            </w:pPr>
            <w:proofErr w:type="spellStart"/>
            <w:r w:rsidRPr="00557CCF">
              <w:rPr>
                <w:szCs w:val="14"/>
              </w:rPr>
              <w:t>Personnel</w:t>
            </w:r>
            <w:proofErr w:type="spellEnd"/>
          </w:p>
        </w:tc>
        <w:tc>
          <w:tcPr>
            <w:tcW w:w="709" w:type="dxa"/>
            <w:tcBorders>
              <w:top w:val="nil"/>
              <w:bottom w:val="nil"/>
            </w:tcBorders>
            <w:shd w:val="clear" w:color="auto" w:fill="auto"/>
            <w:vAlign w:val="center"/>
          </w:tcPr>
          <w:p w14:paraId="38FA39FB"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728F3396" w14:textId="77777777" w:rsidR="009D25B5" w:rsidRPr="00BD450B"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10,311</w:t>
            </w:r>
          </w:p>
        </w:tc>
        <w:tc>
          <w:tcPr>
            <w:tcW w:w="1560" w:type="dxa"/>
            <w:tcBorders>
              <w:top w:val="nil"/>
              <w:left w:val="nil"/>
              <w:bottom w:val="nil"/>
              <w:right w:val="nil"/>
            </w:tcBorders>
            <w:shd w:val="clear" w:color="auto" w:fill="auto"/>
            <w:vAlign w:val="bottom"/>
          </w:tcPr>
          <w:p w14:paraId="7ABB06C9"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11,380</w:t>
            </w:r>
          </w:p>
        </w:tc>
        <w:tc>
          <w:tcPr>
            <w:tcW w:w="280" w:type="dxa"/>
            <w:tcBorders>
              <w:top w:val="nil"/>
              <w:left w:val="nil"/>
              <w:bottom w:val="nil"/>
              <w:right w:val="nil"/>
            </w:tcBorders>
            <w:shd w:val="clear" w:color="auto" w:fill="auto"/>
            <w:vAlign w:val="bottom"/>
          </w:tcPr>
          <w:p w14:paraId="7400529D"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4B6E4C24" w14:textId="77777777" w:rsidR="009D25B5" w:rsidRPr="00BD450B"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77,867</w:t>
            </w:r>
          </w:p>
        </w:tc>
        <w:tc>
          <w:tcPr>
            <w:tcW w:w="1560" w:type="dxa"/>
            <w:tcBorders>
              <w:top w:val="nil"/>
              <w:left w:val="nil"/>
              <w:bottom w:val="nil"/>
              <w:right w:val="nil"/>
            </w:tcBorders>
            <w:shd w:val="clear" w:color="auto" w:fill="auto"/>
            <w:vAlign w:val="bottom"/>
          </w:tcPr>
          <w:p w14:paraId="616BEBB3" w14:textId="77777777" w:rsidR="009D25B5" w:rsidRPr="00E7718C"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74,446</w:t>
            </w:r>
          </w:p>
        </w:tc>
      </w:tr>
      <w:tr w:rsidR="009D25B5" w:rsidRPr="002965BB" w14:paraId="156FABE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5E1495E5" w14:textId="77777777" w:rsidR="009D25B5" w:rsidRPr="00557CCF" w:rsidRDefault="009D25B5" w:rsidP="0097619B">
            <w:pPr>
              <w:pStyle w:val="08-Tabelageral"/>
              <w:ind w:left="113" w:firstLine="64"/>
              <w:jc w:val="left"/>
              <w:rPr>
                <w:b w:val="0"/>
                <w:szCs w:val="14"/>
                <w:lang w:val="en-US"/>
              </w:rPr>
            </w:pPr>
            <w:r w:rsidRPr="00557CCF">
              <w:rPr>
                <w:b w:val="0"/>
                <w:szCs w:val="14"/>
                <w:lang w:val="en-US"/>
              </w:rPr>
              <w:t>Direct remuneration - Earnings and fees</w:t>
            </w:r>
          </w:p>
        </w:tc>
        <w:tc>
          <w:tcPr>
            <w:tcW w:w="709" w:type="dxa"/>
            <w:tcBorders>
              <w:top w:val="nil"/>
              <w:bottom w:val="nil"/>
            </w:tcBorders>
            <w:shd w:val="clear" w:color="auto" w:fill="auto"/>
            <w:vAlign w:val="center"/>
          </w:tcPr>
          <w:p w14:paraId="56C7479C"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lang w:val="en-US"/>
              </w:rPr>
            </w:pPr>
          </w:p>
        </w:tc>
        <w:tc>
          <w:tcPr>
            <w:tcW w:w="1559" w:type="dxa"/>
            <w:tcBorders>
              <w:top w:val="nil"/>
              <w:left w:val="nil"/>
              <w:bottom w:val="nil"/>
              <w:right w:val="nil"/>
            </w:tcBorders>
            <w:shd w:val="clear" w:color="auto" w:fill="auto"/>
            <w:vAlign w:val="center"/>
          </w:tcPr>
          <w:p w14:paraId="36130836"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7,451</w:t>
            </w:r>
          </w:p>
        </w:tc>
        <w:tc>
          <w:tcPr>
            <w:tcW w:w="1560" w:type="dxa"/>
            <w:tcBorders>
              <w:top w:val="nil"/>
              <w:left w:val="nil"/>
              <w:bottom w:val="nil"/>
              <w:right w:val="nil"/>
            </w:tcBorders>
            <w:shd w:val="clear" w:color="auto" w:fill="auto"/>
            <w:vAlign w:val="bottom"/>
          </w:tcPr>
          <w:p w14:paraId="132EBF9C"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8,041</w:t>
            </w:r>
          </w:p>
        </w:tc>
        <w:tc>
          <w:tcPr>
            <w:tcW w:w="280" w:type="dxa"/>
            <w:tcBorders>
              <w:top w:val="nil"/>
              <w:left w:val="nil"/>
              <w:bottom w:val="nil"/>
              <w:right w:val="nil"/>
            </w:tcBorders>
            <w:shd w:val="clear" w:color="auto" w:fill="auto"/>
            <w:vAlign w:val="bottom"/>
          </w:tcPr>
          <w:p w14:paraId="03797BCC"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auto"/>
            <w:vAlign w:val="bottom"/>
          </w:tcPr>
          <w:p w14:paraId="668EF675"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55,127</w:t>
            </w:r>
          </w:p>
        </w:tc>
        <w:tc>
          <w:tcPr>
            <w:tcW w:w="1560" w:type="dxa"/>
            <w:tcBorders>
              <w:top w:val="nil"/>
              <w:left w:val="nil"/>
              <w:bottom w:val="nil"/>
              <w:right w:val="nil"/>
            </w:tcBorders>
            <w:shd w:val="clear" w:color="auto" w:fill="auto"/>
            <w:vAlign w:val="bottom"/>
          </w:tcPr>
          <w:p w14:paraId="1591CCEF" w14:textId="77777777" w:rsidR="009D25B5" w:rsidRPr="00E7718C"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53,041</w:t>
            </w:r>
          </w:p>
        </w:tc>
      </w:tr>
      <w:tr w:rsidR="009D25B5" w:rsidRPr="002965BB" w14:paraId="49B15AA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78230799" w14:textId="77777777" w:rsidR="009D25B5" w:rsidRPr="00557CCF" w:rsidRDefault="009D25B5">
            <w:pPr>
              <w:pStyle w:val="08-Tabelageral"/>
              <w:ind w:left="113" w:firstLine="63"/>
              <w:jc w:val="left"/>
              <w:rPr>
                <w:b w:val="0"/>
                <w:szCs w:val="14"/>
              </w:rPr>
            </w:pPr>
            <w:proofErr w:type="spellStart"/>
            <w:r w:rsidRPr="00557CCF">
              <w:rPr>
                <w:b w:val="0"/>
                <w:szCs w:val="14"/>
              </w:rPr>
              <w:t>Benefits</w:t>
            </w:r>
            <w:proofErr w:type="spellEnd"/>
            <w:r w:rsidRPr="00557CCF">
              <w:rPr>
                <w:b w:val="0"/>
                <w:szCs w:val="14"/>
              </w:rPr>
              <w:t xml:space="preserve"> </w:t>
            </w:r>
            <w:proofErr w:type="spellStart"/>
            <w:r w:rsidRPr="00557CCF">
              <w:rPr>
                <w:b w:val="0"/>
                <w:szCs w:val="14"/>
              </w:rPr>
              <w:t>and</w:t>
            </w:r>
            <w:proofErr w:type="spellEnd"/>
            <w:r w:rsidRPr="00557CCF">
              <w:rPr>
                <w:b w:val="0"/>
                <w:szCs w:val="14"/>
              </w:rPr>
              <w:t xml:space="preserve"> training</w:t>
            </w:r>
          </w:p>
        </w:tc>
        <w:tc>
          <w:tcPr>
            <w:tcW w:w="709" w:type="dxa"/>
            <w:tcBorders>
              <w:top w:val="nil"/>
              <w:bottom w:val="nil"/>
            </w:tcBorders>
            <w:shd w:val="clear" w:color="auto" w:fill="auto"/>
            <w:vAlign w:val="center"/>
          </w:tcPr>
          <w:p w14:paraId="72E75F62"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31431489"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1,697</w:t>
            </w:r>
          </w:p>
        </w:tc>
        <w:tc>
          <w:tcPr>
            <w:tcW w:w="1560" w:type="dxa"/>
            <w:tcBorders>
              <w:top w:val="nil"/>
              <w:left w:val="nil"/>
              <w:bottom w:val="nil"/>
              <w:right w:val="nil"/>
            </w:tcBorders>
            <w:shd w:val="clear" w:color="auto" w:fill="auto"/>
            <w:vAlign w:val="bottom"/>
          </w:tcPr>
          <w:p w14:paraId="75778ED4"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1,846</w:t>
            </w:r>
          </w:p>
        </w:tc>
        <w:tc>
          <w:tcPr>
            <w:tcW w:w="280" w:type="dxa"/>
            <w:tcBorders>
              <w:top w:val="nil"/>
              <w:left w:val="nil"/>
              <w:bottom w:val="nil"/>
              <w:right w:val="nil"/>
            </w:tcBorders>
            <w:shd w:val="clear" w:color="auto" w:fill="auto"/>
            <w:vAlign w:val="bottom"/>
          </w:tcPr>
          <w:p w14:paraId="06AF4AAA"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0DD001C0"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14,127</w:t>
            </w:r>
          </w:p>
        </w:tc>
        <w:tc>
          <w:tcPr>
            <w:tcW w:w="1560" w:type="dxa"/>
            <w:tcBorders>
              <w:top w:val="nil"/>
              <w:left w:val="nil"/>
              <w:bottom w:val="nil"/>
              <w:right w:val="nil"/>
            </w:tcBorders>
            <w:shd w:val="clear" w:color="auto" w:fill="auto"/>
            <w:vAlign w:val="bottom"/>
          </w:tcPr>
          <w:p w14:paraId="7FDFD9BE"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13,082</w:t>
            </w:r>
          </w:p>
        </w:tc>
      </w:tr>
      <w:tr w:rsidR="009D25B5" w:rsidRPr="002965BB" w14:paraId="3004964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33F0035A" w14:textId="77777777" w:rsidR="009D25B5" w:rsidRPr="00557CCF" w:rsidRDefault="009D25B5">
            <w:pPr>
              <w:pStyle w:val="08-Tabelageral"/>
              <w:ind w:left="113" w:firstLine="63"/>
              <w:jc w:val="left"/>
              <w:rPr>
                <w:b w:val="0"/>
                <w:szCs w:val="14"/>
              </w:rPr>
            </w:pPr>
            <w:r w:rsidRPr="00557CCF">
              <w:rPr>
                <w:b w:val="0"/>
                <w:szCs w:val="14"/>
              </w:rPr>
              <w:t>FGTS</w:t>
            </w:r>
          </w:p>
        </w:tc>
        <w:tc>
          <w:tcPr>
            <w:tcW w:w="709" w:type="dxa"/>
            <w:tcBorders>
              <w:top w:val="nil"/>
              <w:bottom w:val="nil"/>
            </w:tcBorders>
            <w:shd w:val="clear" w:color="auto" w:fill="auto"/>
            <w:vAlign w:val="center"/>
          </w:tcPr>
          <w:p w14:paraId="19BD5423"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0F517E49"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458</w:t>
            </w:r>
          </w:p>
        </w:tc>
        <w:tc>
          <w:tcPr>
            <w:tcW w:w="1560" w:type="dxa"/>
            <w:tcBorders>
              <w:top w:val="nil"/>
              <w:left w:val="nil"/>
              <w:bottom w:val="nil"/>
              <w:right w:val="nil"/>
            </w:tcBorders>
            <w:shd w:val="clear" w:color="auto" w:fill="auto"/>
            <w:vAlign w:val="bottom"/>
          </w:tcPr>
          <w:p w14:paraId="44667981"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474</w:t>
            </w:r>
          </w:p>
        </w:tc>
        <w:tc>
          <w:tcPr>
            <w:tcW w:w="280" w:type="dxa"/>
            <w:tcBorders>
              <w:top w:val="nil"/>
              <w:left w:val="nil"/>
              <w:bottom w:val="nil"/>
              <w:right w:val="nil"/>
            </w:tcBorders>
            <w:shd w:val="clear" w:color="auto" w:fill="auto"/>
            <w:vAlign w:val="bottom"/>
          </w:tcPr>
          <w:p w14:paraId="2A50328A"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61AFA874"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3,536</w:t>
            </w:r>
          </w:p>
        </w:tc>
        <w:tc>
          <w:tcPr>
            <w:tcW w:w="1560" w:type="dxa"/>
            <w:tcBorders>
              <w:top w:val="nil"/>
              <w:left w:val="nil"/>
              <w:bottom w:val="nil"/>
              <w:right w:val="nil"/>
            </w:tcBorders>
            <w:shd w:val="clear" w:color="auto" w:fill="auto"/>
            <w:vAlign w:val="bottom"/>
          </w:tcPr>
          <w:p w14:paraId="2ADE5F8E"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3,305</w:t>
            </w:r>
          </w:p>
        </w:tc>
      </w:tr>
      <w:tr w:rsidR="009D25B5" w:rsidRPr="002965BB" w14:paraId="6C017D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tcPr>
          <w:p w14:paraId="3B0573B6" w14:textId="77777777" w:rsidR="009D25B5" w:rsidRPr="00557CCF" w:rsidRDefault="009D25B5">
            <w:pPr>
              <w:pStyle w:val="08-Tabelageral"/>
              <w:ind w:left="113" w:firstLine="63"/>
              <w:jc w:val="left"/>
              <w:rPr>
                <w:b w:val="0"/>
                <w:szCs w:val="14"/>
              </w:rPr>
            </w:pPr>
            <w:r w:rsidRPr="00557CCF">
              <w:rPr>
                <w:rStyle w:val="rynqvb"/>
                <w:b w:val="0"/>
                <w:szCs w:val="14"/>
                <w:lang w:val="en"/>
              </w:rPr>
              <w:t>Other charges</w:t>
            </w:r>
          </w:p>
        </w:tc>
        <w:tc>
          <w:tcPr>
            <w:tcW w:w="709" w:type="dxa"/>
            <w:tcBorders>
              <w:top w:val="nil"/>
              <w:bottom w:val="nil"/>
            </w:tcBorders>
            <w:shd w:val="clear" w:color="auto" w:fill="auto"/>
            <w:vAlign w:val="center"/>
          </w:tcPr>
          <w:p w14:paraId="5B34F21F"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19396369"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705</w:t>
            </w:r>
          </w:p>
        </w:tc>
        <w:tc>
          <w:tcPr>
            <w:tcW w:w="1560" w:type="dxa"/>
            <w:tcBorders>
              <w:top w:val="nil"/>
              <w:left w:val="nil"/>
              <w:bottom w:val="nil"/>
              <w:right w:val="nil"/>
            </w:tcBorders>
            <w:shd w:val="clear" w:color="auto" w:fill="auto"/>
            <w:vAlign w:val="bottom"/>
          </w:tcPr>
          <w:p w14:paraId="49A765F2"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1,019</w:t>
            </w:r>
          </w:p>
        </w:tc>
        <w:tc>
          <w:tcPr>
            <w:tcW w:w="280" w:type="dxa"/>
            <w:tcBorders>
              <w:top w:val="nil"/>
              <w:left w:val="nil"/>
              <w:bottom w:val="nil"/>
              <w:right w:val="nil"/>
            </w:tcBorders>
            <w:shd w:val="clear" w:color="auto" w:fill="auto"/>
            <w:vAlign w:val="bottom"/>
          </w:tcPr>
          <w:p w14:paraId="35FED499"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0C2EC9B4"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5,077</w:t>
            </w:r>
          </w:p>
        </w:tc>
        <w:tc>
          <w:tcPr>
            <w:tcW w:w="1560" w:type="dxa"/>
            <w:tcBorders>
              <w:top w:val="nil"/>
              <w:left w:val="nil"/>
              <w:bottom w:val="nil"/>
              <w:right w:val="nil"/>
            </w:tcBorders>
            <w:shd w:val="clear" w:color="auto" w:fill="auto"/>
            <w:vAlign w:val="bottom"/>
          </w:tcPr>
          <w:p w14:paraId="79FCA2E1"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5,018</w:t>
            </w:r>
          </w:p>
        </w:tc>
      </w:tr>
      <w:tr w:rsidR="009D25B5" w:rsidRPr="002965BB" w14:paraId="4EA358F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02C6033" w14:textId="77777777" w:rsidR="009D25B5" w:rsidRPr="00557CCF" w:rsidRDefault="009D25B5">
            <w:pPr>
              <w:pStyle w:val="08-Tabelageral"/>
              <w:ind w:left="113"/>
              <w:jc w:val="left"/>
              <w:rPr>
                <w:szCs w:val="14"/>
              </w:rPr>
            </w:pPr>
            <w:r w:rsidRPr="00557CCF">
              <w:rPr>
                <w:szCs w:val="14"/>
              </w:rPr>
              <w:t xml:space="preserve">Taxes, </w:t>
            </w:r>
            <w:proofErr w:type="spellStart"/>
            <w:r w:rsidRPr="00557CCF">
              <w:rPr>
                <w:szCs w:val="14"/>
              </w:rPr>
              <w:t>fees</w:t>
            </w:r>
            <w:proofErr w:type="spellEnd"/>
            <w:r w:rsidRPr="00557CCF">
              <w:rPr>
                <w:szCs w:val="14"/>
              </w:rPr>
              <w:t xml:space="preserve"> </w:t>
            </w:r>
            <w:proofErr w:type="spellStart"/>
            <w:r w:rsidRPr="00557CCF">
              <w:rPr>
                <w:szCs w:val="14"/>
              </w:rPr>
              <w:t>and</w:t>
            </w:r>
            <w:proofErr w:type="spellEnd"/>
            <w:r w:rsidRPr="00557CCF">
              <w:rPr>
                <w:szCs w:val="14"/>
              </w:rPr>
              <w:t xml:space="preserve"> </w:t>
            </w:r>
            <w:proofErr w:type="spellStart"/>
            <w:r w:rsidRPr="00557CCF">
              <w:rPr>
                <w:szCs w:val="14"/>
              </w:rPr>
              <w:t>contributions</w:t>
            </w:r>
            <w:proofErr w:type="spellEnd"/>
          </w:p>
        </w:tc>
        <w:tc>
          <w:tcPr>
            <w:tcW w:w="709" w:type="dxa"/>
            <w:tcBorders>
              <w:top w:val="nil"/>
              <w:bottom w:val="nil"/>
            </w:tcBorders>
            <w:shd w:val="clear" w:color="auto" w:fill="auto"/>
            <w:vAlign w:val="center"/>
          </w:tcPr>
          <w:p w14:paraId="11733C34"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0CD948CC" w14:textId="77777777" w:rsidR="009D25B5" w:rsidRPr="00BD450B"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15,617</w:t>
            </w:r>
          </w:p>
        </w:tc>
        <w:tc>
          <w:tcPr>
            <w:tcW w:w="1560" w:type="dxa"/>
            <w:tcBorders>
              <w:top w:val="nil"/>
              <w:left w:val="nil"/>
              <w:bottom w:val="nil"/>
              <w:right w:val="nil"/>
            </w:tcBorders>
            <w:shd w:val="clear" w:color="auto" w:fill="auto"/>
            <w:vAlign w:val="bottom"/>
          </w:tcPr>
          <w:p w14:paraId="06CA6C8A"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b/>
                <w:szCs w:val="14"/>
              </w:rPr>
              <w:t>20,168</w:t>
            </w:r>
          </w:p>
        </w:tc>
        <w:tc>
          <w:tcPr>
            <w:tcW w:w="280" w:type="dxa"/>
            <w:tcBorders>
              <w:top w:val="nil"/>
              <w:left w:val="nil"/>
              <w:bottom w:val="nil"/>
              <w:right w:val="nil"/>
            </w:tcBorders>
            <w:shd w:val="clear" w:color="auto" w:fill="auto"/>
            <w:vAlign w:val="bottom"/>
          </w:tcPr>
          <w:p w14:paraId="1EB2A6FA"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46BC8B2E" w14:textId="77777777" w:rsidR="009D25B5" w:rsidRPr="00BD450B"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2,391,477</w:t>
            </w:r>
          </w:p>
        </w:tc>
        <w:tc>
          <w:tcPr>
            <w:tcW w:w="1560" w:type="dxa"/>
            <w:tcBorders>
              <w:top w:val="nil"/>
              <w:left w:val="nil"/>
              <w:bottom w:val="nil"/>
              <w:right w:val="nil"/>
            </w:tcBorders>
            <w:shd w:val="clear" w:color="auto" w:fill="auto"/>
            <w:vAlign w:val="bottom"/>
          </w:tcPr>
          <w:p w14:paraId="4A342CB1"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b/>
                <w:szCs w:val="14"/>
              </w:rPr>
              <w:t>2,170,755</w:t>
            </w:r>
          </w:p>
        </w:tc>
      </w:tr>
      <w:tr w:rsidR="009D25B5" w:rsidRPr="002965BB" w14:paraId="547BF04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6B99E82E" w14:textId="77777777" w:rsidR="009D25B5" w:rsidRPr="00557CCF" w:rsidRDefault="009D25B5">
            <w:pPr>
              <w:pStyle w:val="08-Tabelageral"/>
              <w:ind w:left="113" w:firstLine="63"/>
              <w:jc w:val="left"/>
              <w:rPr>
                <w:b w:val="0"/>
                <w:szCs w:val="14"/>
              </w:rPr>
            </w:pPr>
            <w:r w:rsidRPr="00557CCF">
              <w:rPr>
                <w:b w:val="0"/>
                <w:szCs w:val="14"/>
              </w:rPr>
              <w:t>Federal</w:t>
            </w:r>
          </w:p>
        </w:tc>
        <w:tc>
          <w:tcPr>
            <w:tcW w:w="709" w:type="dxa"/>
            <w:tcBorders>
              <w:top w:val="nil"/>
              <w:bottom w:val="nil"/>
            </w:tcBorders>
            <w:shd w:val="clear" w:color="auto" w:fill="auto"/>
            <w:vAlign w:val="center"/>
          </w:tcPr>
          <w:p w14:paraId="0A6D19BC"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1680FFDD"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15,617</w:t>
            </w:r>
          </w:p>
        </w:tc>
        <w:tc>
          <w:tcPr>
            <w:tcW w:w="1560" w:type="dxa"/>
            <w:tcBorders>
              <w:top w:val="nil"/>
              <w:left w:val="nil"/>
              <w:bottom w:val="nil"/>
              <w:right w:val="nil"/>
            </w:tcBorders>
            <w:shd w:val="clear" w:color="auto" w:fill="auto"/>
            <w:vAlign w:val="bottom"/>
          </w:tcPr>
          <w:p w14:paraId="6DE48E75"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20,168</w:t>
            </w:r>
          </w:p>
        </w:tc>
        <w:tc>
          <w:tcPr>
            <w:tcW w:w="280" w:type="dxa"/>
            <w:tcBorders>
              <w:top w:val="nil"/>
              <w:left w:val="nil"/>
              <w:bottom w:val="nil"/>
              <w:right w:val="nil"/>
            </w:tcBorders>
            <w:shd w:val="clear" w:color="auto" w:fill="auto"/>
            <w:vAlign w:val="bottom"/>
          </w:tcPr>
          <w:p w14:paraId="743A2226"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753D118C"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2,264,557</w:t>
            </w:r>
          </w:p>
        </w:tc>
        <w:tc>
          <w:tcPr>
            <w:tcW w:w="1560" w:type="dxa"/>
            <w:tcBorders>
              <w:top w:val="nil"/>
              <w:left w:val="nil"/>
              <w:bottom w:val="nil"/>
              <w:right w:val="nil"/>
            </w:tcBorders>
            <w:shd w:val="clear" w:color="auto" w:fill="auto"/>
            <w:vAlign w:val="bottom"/>
          </w:tcPr>
          <w:p w14:paraId="42D730E7"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2,055,178</w:t>
            </w:r>
          </w:p>
        </w:tc>
      </w:tr>
      <w:tr w:rsidR="009D25B5" w:rsidRPr="002965BB" w14:paraId="6F220CE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1BE8068" w14:textId="77777777" w:rsidR="009D25B5" w:rsidRPr="00557CCF" w:rsidRDefault="009D25B5">
            <w:pPr>
              <w:pStyle w:val="08-Tabelageral"/>
              <w:ind w:left="113" w:firstLine="63"/>
              <w:jc w:val="left"/>
              <w:rPr>
                <w:b w:val="0"/>
                <w:szCs w:val="14"/>
              </w:rPr>
            </w:pPr>
            <w:r w:rsidRPr="00557CCF">
              <w:rPr>
                <w:b w:val="0"/>
                <w:szCs w:val="14"/>
              </w:rPr>
              <w:t>Municipal</w:t>
            </w:r>
          </w:p>
        </w:tc>
        <w:tc>
          <w:tcPr>
            <w:tcW w:w="709" w:type="dxa"/>
            <w:tcBorders>
              <w:top w:val="nil"/>
              <w:bottom w:val="nil"/>
            </w:tcBorders>
            <w:shd w:val="clear" w:color="auto" w:fill="auto"/>
            <w:vAlign w:val="center"/>
          </w:tcPr>
          <w:p w14:paraId="7450E5BA"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5E8A0981"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w:t>
            </w:r>
          </w:p>
        </w:tc>
        <w:tc>
          <w:tcPr>
            <w:tcW w:w="1560" w:type="dxa"/>
            <w:tcBorders>
              <w:top w:val="nil"/>
              <w:left w:val="nil"/>
              <w:bottom w:val="nil"/>
              <w:right w:val="nil"/>
            </w:tcBorders>
            <w:shd w:val="clear" w:color="auto" w:fill="auto"/>
            <w:vAlign w:val="bottom"/>
          </w:tcPr>
          <w:p w14:paraId="709B7A4B"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w:t>
            </w:r>
          </w:p>
        </w:tc>
        <w:tc>
          <w:tcPr>
            <w:tcW w:w="280" w:type="dxa"/>
            <w:tcBorders>
              <w:top w:val="nil"/>
              <w:left w:val="nil"/>
              <w:bottom w:val="nil"/>
              <w:right w:val="nil"/>
            </w:tcBorders>
            <w:shd w:val="clear" w:color="auto" w:fill="auto"/>
            <w:vAlign w:val="bottom"/>
          </w:tcPr>
          <w:p w14:paraId="17AF86AF"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43CEAFBB"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126,920</w:t>
            </w:r>
          </w:p>
        </w:tc>
        <w:tc>
          <w:tcPr>
            <w:tcW w:w="1560" w:type="dxa"/>
            <w:tcBorders>
              <w:top w:val="nil"/>
              <w:left w:val="nil"/>
              <w:bottom w:val="nil"/>
              <w:right w:val="nil"/>
            </w:tcBorders>
            <w:shd w:val="clear" w:color="auto" w:fill="auto"/>
            <w:vAlign w:val="bottom"/>
          </w:tcPr>
          <w:p w14:paraId="6B386FB3"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115,577</w:t>
            </w:r>
          </w:p>
        </w:tc>
      </w:tr>
      <w:tr w:rsidR="009D25B5" w:rsidRPr="002965BB" w14:paraId="2DC69CF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855E2E5" w14:textId="77777777" w:rsidR="009D25B5" w:rsidRPr="00557CCF" w:rsidRDefault="009D25B5">
            <w:pPr>
              <w:pStyle w:val="08-Tabelageral"/>
              <w:ind w:left="113"/>
              <w:jc w:val="left"/>
              <w:rPr>
                <w:szCs w:val="14"/>
                <w:lang w:val="en-US"/>
              </w:rPr>
            </w:pPr>
            <w:r w:rsidRPr="00557CCF">
              <w:rPr>
                <w:szCs w:val="14"/>
                <w:lang w:val="en-US"/>
              </w:rPr>
              <w:t>Remuneration of third-party capital</w:t>
            </w:r>
          </w:p>
        </w:tc>
        <w:tc>
          <w:tcPr>
            <w:tcW w:w="709" w:type="dxa"/>
            <w:tcBorders>
              <w:top w:val="nil"/>
              <w:bottom w:val="nil"/>
            </w:tcBorders>
            <w:shd w:val="clear" w:color="auto" w:fill="auto"/>
            <w:vAlign w:val="center"/>
          </w:tcPr>
          <w:p w14:paraId="61EE3119"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lang w:val="en-US"/>
              </w:rPr>
            </w:pPr>
          </w:p>
        </w:tc>
        <w:tc>
          <w:tcPr>
            <w:tcW w:w="1559" w:type="dxa"/>
            <w:tcBorders>
              <w:top w:val="nil"/>
              <w:left w:val="nil"/>
              <w:bottom w:val="nil"/>
              <w:right w:val="nil"/>
            </w:tcBorders>
            <w:shd w:val="clear" w:color="auto" w:fill="auto"/>
            <w:vAlign w:val="center"/>
          </w:tcPr>
          <w:p w14:paraId="09DE77FB"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b/>
                <w:szCs w:val="14"/>
              </w:rPr>
              <w:t>41,690</w:t>
            </w:r>
          </w:p>
        </w:tc>
        <w:tc>
          <w:tcPr>
            <w:tcW w:w="1560" w:type="dxa"/>
            <w:tcBorders>
              <w:top w:val="nil"/>
              <w:left w:val="nil"/>
              <w:bottom w:val="nil"/>
              <w:right w:val="nil"/>
            </w:tcBorders>
            <w:shd w:val="clear" w:color="auto" w:fill="auto"/>
            <w:vAlign w:val="bottom"/>
          </w:tcPr>
          <w:p w14:paraId="36ADA13D"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b/>
                <w:szCs w:val="14"/>
              </w:rPr>
              <w:t>82,536</w:t>
            </w:r>
          </w:p>
        </w:tc>
        <w:tc>
          <w:tcPr>
            <w:tcW w:w="280" w:type="dxa"/>
            <w:tcBorders>
              <w:top w:val="nil"/>
              <w:left w:val="nil"/>
              <w:bottom w:val="nil"/>
              <w:right w:val="nil"/>
            </w:tcBorders>
            <w:shd w:val="clear" w:color="auto" w:fill="auto"/>
            <w:vAlign w:val="bottom"/>
          </w:tcPr>
          <w:p w14:paraId="3E0F7ED2"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73811A13"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b/>
                <w:szCs w:val="14"/>
              </w:rPr>
              <w:t>46,366</w:t>
            </w:r>
          </w:p>
        </w:tc>
        <w:tc>
          <w:tcPr>
            <w:tcW w:w="1560" w:type="dxa"/>
            <w:tcBorders>
              <w:top w:val="nil"/>
              <w:left w:val="nil"/>
              <w:bottom w:val="nil"/>
              <w:right w:val="nil"/>
            </w:tcBorders>
            <w:shd w:val="clear" w:color="auto" w:fill="auto"/>
            <w:vAlign w:val="bottom"/>
          </w:tcPr>
          <w:p w14:paraId="3AD2384C"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b/>
                <w:szCs w:val="14"/>
              </w:rPr>
              <w:t>86,646</w:t>
            </w:r>
          </w:p>
        </w:tc>
      </w:tr>
      <w:tr w:rsidR="009D25B5" w:rsidRPr="002965BB" w14:paraId="2C4C8D8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77FA184" w14:textId="77777777" w:rsidR="009D25B5" w:rsidRPr="00557CCF" w:rsidRDefault="009D25B5">
            <w:pPr>
              <w:pStyle w:val="08-Tabelageral"/>
              <w:ind w:left="176"/>
              <w:jc w:val="left"/>
              <w:rPr>
                <w:b w:val="0"/>
                <w:szCs w:val="14"/>
              </w:rPr>
            </w:pPr>
            <w:proofErr w:type="spellStart"/>
            <w:r w:rsidRPr="00557CCF">
              <w:rPr>
                <w:b w:val="0"/>
                <w:szCs w:val="14"/>
              </w:rPr>
              <w:t>Interest</w:t>
            </w:r>
            <w:proofErr w:type="spellEnd"/>
          </w:p>
        </w:tc>
        <w:tc>
          <w:tcPr>
            <w:tcW w:w="709" w:type="dxa"/>
            <w:tcBorders>
              <w:top w:val="nil"/>
              <w:bottom w:val="nil"/>
            </w:tcBorders>
            <w:shd w:val="clear" w:color="auto" w:fill="auto"/>
            <w:vAlign w:val="center"/>
          </w:tcPr>
          <w:p w14:paraId="3664283C" w14:textId="77777777" w:rsidR="009D25B5" w:rsidRPr="00557CCF" w:rsidRDefault="009D25B5">
            <w:pPr>
              <w:pStyle w:val="08-Tabelageral"/>
              <w:ind w:left="94"/>
              <w:jc w:val="center"/>
              <w:cnfStyle w:val="000000100000" w:firstRow="0" w:lastRow="0" w:firstColumn="0" w:lastColumn="0" w:oddVBand="0" w:evenVBand="0" w:oddHBand="1" w:evenHBand="0" w:firstRowFirstColumn="0" w:firstRowLastColumn="0" w:lastRowFirstColumn="0" w:lastRowLastColumn="0"/>
              <w:rPr>
                <w:szCs w:val="14"/>
              </w:rPr>
            </w:pPr>
            <w:r w:rsidRPr="00557CCF">
              <w:rPr>
                <w:szCs w:val="14"/>
              </w:rPr>
              <w:t>[14]</w:t>
            </w:r>
          </w:p>
        </w:tc>
        <w:tc>
          <w:tcPr>
            <w:tcW w:w="1559" w:type="dxa"/>
            <w:tcBorders>
              <w:top w:val="nil"/>
              <w:left w:val="nil"/>
              <w:bottom w:val="nil"/>
              <w:right w:val="nil"/>
            </w:tcBorders>
            <w:shd w:val="clear" w:color="auto" w:fill="auto"/>
            <w:vAlign w:val="center"/>
          </w:tcPr>
          <w:p w14:paraId="3B685320"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41,020</w:t>
            </w:r>
          </w:p>
        </w:tc>
        <w:tc>
          <w:tcPr>
            <w:tcW w:w="1560" w:type="dxa"/>
            <w:tcBorders>
              <w:top w:val="nil"/>
              <w:left w:val="nil"/>
              <w:bottom w:val="nil"/>
              <w:right w:val="nil"/>
            </w:tcBorders>
            <w:shd w:val="clear" w:color="auto" w:fill="auto"/>
            <w:vAlign w:val="bottom"/>
          </w:tcPr>
          <w:p w14:paraId="2C49B77C"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81,861</w:t>
            </w:r>
          </w:p>
        </w:tc>
        <w:tc>
          <w:tcPr>
            <w:tcW w:w="280" w:type="dxa"/>
            <w:tcBorders>
              <w:top w:val="nil"/>
              <w:left w:val="nil"/>
              <w:bottom w:val="nil"/>
              <w:right w:val="nil"/>
            </w:tcBorders>
            <w:shd w:val="clear" w:color="auto" w:fill="auto"/>
            <w:vAlign w:val="bottom"/>
          </w:tcPr>
          <w:p w14:paraId="2310E71E"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5A7F1FEC" w14:textId="77777777" w:rsidR="009D25B5" w:rsidRPr="009C6064" w:rsidRDefault="009D25B5">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42,638</w:t>
            </w:r>
          </w:p>
        </w:tc>
        <w:tc>
          <w:tcPr>
            <w:tcW w:w="1560" w:type="dxa"/>
            <w:tcBorders>
              <w:top w:val="nil"/>
              <w:left w:val="nil"/>
              <w:bottom w:val="nil"/>
              <w:right w:val="nil"/>
            </w:tcBorders>
            <w:shd w:val="clear" w:color="auto" w:fill="auto"/>
            <w:vAlign w:val="bottom"/>
          </w:tcPr>
          <w:p w14:paraId="59F87926"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83,386</w:t>
            </w:r>
          </w:p>
        </w:tc>
      </w:tr>
      <w:tr w:rsidR="009D25B5" w:rsidRPr="002965BB" w14:paraId="6CC6999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0FDE755F" w14:textId="77777777" w:rsidR="009D25B5" w:rsidRPr="00557CCF" w:rsidRDefault="009D25B5">
            <w:pPr>
              <w:pStyle w:val="08-Tabelageral"/>
              <w:ind w:left="176"/>
              <w:jc w:val="left"/>
              <w:rPr>
                <w:b w:val="0"/>
                <w:szCs w:val="14"/>
              </w:rPr>
            </w:pPr>
            <w:r w:rsidRPr="00557CCF">
              <w:rPr>
                <w:rStyle w:val="rynqvb"/>
                <w:b w:val="0"/>
                <w:szCs w:val="14"/>
                <w:lang w:val="en"/>
              </w:rPr>
              <w:t>Rents</w:t>
            </w:r>
          </w:p>
        </w:tc>
        <w:tc>
          <w:tcPr>
            <w:tcW w:w="709" w:type="dxa"/>
            <w:tcBorders>
              <w:top w:val="nil"/>
              <w:bottom w:val="nil"/>
            </w:tcBorders>
            <w:shd w:val="clear" w:color="auto" w:fill="auto"/>
            <w:vAlign w:val="center"/>
          </w:tcPr>
          <w:p w14:paraId="6449849E"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737189B2"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670</w:t>
            </w:r>
          </w:p>
        </w:tc>
        <w:tc>
          <w:tcPr>
            <w:tcW w:w="1560" w:type="dxa"/>
            <w:tcBorders>
              <w:top w:val="nil"/>
              <w:left w:val="nil"/>
              <w:bottom w:val="nil"/>
              <w:right w:val="nil"/>
            </w:tcBorders>
            <w:shd w:val="clear" w:color="auto" w:fill="auto"/>
            <w:vAlign w:val="bottom"/>
          </w:tcPr>
          <w:p w14:paraId="65BC6BDF"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675</w:t>
            </w:r>
          </w:p>
        </w:tc>
        <w:tc>
          <w:tcPr>
            <w:tcW w:w="280" w:type="dxa"/>
            <w:tcBorders>
              <w:top w:val="nil"/>
              <w:left w:val="nil"/>
              <w:bottom w:val="nil"/>
              <w:right w:val="nil"/>
            </w:tcBorders>
            <w:shd w:val="clear" w:color="auto" w:fill="auto"/>
            <w:vAlign w:val="bottom"/>
          </w:tcPr>
          <w:p w14:paraId="08832DBF"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2B7EA2CC" w14:textId="77777777" w:rsidR="009D25B5" w:rsidRPr="009C6064"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3,728</w:t>
            </w:r>
          </w:p>
        </w:tc>
        <w:tc>
          <w:tcPr>
            <w:tcW w:w="1560" w:type="dxa"/>
            <w:tcBorders>
              <w:top w:val="nil"/>
              <w:left w:val="nil"/>
              <w:bottom w:val="nil"/>
              <w:right w:val="nil"/>
            </w:tcBorders>
            <w:shd w:val="clear" w:color="auto" w:fill="auto"/>
            <w:vAlign w:val="bottom"/>
          </w:tcPr>
          <w:p w14:paraId="34383E9B"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r>
              <w:rPr>
                <w:rFonts w:cs="Arial"/>
                <w:szCs w:val="14"/>
              </w:rPr>
              <w:t>3,260</w:t>
            </w:r>
          </w:p>
        </w:tc>
      </w:tr>
      <w:tr w:rsidR="009D25B5" w:rsidRPr="002965BB" w14:paraId="6AC23DE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1A005662" w14:textId="77777777" w:rsidR="009D25B5" w:rsidRPr="00557CCF" w:rsidRDefault="009D25B5">
            <w:pPr>
              <w:pStyle w:val="08-Tabelageral"/>
              <w:ind w:left="113"/>
              <w:jc w:val="left"/>
              <w:rPr>
                <w:szCs w:val="14"/>
              </w:rPr>
            </w:pPr>
            <w:proofErr w:type="spellStart"/>
            <w:r w:rsidRPr="00557CCF">
              <w:rPr>
                <w:szCs w:val="14"/>
              </w:rPr>
              <w:t>Equity</w:t>
            </w:r>
            <w:proofErr w:type="spellEnd"/>
            <w:r w:rsidRPr="00557CCF">
              <w:rPr>
                <w:szCs w:val="14"/>
              </w:rPr>
              <w:t xml:space="preserve"> </w:t>
            </w:r>
            <w:proofErr w:type="spellStart"/>
            <w:r w:rsidRPr="00557CCF">
              <w:rPr>
                <w:szCs w:val="14"/>
              </w:rPr>
              <w:t>remuneration</w:t>
            </w:r>
            <w:proofErr w:type="spellEnd"/>
          </w:p>
        </w:tc>
        <w:tc>
          <w:tcPr>
            <w:tcW w:w="709" w:type="dxa"/>
            <w:tcBorders>
              <w:top w:val="nil"/>
              <w:bottom w:val="nil"/>
            </w:tcBorders>
            <w:shd w:val="clear" w:color="auto" w:fill="auto"/>
            <w:vAlign w:val="center"/>
          </w:tcPr>
          <w:p w14:paraId="19FEBD8D"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5CBA9CCB"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b/>
                <w:szCs w:val="14"/>
              </w:rPr>
              <w:t>8,703,353</w:t>
            </w:r>
          </w:p>
        </w:tc>
        <w:tc>
          <w:tcPr>
            <w:tcW w:w="1560" w:type="dxa"/>
            <w:tcBorders>
              <w:top w:val="nil"/>
              <w:left w:val="nil"/>
              <w:bottom w:val="nil"/>
              <w:right w:val="nil"/>
            </w:tcBorders>
            <w:shd w:val="clear" w:color="auto" w:fill="auto"/>
            <w:vAlign w:val="bottom"/>
          </w:tcPr>
          <w:p w14:paraId="7E1DF807"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b/>
                <w:szCs w:val="14"/>
              </w:rPr>
              <w:t>7,947,203</w:t>
            </w:r>
          </w:p>
        </w:tc>
        <w:tc>
          <w:tcPr>
            <w:tcW w:w="280" w:type="dxa"/>
            <w:tcBorders>
              <w:top w:val="nil"/>
              <w:left w:val="nil"/>
              <w:bottom w:val="nil"/>
              <w:right w:val="nil"/>
            </w:tcBorders>
            <w:shd w:val="clear" w:color="auto" w:fill="auto"/>
            <w:vAlign w:val="bottom"/>
          </w:tcPr>
          <w:p w14:paraId="5EC10E0A"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2F448C3F"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b/>
                <w:szCs w:val="14"/>
              </w:rPr>
              <w:t>8,703,353</w:t>
            </w:r>
          </w:p>
        </w:tc>
        <w:tc>
          <w:tcPr>
            <w:tcW w:w="1560" w:type="dxa"/>
            <w:tcBorders>
              <w:top w:val="nil"/>
              <w:left w:val="nil"/>
              <w:bottom w:val="nil"/>
              <w:right w:val="nil"/>
            </w:tcBorders>
            <w:shd w:val="clear" w:color="auto" w:fill="auto"/>
            <w:vAlign w:val="bottom"/>
          </w:tcPr>
          <w:p w14:paraId="73C514F7"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b/>
                <w:szCs w:val="14"/>
              </w:rPr>
              <w:t>7,947,203</w:t>
            </w:r>
          </w:p>
        </w:tc>
      </w:tr>
      <w:tr w:rsidR="009D25B5" w:rsidRPr="002965BB" w14:paraId="7C720DB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auto"/>
            <w:vAlign w:val="center"/>
          </w:tcPr>
          <w:p w14:paraId="38CD3EE7" w14:textId="77777777" w:rsidR="009D25B5" w:rsidRPr="00557CCF" w:rsidRDefault="009D25B5">
            <w:pPr>
              <w:pStyle w:val="08-Tabelageral"/>
              <w:ind w:left="176"/>
              <w:jc w:val="left"/>
              <w:rPr>
                <w:szCs w:val="14"/>
              </w:rPr>
            </w:pPr>
            <w:proofErr w:type="spellStart"/>
            <w:r w:rsidRPr="00557CCF">
              <w:rPr>
                <w:b w:val="0"/>
                <w:szCs w:val="14"/>
              </w:rPr>
              <w:t>Dividends</w:t>
            </w:r>
            <w:proofErr w:type="spellEnd"/>
          </w:p>
        </w:tc>
        <w:tc>
          <w:tcPr>
            <w:tcW w:w="709" w:type="dxa"/>
            <w:tcBorders>
              <w:top w:val="nil"/>
              <w:bottom w:val="nil"/>
            </w:tcBorders>
            <w:shd w:val="clear" w:color="auto" w:fill="auto"/>
            <w:vAlign w:val="center"/>
          </w:tcPr>
          <w:p w14:paraId="34F2ED0D" w14:textId="77777777" w:rsidR="009D25B5" w:rsidRPr="00557CCF" w:rsidRDefault="009D25B5">
            <w:pPr>
              <w:pStyle w:val="08-Tabelageral"/>
              <w:ind w:left="113"/>
              <w:jc w:val="center"/>
              <w:cnfStyle w:val="000000010000" w:firstRow="0" w:lastRow="0" w:firstColumn="0" w:lastColumn="0" w:oddVBand="0" w:evenVBand="0" w:oddHBand="0" w:evenHBand="1" w:firstRowFirstColumn="0" w:firstRowLastColumn="0" w:lastRowFirstColumn="0" w:lastRowLastColumn="0"/>
              <w:rPr>
                <w:b/>
                <w:szCs w:val="14"/>
              </w:rPr>
            </w:pPr>
          </w:p>
        </w:tc>
        <w:tc>
          <w:tcPr>
            <w:tcW w:w="1559" w:type="dxa"/>
            <w:tcBorders>
              <w:top w:val="nil"/>
              <w:left w:val="nil"/>
              <w:bottom w:val="nil"/>
              <w:right w:val="nil"/>
            </w:tcBorders>
            <w:shd w:val="clear" w:color="auto" w:fill="auto"/>
            <w:vAlign w:val="center"/>
          </w:tcPr>
          <w:p w14:paraId="667CC9FC" w14:textId="77777777" w:rsidR="009D25B5" w:rsidRPr="00D7227A"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szCs w:val="14"/>
              </w:rPr>
              <w:t>7,111,000</w:t>
            </w:r>
          </w:p>
        </w:tc>
        <w:tc>
          <w:tcPr>
            <w:tcW w:w="1560" w:type="dxa"/>
            <w:tcBorders>
              <w:top w:val="nil"/>
              <w:left w:val="nil"/>
              <w:bottom w:val="nil"/>
              <w:right w:val="nil"/>
            </w:tcBorders>
            <w:shd w:val="clear" w:color="auto" w:fill="auto"/>
            <w:vAlign w:val="bottom"/>
          </w:tcPr>
          <w:p w14:paraId="5C5DC693" w14:textId="77777777" w:rsidR="009D25B5" w:rsidRPr="00D7227A"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szCs w:val="14"/>
              </w:rPr>
              <w:t>5,665,000</w:t>
            </w:r>
          </w:p>
        </w:tc>
        <w:tc>
          <w:tcPr>
            <w:tcW w:w="280" w:type="dxa"/>
            <w:tcBorders>
              <w:top w:val="nil"/>
              <w:left w:val="nil"/>
              <w:bottom w:val="nil"/>
              <w:right w:val="nil"/>
            </w:tcBorders>
            <w:shd w:val="clear" w:color="auto" w:fill="auto"/>
            <w:vAlign w:val="center"/>
          </w:tcPr>
          <w:p w14:paraId="1497E32D"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rPr>
            </w:pPr>
          </w:p>
        </w:tc>
        <w:tc>
          <w:tcPr>
            <w:tcW w:w="1562" w:type="dxa"/>
            <w:tcBorders>
              <w:top w:val="nil"/>
              <w:left w:val="nil"/>
              <w:bottom w:val="nil"/>
              <w:right w:val="nil"/>
            </w:tcBorders>
            <w:shd w:val="clear" w:color="auto" w:fill="auto"/>
            <w:vAlign w:val="bottom"/>
          </w:tcPr>
          <w:p w14:paraId="21F2ECCC" w14:textId="77777777" w:rsidR="009D25B5" w:rsidRPr="00D7227A" w:rsidRDefault="009D25B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szCs w:val="14"/>
              </w:rPr>
              <w:t>7,111,000</w:t>
            </w:r>
          </w:p>
        </w:tc>
        <w:tc>
          <w:tcPr>
            <w:tcW w:w="1560" w:type="dxa"/>
            <w:tcBorders>
              <w:top w:val="nil"/>
              <w:left w:val="nil"/>
              <w:bottom w:val="nil"/>
              <w:right w:val="nil"/>
            </w:tcBorders>
            <w:shd w:val="clear" w:color="auto" w:fill="auto"/>
            <w:vAlign w:val="bottom"/>
          </w:tcPr>
          <w:p w14:paraId="7F731177" w14:textId="77777777" w:rsidR="009D25B5" w:rsidRPr="00557CCF" w:rsidRDefault="009D25B5">
            <w:pPr>
              <w:pStyle w:val="08-Tabelageral"/>
              <w:ind w:left="113"/>
              <w:cnfStyle w:val="000000010000" w:firstRow="0" w:lastRow="0" w:firstColumn="0" w:lastColumn="0" w:oddVBand="0" w:evenVBand="0" w:oddHBand="0" w:evenHBand="1" w:firstRowFirstColumn="0" w:firstRowLastColumn="0" w:lastRowFirstColumn="0" w:lastRowLastColumn="0"/>
              <w:rPr>
                <w:b/>
                <w:szCs w:val="14"/>
                <w:lang w:eastAsia="en-US"/>
              </w:rPr>
            </w:pPr>
            <w:r>
              <w:rPr>
                <w:rFonts w:cs="Arial"/>
                <w:szCs w:val="14"/>
              </w:rPr>
              <w:t>5,665,000</w:t>
            </w:r>
          </w:p>
        </w:tc>
      </w:tr>
      <w:tr w:rsidR="009D25B5" w:rsidRPr="002965BB" w14:paraId="1D6299B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shd w:val="clear" w:color="auto" w:fill="auto"/>
            <w:vAlign w:val="center"/>
          </w:tcPr>
          <w:p w14:paraId="3E863A9E" w14:textId="77777777" w:rsidR="009D25B5" w:rsidRPr="00557CCF" w:rsidRDefault="009D25B5">
            <w:pPr>
              <w:pStyle w:val="08-Tabelageral"/>
              <w:ind w:left="113" w:firstLine="63"/>
              <w:jc w:val="left"/>
              <w:rPr>
                <w:b w:val="0"/>
                <w:szCs w:val="14"/>
                <w:lang w:val="en-US"/>
              </w:rPr>
            </w:pPr>
            <w:r w:rsidRPr="00557CCF">
              <w:rPr>
                <w:rStyle w:val="shorttext"/>
                <w:b w:val="0"/>
                <w:szCs w:val="14"/>
                <w:lang w:val="en"/>
              </w:rPr>
              <w:t>Retained earnings for the period</w:t>
            </w:r>
          </w:p>
        </w:tc>
        <w:tc>
          <w:tcPr>
            <w:tcW w:w="709" w:type="dxa"/>
            <w:tcBorders>
              <w:top w:val="nil"/>
              <w:bottom w:val="single" w:sz="2" w:space="0" w:color="1F3864" w:themeColor="accent1" w:themeShade="80"/>
            </w:tcBorders>
            <w:shd w:val="clear" w:color="auto" w:fill="auto"/>
            <w:vAlign w:val="center"/>
          </w:tcPr>
          <w:p w14:paraId="3E839E55" w14:textId="77777777" w:rsidR="009D25B5" w:rsidRPr="00557CCF" w:rsidRDefault="009D25B5">
            <w:pPr>
              <w:pStyle w:val="08-Tabelageral"/>
              <w:ind w:left="113"/>
              <w:jc w:val="center"/>
              <w:cnfStyle w:val="000000100000" w:firstRow="0" w:lastRow="0" w:firstColumn="0" w:lastColumn="0" w:oddVBand="0" w:evenVBand="0" w:oddHBand="1" w:evenHBand="0" w:firstRowFirstColumn="0" w:firstRowLastColumn="0" w:lastRowFirstColumn="0" w:lastRowLastColumn="0"/>
              <w:rPr>
                <w:b/>
                <w:szCs w:val="14"/>
                <w:lang w:val="en-US"/>
              </w:rPr>
            </w:pPr>
          </w:p>
        </w:tc>
        <w:tc>
          <w:tcPr>
            <w:tcW w:w="1559" w:type="dxa"/>
            <w:tcBorders>
              <w:top w:val="nil"/>
              <w:left w:val="nil"/>
              <w:bottom w:val="single" w:sz="2" w:space="0" w:color="1F3864" w:themeColor="accent1" w:themeShade="80"/>
              <w:right w:val="nil"/>
            </w:tcBorders>
            <w:shd w:val="clear" w:color="auto" w:fill="auto"/>
            <w:vAlign w:val="center"/>
          </w:tcPr>
          <w:p w14:paraId="5A5E0209"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1,592,353</w:t>
            </w:r>
          </w:p>
        </w:tc>
        <w:tc>
          <w:tcPr>
            <w:tcW w:w="1560" w:type="dxa"/>
            <w:tcBorders>
              <w:top w:val="nil"/>
              <w:left w:val="nil"/>
              <w:bottom w:val="single" w:sz="2" w:space="0" w:color="1F3864" w:themeColor="accent1" w:themeShade="80"/>
              <w:right w:val="nil"/>
            </w:tcBorders>
            <w:shd w:val="clear" w:color="auto" w:fill="auto"/>
            <w:vAlign w:val="bottom"/>
          </w:tcPr>
          <w:p w14:paraId="63810755"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2,282,203</w:t>
            </w:r>
          </w:p>
        </w:tc>
        <w:tc>
          <w:tcPr>
            <w:tcW w:w="280" w:type="dxa"/>
            <w:tcBorders>
              <w:top w:val="nil"/>
              <w:left w:val="nil"/>
              <w:bottom w:val="single" w:sz="2" w:space="0" w:color="1F3864" w:themeColor="accent1" w:themeShade="80"/>
              <w:right w:val="nil"/>
            </w:tcBorders>
            <w:shd w:val="clear" w:color="auto" w:fill="auto"/>
            <w:vAlign w:val="center"/>
          </w:tcPr>
          <w:p w14:paraId="68032F94"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562" w:type="dxa"/>
            <w:tcBorders>
              <w:top w:val="nil"/>
              <w:left w:val="nil"/>
              <w:bottom w:val="single" w:sz="2" w:space="0" w:color="1F3864" w:themeColor="accent1" w:themeShade="80"/>
              <w:right w:val="nil"/>
            </w:tcBorders>
            <w:shd w:val="clear" w:color="auto" w:fill="auto"/>
            <w:vAlign w:val="center"/>
          </w:tcPr>
          <w:p w14:paraId="5D452997"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1,592,353</w:t>
            </w:r>
          </w:p>
        </w:tc>
        <w:tc>
          <w:tcPr>
            <w:tcW w:w="1560" w:type="dxa"/>
            <w:tcBorders>
              <w:top w:val="nil"/>
              <w:left w:val="nil"/>
              <w:bottom w:val="single" w:sz="2" w:space="0" w:color="1F3864" w:themeColor="accent1" w:themeShade="80"/>
              <w:right w:val="nil"/>
            </w:tcBorders>
            <w:shd w:val="clear" w:color="auto" w:fill="auto"/>
            <w:vAlign w:val="bottom"/>
          </w:tcPr>
          <w:p w14:paraId="4159641E" w14:textId="77777777" w:rsidR="009D25B5" w:rsidRPr="00557CCF" w:rsidRDefault="009D25B5">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2,282,203</w:t>
            </w:r>
          </w:p>
        </w:tc>
      </w:tr>
    </w:tbl>
    <w:bookmarkEnd w:id="21"/>
    <w:p w14:paraId="6AAF812E" w14:textId="77777777" w:rsidR="009D25B5" w:rsidRDefault="009D25B5" w:rsidP="009D25B5">
      <w:pPr>
        <w:jc w:val="both"/>
        <w:rPr>
          <w:rFonts w:ascii="Arial" w:hAnsi="Arial" w:cs="Arial"/>
          <w:sz w:val="14"/>
          <w:szCs w:val="14"/>
          <w:lang w:val="en-US"/>
        </w:rPr>
      </w:pPr>
      <w:r w:rsidRPr="00C929DB">
        <w:rPr>
          <w:rFonts w:ascii="Arial" w:hAnsi="Arial" w:cs="Arial"/>
          <w:sz w:val="14"/>
          <w:szCs w:val="14"/>
          <w:lang w:val="en-US"/>
        </w:rPr>
        <w:t>The explanatory notes are an integral part of the financial statements.</w:t>
      </w:r>
    </w:p>
    <w:p w14:paraId="60D315C6" w14:textId="77777777" w:rsidR="009416C6" w:rsidRPr="009416C6" w:rsidRDefault="009416C6" w:rsidP="009416C6">
      <w:pPr>
        <w:rPr>
          <w:lang w:val="en-US"/>
        </w:rPr>
      </w:pPr>
    </w:p>
    <w:p w14:paraId="116BFD4E" w14:textId="0AAF9B33" w:rsidR="006E7795" w:rsidRPr="008E65B8" w:rsidRDefault="006E7795" w:rsidP="00EC1479">
      <w:pPr>
        <w:pStyle w:val="06-Rmil"/>
        <w:rPr>
          <w:rFonts w:cs="Arial"/>
          <w:sz w:val="18"/>
          <w:lang w:val="en-US"/>
        </w:rPr>
      </w:pPr>
    </w:p>
    <w:p w14:paraId="6A3A4C91" w14:textId="77777777" w:rsidR="0036649B" w:rsidRPr="004C5A7A" w:rsidRDefault="0036649B" w:rsidP="0036649B">
      <w:pPr>
        <w:rPr>
          <w:rFonts w:ascii="Arial" w:hAnsi="Arial" w:cs="Arial"/>
          <w:lang w:val="en-US" w:eastAsia="pt-BR"/>
        </w:rPr>
      </w:pPr>
    </w:p>
    <w:p w14:paraId="41220BC0" w14:textId="77777777" w:rsidR="0036649B" w:rsidRPr="004C5A7A" w:rsidRDefault="0036649B" w:rsidP="0036649B">
      <w:pPr>
        <w:rPr>
          <w:rFonts w:ascii="Arial" w:hAnsi="Arial" w:cs="Arial"/>
          <w:lang w:val="en-US" w:eastAsia="pt-BR"/>
        </w:rPr>
      </w:pPr>
    </w:p>
    <w:p w14:paraId="22B5AD05" w14:textId="77777777" w:rsidR="0036649B" w:rsidRPr="004C5A7A" w:rsidRDefault="0036649B" w:rsidP="0036649B">
      <w:pPr>
        <w:rPr>
          <w:rFonts w:ascii="Arial" w:eastAsia="Times New Roman" w:hAnsi="Arial" w:cs="Arial"/>
          <w:b/>
          <w:spacing w:val="-2"/>
          <w:sz w:val="18"/>
          <w:szCs w:val="18"/>
          <w:lang w:val="en-US" w:eastAsia="pt-BR"/>
        </w:rPr>
      </w:pPr>
    </w:p>
    <w:p w14:paraId="64E02E98" w14:textId="023DE6F4" w:rsidR="0036649B" w:rsidRPr="004C5A7A" w:rsidRDefault="0036649B" w:rsidP="0036649B">
      <w:pPr>
        <w:tabs>
          <w:tab w:val="left" w:pos="2438"/>
        </w:tabs>
        <w:rPr>
          <w:rFonts w:ascii="Arial" w:hAnsi="Arial" w:cs="Arial"/>
          <w:lang w:val="en-US" w:eastAsia="pt-BR"/>
        </w:rPr>
      </w:pPr>
      <w:r w:rsidRPr="004C5A7A">
        <w:rPr>
          <w:rFonts w:ascii="Arial" w:hAnsi="Arial" w:cs="Arial"/>
          <w:lang w:val="en-US" w:eastAsia="pt-BR"/>
        </w:rPr>
        <w:tab/>
      </w:r>
    </w:p>
    <w:p w14:paraId="748B7E09" w14:textId="6840118E" w:rsidR="007D4AB0" w:rsidRPr="00432934" w:rsidRDefault="008E65B8" w:rsidP="00EC1479">
      <w:pPr>
        <w:pStyle w:val="Ttulo1"/>
        <w:keepNext w:val="0"/>
        <w:keepLines w:val="0"/>
        <w:pageBreakBefore/>
        <w:spacing w:line="259" w:lineRule="auto"/>
        <w:jc w:val="both"/>
        <w:rPr>
          <w:rFonts w:ascii="Arial" w:hAnsi="Arial" w:cs="Arial"/>
          <w:b/>
          <w:color w:val="1F3864" w:themeColor="accent1" w:themeShade="80"/>
          <w:sz w:val="20"/>
          <w:lang w:val="en-US"/>
        </w:rPr>
      </w:pPr>
      <w:bookmarkStart w:id="22" w:name="_Toc149573384"/>
      <w:bookmarkStart w:id="23" w:name="_Toc157446711"/>
      <w:bookmarkStart w:id="24" w:name="_Toc190680621"/>
      <w:r w:rsidRPr="00432934">
        <w:rPr>
          <w:rFonts w:ascii="Arial" w:hAnsi="Arial" w:cs="Arial"/>
          <w:b/>
          <w:color w:val="1F3864" w:themeColor="accent1" w:themeShade="80"/>
          <w:sz w:val="20"/>
          <w:lang w:val="en-US"/>
        </w:rPr>
        <w:lastRenderedPageBreak/>
        <w:t>EXPLANATORY NOTES TO THE FINANCIAL STATEMENTS</w:t>
      </w:r>
      <w:bookmarkEnd w:id="22"/>
      <w:bookmarkEnd w:id="23"/>
      <w:bookmarkEnd w:id="24"/>
    </w:p>
    <w:p w14:paraId="2C9D6FFF" w14:textId="77777777" w:rsidR="007D4AB0" w:rsidRPr="00E53CE7" w:rsidRDefault="008E65B8" w:rsidP="009161A3">
      <w:pPr>
        <w:pStyle w:val="Ttulo1"/>
        <w:rPr>
          <w:rFonts w:ascii="Arial" w:hAnsi="Arial" w:cs="Arial"/>
          <w:b/>
          <w:color w:val="1F3864" w:themeColor="accent1" w:themeShade="80"/>
          <w:sz w:val="20"/>
          <w:szCs w:val="12"/>
          <w:lang w:val="en-US"/>
        </w:rPr>
      </w:pPr>
      <w:bookmarkStart w:id="25" w:name="_Toc157446712"/>
      <w:bookmarkStart w:id="26" w:name="_Toc190680622"/>
      <w:r w:rsidRPr="00E53CE7">
        <w:rPr>
          <w:rFonts w:ascii="Arial" w:hAnsi="Arial" w:cs="Arial"/>
          <w:b/>
          <w:color w:val="1F3864" w:themeColor="accent1" w:themeShade="80"/>
          <w:sz w:val="20"/>
          <w:szCs w:val="12"/>
          <w:lang w:val="en-US"/>
        </w:rPr>
        <w:t>1 - OPERATIONAL CONTEXT</w:t>
      </w:r>
      <w:bookmarkEnd w:id="25"/>
      <w:bookmarkEnd w:id="26"/>
    </w:p>
    <w:p w14:paraId="569E1587" w14:textId="77777777" w:rsidR="00494AF8" w:rsidRPr="00F66E79" w:rsidRDefault="00494AF8" w:rsidP="00494AF8">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w:t>
      </w:r>
      <w:proofErr w:type="spellStart"/>
      <w:r w:rsidRPr="00F66E79">
        <w:rPr>
          <w:lang w:val="en-US"/>
        </w:rPr>
        <w:t>Brasil</w:t>
      </w:r>
      <w:proofErr w:type="spellEnd"/>
      <w:r w:rsidRPr="00F66E79">
        <w:rPr>
          <w:lang w:val="en-US"/>
        </w:rPr>
        <w:t xml:space="preserve"> SA, incorporated on December 20th, 2012, which operates in insurance business. It is a </w:t>
      </w:r>
      <w:proofErr w:type="gramStart"/>
      <w:r w:rsidRPr="00F66E79">
        <w:rPr>
          <w:lang w:val="en-US"/>
        </w:rPr>
        <w:t>publicly-held</w:t>
      </w:r>
      <w:proofErr w:type="gramEnd"/>
      <w:r w:rsidRPr="00F66E79">
        <w:rPr>
          <w:lang w:val="en-US"/>
        </w:rPr>
        <w:t xml:space="preserve">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09ACCD43" w14:textId="77777777" w:rsidR="00494AF8" w:rsidRPr="00F66E79" w:rsidRDefault="00494AF8" w:rsidP="00494AF8">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w:t>
      </w:r>
      <w:proofErr w:type="gramStart"/>
      <w:r w:rsidRPr="00F66E79">
        <w:rPr>
          <w:lang w:val="en-US"/>
        </w:rPr>
        <w:t>do</w:t>
      </w:r>
      <w:proofErr w:type="gramEnd"/>
      <w:r w:rsidRPr="00F66E79">
        <w:rPr>
          <w:lang w:val="en-US"/>
        </w:rPr>
        <w:t xml:space="preserve"> </w:t>
      </w:r>
      <w:proofErr w:type="spellStart"/>
      <w:r w:rsidRPr="00F66E79">
        <w:rPr>
          <w:lang w:val="en-US"/>
        </w:rPr>
        <w:t>Brasil</w:t>
      </w:r>
      <w:proofErr w:type="spellEnd"/>
      <w:r w:rsidRPr="00F66E79">
        <w:rPr>
          <w:lang w:val="en-US"/>
        </w:rPr>
        <w:t xml:space="preserve"> Building, Asa Norte, Brasília, Distrito Federal, Brazil.</w:t>
      </w:r>
    </w:p>
    <w:p w14:paraId="454B486C" w14:textId="77777777" w:rsidR="00494AF8" w:rsidRPr="00F66E79" w:rsidRDefault="00494AF8" w:rsidP="00494AF8">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74264334" w14:textId="77777777" w:rsidR="00494AF8" w:rsidRPr="00F66E79" w:rsidRDefault="00494AF8" w:rsidP="00494AF8">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 xml:space="preserve">two </w:t>
      </w:r>
      <w:proofErr w:type="gramStart"/>
      <w:r w:rsidRPr="00F66E79">
        <w:rPr>
          <w:lang w:val="en-US"/>
        </w:rPr>
        <w:t>wholly-owned</w:t>
      </w:r>
      <w:proofErr w:type="gramEnd"/>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w:t>
      </w:r>
      <w:proofErr w:type="spellStart"/>
      <w:r w:rsidRPr="00F66E79">
        <w:rPr>
          <w:lang w:val="en-US"/>
        </w:rPr>
        <w:t>Corretora</w:t>
      </w:r>
      <w:proofErr w:type="spellEnd"/>
      <w:r w:rsidRPr="00F66E79">
        <w:rPr>
          <w:lang w:val="en-US"/>
        </w:rPr>
        <w:t xml:space="preserve"> de </w:t>
      </w:r>
      <w:proofErr w:type="spellStart"/>
      <w:r w:rsidRPr="00F66E79">
        <w:rPr>
          <w:lang w:val="en-US"/>
        </w:rPr>
        <w:t>Seguros</w:t>
      </w:r>
      <w:proofErr w:type="spellEnd"/>
      <w:r w:rsidRPr="00F66E79">
        <w:rPr>
          <w:lang w:val="en-US"/>
        </w:rPr>
        <w:t xml:space="preserve"> e </w:t>
      </w:r>
      <w:proofErr w:type="spellStart"/>
      <w:r w:rsidRPr="00F66E79">
        <w:rPr>
          <w:lang w:val="en-US"/>
        </w:rPr>
        <w:t>Administradora</w:t>
      </w:r>
      <w:proofErr w:type="spellEnd"/>
      <w:r w:rsidRPr="00F66E79">
        <w:rPr>
          <w:lang w:val="en-US"/>
        </w:rPr>
        <w:t xml:space="preserve"> de Bens S.A. ("BB </w:t>
      </w:r>
      <w:proofErr w:type="spellStart"/>
      <w:r w:rsidRPr="00F66E79">
        <w:rPr>
          <w:lang w:val="en-US"/>
        </w:rPr>
        <w:t>Corretora</w:t>
      </w:r>
      <w:proofErr w:type="spellEnd"/>
      <w:r w:rsidRPr="00F66E79">
        <w:rPr>
          <w:lang w:val="en-US"/>
        </w:rPr>
        <w:t xml:space="preserve">"), the corporate structure that makes up the BB </w:t>
      </w:r>
      <w:proofErr w:type="spellStart"/>
      <w:r w:rsidRPr="00F66E79">
        <w:rPr>
          <w:lang w:val="en-US"/>
        </w:rPr>
        <w:t>Seguridade</w:t>
      </w:r>
      <w:proofErr w:type="spellEnd"/>
      <w:r w:rsidRPr="00F66E79">
        <w:rPr>
          <w:lang w:val="en-US"/>
        </w:rPr>
        <w:t xml:space="preserve"> Group ("Group").</w:t>
      </w:r>
    </w:p>
    <w:p w14:paraId="7AED1846" w14:textId="77777777" w:rsidR="00494AF8" w:rsidRPr="00F66E79" w:rsidRDefault="00494AF8" w:rsidP="00494AF8">
      <w:pPr>
        <w:pStyle w:val="05-Textonormal"/>
        <w:rPr>
          <w:lang w:val="en-US"/>
        </w:rPr>
      </w:pPr>
      <w:r w:rsidRPr="00F66E79">
        <w:rPr>
          <w:lang w:val="en-US"/>
        </w:rPr>
        <w:t xml:space="preserve">Such stake </w:t>
      </w:r>
      <w:r>
        <w:rPr>
          <w:lang w:val="en-US"/>
        </w:rPr>
        <w:t>are</w:t>
      </w:r>
      <w:r w:rsidRPr="00F66E79">
        <w:rPr>
          <w:lang w:val="en-US"/>
        </w:rPr>
        <w:t xml:space="preserve"> currently organized into two segments: risk and accumulation businesses, which operate insurance, open pension funds, capitalization and dental care plans products through BB </w:t>
      </w:r>
      <w:proofErr w:type="spellStart"/>
      <w:r w:rsidRPr="00F66E79">
        <w:rPr>
          <w:lang w:val="en-US"/>
        </w:rPr>
        <w:t>Seguros</w:t>
      </w:r>
      <w:proofErr w:type="spellEnd"/>
      <w:r w:rsidRPr="00F66E79">
        <w:rPr>
          <w:lang w:val="en-US"/>
        </w:rPr>
        <w:t xml:space="preserve"> with private partners; and distribution business, which sells insurance, open pension funds, capitalization bonds and private dental care plans, through BB </w:t>
      </w:r>
      <w:proofErr w:type="spellStart"/>
      <w:r w:rsidRPr="00F66E79">
        <w:rPr>
          <w:lang w:val="en-US"/>
        </w:rPr>
        <w:t>Corretora</w:t>
      </w:r>
      <w:proofErr w:type="spellEnd"/>
      <w:r w:rsidRPr="00F66E79">
        <w:rPr>
          <w:lang w:val="en-US"/>
        </w:rPr>
        <w:t>, in addition to an investment that operates in the distribution of insurance products through digital channels.</w:t>
      </w:r>
    </w:p>
    <w:p w14:paraId="74C93554" w14:textId="77777777" w:rsidR="00494AF8" w:rsidRDefault="00494AF8" w:rsidP="00494AF8">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w:t>
      </w:r>
      <w:proofErr w:type="spellStart"/>
      <w:r w:rsidRPr="00F66E79">
        <w:rPr>
          <w:lang w:val="en-US"/>
        </w:rPr>
        <w:t>Seguros</w:t>
      </w:r>
      <w:proofErr w:type="spellEnd"/>
      <w:r w:rsidRPr="00F66E79">
        <w:rPr>
          <w:lang w:val="en-US"/>
        </w:rPr>
        <w:t xml:space="preserve">, and indirectly in the </w:t>
      </w:r>
      <w:proofErr w:type="spellStart"/>
      <w:r w:rsidRPr="00F66E79">
        <w:rPr>
          <w:lang w:val="en-US"/>
        </w:rPr>
        <w:t>companies</w:t>
      </w:r>
      <w:proofErr w:type="spellEnd"/>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w:t>
      </w:r>
      <w:proofErr w:type="spellStart"/>
      <w:r w:rsidRPr="00F66E79">
        <w:rPr>
          <w:lang w:val="en-US"/>
        </w:rPr>
        <w:t>Brasil</w:t>
      </w:r>
      <w:proofErr w:type="spellEnd"/>
      <w:r w:rsidRPr="00F66E79">
        <w:rPr>
          <w:lang w:val="en-US"/>
        </w:rPr>
        <w:t xml:space="preserve"> </w:t>
      </w:r>
      <w:proofErr w:type="spellStart"/>
      <w:r w:rsidRPr="00F66E79">
        <w:rPr>
          <w:lang w:val="en-US"/>
        </w:rPr>
        <w:t>Seguros</w:t>
      </w:r>
      <w:proofErr w:type="spellEnd"/>
      <w:r w:rsidRPr="00F66E79">
        <w:rPr>
          <w:lang w:val="en-US"/>
        </w:rPr>
        <w:t>, subsidiaries of BB M</w:t>
      </w:r>
      <w:r>
        <w:rPr>
          <w:lang w:val="en-US"/>
        </w:rPr>
        <w:t>APFRE</w:t>
      </w:r>
      <w:r w:rsidRPr="00F66E79">
        <w:rPr>
          <w:lang w:val="en-US"/>
        </w:rPr>
        <w:t xml:space="preserve">. In the distribution business, </w:t>
      </w:r>
      <w:r w:rsidRPr="00BD3B12">
        <w:rPr>
          <w:lang w:val="en-US"/>
        </w:rPr>
        <w:t xml:space="preserve">it operates through BB </w:t>
      </w:r>
      <w:proofErr w:type="spellStart"/>
      <w:r w:rsidRPr="00BD3B12">
        <w:rPr>
          <w:lang w:val="en-US"/>
        </w:rPr>
        <w:t>Corretora</w:t>
      </w:r>
      <w:proofErr w:type="spellEnd"/>
      <w:r w:rsidRPr="00BD3B12">
        <w:rPr>
          <w:lang w:val="en-US"/>
        </w:rPr>
        <w:t xml:space="preserve">, which holds a stake in the investee </w:t>
      </w:r>
      <w:proofErr w:type="spellStart"/>
      <w:r w:rsidRPr="00BD3B12">
        <w:rPr>
          <w:lang w:val="en-US"/>
        </w:rPr>
        <w:t>Ciclic</w:t>
      </w:r>
      <w:proofErr w:type="spellEnd"/>
      <w:r>
        <w:rPr>
          <w:lang w:val="en-US"/>
        </w:rPr>
        <w:t>.</w:t>
      </w:r>
    </w:p>
    <w:p w14:paraId="660FDA1D" w14:textId="77777777" w:rsidR="00494AF8" w:rsidRDefault="00494AF8" w:rsidP="00494AF8">
      <w:pPr>
        <w:pStyle w:val="05-Textonormal"/>
        <w:rPr>
          <w:lang w:val="en-US"/>
        </w:rPr>
      </w:pPr>
      <w:r w:rsidRPr="00A97AA9">
        <w:rPr>
          <w:lang w:val="en-US"/>
        </w:rPr>
        <w:t>We present below the corporate structure of the Company:</w:t>
      </w:r>
    </w:p>
    <w:p w14:paraId="092F7B75" w14:textId="77777777" w:rsidR="00494AF8" w:rsidRPr="00FC59BA" w:rsidRDefault="00494AF8" w:rsidP="00494AF8">
      <w:pPr>
        <w:pStyle w:val="05-Textonormal"/>
        <w:rPr>
          <w:lang w:val="en-US"/>
        </w:rPr>
      </w:pPr>
      <w:r w:rsidRPr="00FC59BA">
        <w:rPr>
          <w:noProof/>
        </w:rPr>
        <w:drawing>
          <wp:inline distT="0" distB="0" distL="0" distR="0" wp14:anchorId="797CA292" wp14:editId="3D75B001">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20"/>
                    <a:stretch>
                      <a:fillRect/>
                    </a:stretch>
                  </pic:blipFill>
                  <pic:spPr>
                    <a:xfrm>
                      <a:off x="0" y="0"/>
                      <a:ext cx="6120130" cy="3747135"/>
                    </a:xfrm>
                    <a:prstGeom prst="rect">
                      <a:avLst/>
                    </a:prstGeom>
                  </pic:spPr>
                </pic:pic>
              </a:graphicData>
            </a:graphic>
          </wp:inline>
        </w:drawing>
      </w:r>
    </w:p>
    <w:p w14:paraId="498D9CAC" w14:textId="77777777" w:rsidR="000B1A32" w:rsidRDefault="00494AF8" w:rsidP="00EF79BE">
      <w:pPr>
        <w:pStyle w:val="05-Textonormal"/>
        <w:rPr>
          <w:lang w:val="en-US"/>
        </w:rPr>
      </w:pPr>
      <w:r w:rsidRPr="009A2AAD">
        <w:rPr>
          <w:lang w:val="en-US"/>
        </w:rPr>
        <w:t xml:space="preserve">BB MAPFRE has a direct stake in the </w:t>
      </w:r>
      <w:proofErr w:type="spellStart"/>
      <w:r w:rsidRPr="009A2AAD">
        <w:rPr>
          <w:lang w:val="en-US"/>
        </w:rPr>
        <w:t>companies</w:t>
      </w:r>
      <w:proofErr w:type="spellEnd"/>
      <w:r w:rsidRPr="009A2AAD">
        <w:rPr>
          <w:lang w:val="en-US"/>
        </w:rPr>
        <w:t xml:space="preserve"> </w:t>
      </w:r>
      <w:proofErr w:type="spellStart"/>
      <w:r w:rsidRPr="009A2AAD">
        <w:rPr>
          <w:lang w:val="en-US"/>
        </w:rPr>
        <w:t>Brasilseg</w:t>
      </w:r>
      <w:proofErr w:type="spellEnd"/>
      <w:r w:rsidRPr="009A2AAD">
        <w:rPr>
          <w:lang w:val="en-US"/>
        </w:rPr>
        <w:t xml:space="preserve"> Companhia</w:t>
      </w:r>
    </w:p>
    <w:p w14:paraId="3C2E4872" w14:textId="1770482D" w:rsidR="00494AF8" w:rsidRPr="00494AF8" w:rsidRDefault="00494AF8" w:rsidP="00EF79BE">
      <w:pPr>
        <w:pStyle w:val="05-Textonormal"/>
        <w:rPr>
          <w:lang w:val="en-US"/>
        </w:rPr>
      </w:pPr>
      <w:r w:rsidRPr="009A2AAD">
        <w:rPr>
          <w:lang w:val="en-US"/>
        </w:rPr>
        <w:t xml:space="preserve"> de </w:t>
      </w:r>
      <w:proofErr w:type="spellStart"/>
      <w:r w:rsidRPr="009A2AAD">
        <w:rPr>
          <w:lang w:val="en-US"/>
        </w:rPr>
        <w:t>Seguros</w:t>
      </w:r>
      <w:proofErr w:type="spellEnd"/>
      <w:r w:rsidRPr="009A2AAD">
        <w:rPr>
          <w:lang w:val="en-US"/>
        </w:rPr>
        <w:t xml:space="preserve"> and </w:t>
      </w:r>
      <w:proofErr w:type="spellStart"/>
      <w:r w:rsidRPr="009A2AAD">
        <w:rPr>
          <w:lang w:val="en-US"/>
        </w:rPr>
        <w:t>Aliança</w:t>
      </w:r>
      <w:proofErr w:type="spellEnd"/>
      <w:r w:rsidRPr="009A2AAD">
        <w:rPr>
          <w:lang w:val="en-US"/>
        </w:rPr>
        <w:t xml:space="preserve"> do </w:t>
      </w:r>
      <w:proofErr w:type="spellStart"/>
      <w:r w:rsidRPr="009A2AAD">
        <w:rPr>
          <w:lang w:val="en-US"/>
        </w:rPr>
        <w:t>Brasil</w:t>
      </w:r>
      <w:proofErr w:type="spellEnd"/>
      <w:r w:rsidRPr="009A2AAD">
        <w:rPr>
          <w:lang w:val="en-US"/>
        </w:rPr>
        <w:t xml:space="preserve"> </w:t>
      </w:r>
      <w:proofErr w:type="spellStart"/>
      <w:r w:rsidRPr="009A2AAD">
        <w:rPr>
          <w:lang w:val="en-US"/>
        </w:rPr>
        <w:t>Seguros</w:t>
      </w:r>
      <w:proofErr w:type="spellEnd"/>
      <w:r w:rsidRPr="009A2AAD">
        <w:rPr>
          <w:lang w:val="en-US"/>
        </w:rPr>
        <w:t xml:space="preserve"> S.A. and indirect </w:t>
      </w:r>
      <w:r>
        <w:rPr>
          <w:lang w:val="en-US"/>
        </w:rPr>
        <w:t>in the company</w:t>
      </w:r>
      <w:r w:rsidRPr="009A2AAD">
        <w:rPr>
          <w:lang w:val="en-US"/>
        </w:rPr>
        <w:t xml:space="preserve"> Broto S.A. (invested by </w:t>
      </w:r>
      <w:proofErr w:type="spellStart"/>
      <w:r w:rsidRPr="009A2AAD">
        <w:rPr>
          <w:lang w:val="en-US"/>
        </w:rPr>
        <w:t>Brasilseg</w:t>
      </w:r>
      <w:proofErr w:type="spellEnd"/>
      <w:r w:rsidRPr="009A2AAD">
        <w:rPr>
          <w:lang w:val="en-US"/>
        </w:rPr>
        <w:t>)</w:t>
      </w:r>
      <w:r>
        <w:rPr>
          <w:lang w:val="en-US"/>
        </w:rPr>
        <w:t>.</w:t>
      </w:r>
    </w:p>
    <w:p w14:paraId="0FDA1946" w14:textId="77777777" w:rsidR="000B476E" w:rsidRPr="004C5A7A" w:rsidRDefault="008E65B8" w:rsidP="00AB61C0">
      <w:pPr>
        <w:pStyle w:val="Ttulo1"/>
        <w:keepNext w:val="0"/>
        <w:keepLines w:val="0"/>
        <w:pageBreakBefore/>
        <w:spacing w:line="259" w:lineRule="auto"/>
        <w:jc w:val="both"/>
        <w:rPr>
          <w:rFonts w:ascii="Arial" w:hAnsi="Arial" w:cs="Arial"/>
          <w:b/>
          <w:color w:val="1F3864" w:themeColor="accent1" w:themeShade="80"/>
          <w:sz w:val="20"/>
          <w:lang w:val="en-US"/>
        </w:rPr>
      </w:pPr>
      <w:bookmarkStart w:id="27" w:name="_Toc149573386"/>
      <w:bookmarkStart w:id="28" w:name="_Toc157446713"/>
      <w:bookmarkStart w:id="29" w:name="_Toc190680623"/>
      <w:r w:rsidRPr="004C5A7A">
        <w:rPr>
          <w:rFonts w:ascii="Arial" w:hAnsi="Arial" w:cs="Arial"/>
          <w:b/>
          <w:color w:val="1F3864" w:themeColor="accent1" w:themeShade="80"/>
          <w:sz w:val="20"/>
          <w:lang w:val="en-US"/>
        </w:rPr>
        <w:lastRenderedPageBreak/>
        <w:t xml:space="preserve">2 – </w:t>
      </w:r>
      <w:r w:rsidR="00B418BF" w:rsidRPr="004C5A7A">
        <w:rPr>
          <w:rFonts w:ascii="Arial" w:hAnsi="Arial" w:cs="Arial"/>
          <w:b/>
          <w:color w:val="1F3864" w:themeColor="accent1" w:themeShade="80"/>
          <w:sz w:val="20"/>
          <w:lang w:val="en-US"/>
        </w:rPr>
        <w:t>PRESENTATION OF FINANCIAL STATEMENTS</w:t>
      </w:r>
      <w:bookmarkEnd w:id="29"/>
    </w:p>
    <w:p w14:paraId="19A95794" w14:textId="77777777" w:rsidR="001D023A" w:rsidRPr="004C5A7A" w:rsidRDefault="001D023A" w:rsidP="001D023A">
      <w:pPr>
        <w:pStyle w:val="03-SubttulodeNota"/>
        <w:rPr>
          <w:rFonts w:cs="Arial"/>
          <w:color w:val="1F3864" w:themeColor="accent1" w:themeShade="80"/>
          <w:sz w:val="18"/>
          <w:lang w:val="en-US"/>
        </w:rPr>
      </w:pPr>
      <w:bookmarkStart w:id="30" w:name="_Hlk172652336"/>
      <w:r w:rsidRPr="004C5A7A">
        <w:rPr>
          <w:rFonts w:cs="Arial"/>
          <w:color w:val="1F3864" w:themeColor="accent1" w:themeShade="80"/>
          <w:sz w:val="18"/>
          <w:lang w:val="en-US"/>
        </w:rPr>
        <w:t>a) Statement of Compliance</w:t>
      </w:r>
    </w:p>
    <w:p w14:paraId="1091780D" w14:textId="77777777" w:rsidR="001D023A" w:rsidRPr="004C5A7A" w:rsidRDefault="001D023A" w:rsidP="001D023A">
      <w:pPr>
        <w:pStyle w:val="05-Textonormal"/>
        <w:rPr>
          <w:rFonts w:cs="Arial"/>
          <w:lang w:val="en-US"/>
        </w:rPr>
      </w:pPr>
      <w:r w:rsidRPr="004C5A7A">
        <w:rPr>
          <w:rFonts w:cs="Arial"/>
          <w:lang w:val="en-US"/>
        </w:rPr>
        <w:t>The consolidated financial statements were prepared and are being presented in accordance with the International Financial Reporting Standards (IFRS), issued by the International Accounting Standards Board (IASB) and with the accounting practices adopted in Brazil.</w:t>
      </w:r>
    </w:p>
    <w:p w14:paraId="37B74671" w14:textId="77777777" w:rsidR="001D023A" w:rsidRPr="004C5A7A" w:rsidRDefault="001D023A" w:rsidP="001D023A">
      <w:pPr>
        <w:pStyle w:val="05-Textonormal"/>
        <w:rPr>
          <w:rFonts w:cs="Arial"/>
          <w:lang w:val="en-US"/>
        </w:rPr>
      </w:pPr>
      <w:r w:rsidRPr="004C5A7A">
        <w:rPr>
          <w:rFonts w:cs="Arial"/>
          <w:lang w:val="en-US"/>
        </w:rPr>
        <w:t xml:space="preserve">The individual financial statements have been prepared in accordance with the accounting guidelines derived from Brazilian corporation law and are presented in compliance with accounting practices adopted in Brazil (BRGAAP), including pronouncements issued by the </w:t>
      </w:r>
      <w:proofErr w:type="spellStart"/>
      <w:r w:rsidRPr="004C5A7A">
        <w:rPr>
          <w:rFonts w:cs="Arial"/>
          <w:lang w:val="en-US"/>
        </w:rPr>
        <w:t>Comitê</w:t>
      </w:r>
      <w:proofErr w:type="spellEnd"/>
      <w:r w:rsidRPr="004C5A7A">
        <w:rPr>
          <w:rFonts w:cs="Arial"/>
          <w:lang w:val="en-US"/>
        </w:rPr>
        <w:t xml:space="preserve"> de Pronunciamentos </w:t>
      </w:r>
      <w:proofErr w:type="spellStart"/>
      <w:r w:rsidRPr="004C5A7A">
        <w:rPr>
          <w:rFonts w:cs="Arial"/>
          <w:lang w:val="en-US"/>
        </w:rPr>
        <w:t>Contábeis</w:t>
      </w:r>
      <w:proofErr w:type="spellEnd"/>
      <w:r w:rsidRPr="004C5A7A">
        <w:rPr>
          <w:rFonts w:cs="Arial"/>
          <w:lang w:val="en-US"/>
        </w:rPr>
        <w:t xml:space="preserve"> – CPC (Accounting Pronouncements Committee), approved by </w:t>
      </w:r>
      <w:proofErr w:type="spellStart"/>
      <w:r w:rsidRPr="004C5A7A">
        <w:rPr>
          <w:rFonts w:cs="Arial"/>
          <w:lang w:val="en-US"/>
        </w:rPr>
        <w:t>Comissão</w:t>
      </w:r>
      <w:proofErr w:type="spellEnd"/>
      <w:r w:rsidRPr="004C5A7A">
        <w:rPr>
          <w:rFonts w:cs="Arial"/>
          <w:lang w:val="en-US"/>
        </w:rPr>
        <w:t xml:space="preserve"> de Valores </w:t>
      </w:r>
      <w:proofErr w:type="spellStart"/>
      <w:r w:rsidRPr="004C5A7A">
        <w:rPr>
          <w:rFonts w:cs="Arial"/>
          <w:lang w:val="en-US"/>
        </w:rPr>
        <w:t>Mobiliários</w:t>
      </w:r>
      <w:proofErr w:type="spellEnd"/>
      <w:r w:rsidRPr="004C5A7A">
        <w:rPr>
          <w:rFonts w:cs="Arial"/>
          <w:lang w:val="en-US"/>
        </w:rPr>
        <w:t xml:space="preserve"> - CVM (Securities Commission).</w:t>
      </w:r>
    </w:p>
    <w:p w14:paraId="0D162DFA" w14:textId="77777777" w:rsidR="001D023A" w:rsidRPr="004C5A7A" w:rsidRDefault="001D023A" w:rsidP="001D023A">
      <w:pPr>
        <w:pStyle w:val="05-Textonormal"/>
        <w:keepNext/>
        <w:keepLines/>
        <w:rPr>
          <w:rFonts w:cs="Arial"/>
          <w:lang w:val="en-US"/>
        </w:rPr>
      </w:pPr>
      <w:r w:rsidRPr="004C5A7A">
        <w:rPr>
          <w:rFonts w:cs="Arial"/>
          <w:lang w:val="en-US"/>
        </w:rPr>
        <w:t>All the relevant information specific to the financial statements are evidenced and correspond to those used by the Company's Management.</w:t>
      </w:r>
    </w:p>
    <w:p w14:paraId="26EE89E4" w14:textId="77777777" w:rsidR="001D023A" w:rsidRPr="004C5A7A" w:rsidRDefault="001D023A" w:rsidP="001D023A">
      <w:pPr>
        <w:pStyle w:val="05-Textonormal"/>
        <w:keepNext/>
        <w:keepLines/>
        <w:rPr>
          <w:rFonts w:cs="Arial"/>
          <w:lang w:val="en-US"/>
        </w:rPr>
      </w:pPr>
      <w:r w:rsidRPr="004C5A7A">
        <w:rPr>
          <w:rFonts w:cs="Arial"/>
          <w:lang w:val="en-US"/>
        </w:rPr>
        <w:t xml:space="preserve">These financial statements were approved and authorized by BB </w:t>
      </w:r>
      <w:proofErr w:type="spellStart"/>
      <w:r w:rsidRPr="004C5A7A">
        <w:rPr>
          <w:rFonts w:cs="Arial"/>
          <w:lang w:val="en-US"/>
        </w:rPr>
        <w:t>Seguridade's</w:t>
      </w:r>
      <w:proofErr w:type="spellEnd"/>
      <w:r w:rsidRPr="004C5A7A">
        <w:rPr>
          <w:rFonts w:cs="Arial"/>
          <w:lang w:val="en-US"/>
        </w:rPr>
        <w:t xml:space="preserve"> </w:t>
      </w:r>
      <w:r w:rsidRPr="004C5A7A">
        <w:rPr>
          <w:rStyle w:val="rynqvb"/>
          <w:rFonts w:eastAsia="MS Mincho" w:cs="Arial"/>
          <w:lang w:val="en"/>
        </w:rPr>
        <w:t>Board of Directors</w:t>
      </w:r>
      <w:r w:rsidRPr="004C5A7A">
        <w:rPr>
          <w:rFonts w:cs="Arial"/>
          <w:lang w:val="en-US"/>
        </w:rPr>
        <w:t xml:space="preserve"> on February 14, 2025.</w:t>
      </w:r>
    </w:p>
    <w:p w14:paraId="282CC0E7" w14:textId="77777777" w:rsidR="001D023A" w:rsidRPr="004C5A7A" w:rsidRDefault="001D023A" w:rsidP="001D023A">
      <w:pPr>
        <w:pStyle w:val="03-SubttulodeNota"/>
        <w:rPr>
          <w:rFonts w:cs="Arial"/>
          <w:color w:val="1F3864" w:themeColor="accent1" w:themeShade="80"/>
          <w:sz w:val="18"/>
          <w:szCs w:val="18"/>
          <w:lang w:val="en-US"/>
        </w:rPr>
      </w:pPr>
      <w:r w:rsidRPr="004C5A7A">
        <w:rPr>
          <w:rFonts w:cs="Arial"/>
          <w:color w:val="1F3864" w:themeColor="accent1" w:themeShade="80"/>
          <w:sz w:val="18"/>
          <w:szCs w:val="18"/>
          <w:lang w:val="en-US"/>
        </w:rPr>
        <w:t>b) Continuity</w:t>
      </w:r>
    </w:p>
    <w:p w14:paraId="57F125EC" w14:textId="77777777" w:rsidR="001D023A" w:rsidRPr="004C5A7A" w:rsidRDefault="001D023A" w:rsidP="001D023A">
      <w:pPr>
        <w:pStyle w:val="05-Textonormal1"/>
        <w:rPr>
          <w:rFonts w:cs="Arial"/>
          <w:lang w:val="en-US"/>
        </w:rPr>
      </w:pPr>
      <w:r w:rsidRPr="004C5A7A">
        <w:rPr>
          <w:rFonts w:cs="Arial"/>
          <w:lang w:val="en-US"/>
        </w:rPr>
        <w:t xml:space="preserve">Management evaluated the capacity of BB </w:t>
      </w:r>
      <w:proofErr w:type="spellStart"/>
      <w:r w:rsidRPr="004C5A7A">
        <w:rPr>
          <w:rFonts w:cs="Arial"/>
          <w:lang w:val="en-US"/>
        </w:rPr>
        <w:t>Seguridade</w:t>
      </w:r>
      <w:proofErr w:type="spellEnd"/>
      <w:r w:rsidRPr="004C5A7A">
        <w:rPr>
          <w:rFonts w:cs="Arial"/>
          <w:lang w:val="en-US"/>
        </w:rPr>
        <w:t xml:space="preserve"> to continue normally operating </w:t>
      </w:r>
      <w:r w:rsidRPr="004C5A7A">
        <w:rPr>
          <w:rStyle w:val="tlid-translation"/>
          <w:rFonts w:cs="Arial"/>
          <w:lang w:val="en"/>
        </w:rPr>
        <w:t>and it is convinced that it has the resources to continue its business in the future.</w:t>
      </w:r>
      <w:r w:rsidRPr="004C5A7A">
        <w:rPr>
          <w:rFonts w:cs="Arial"/>
          <w:lang w:val="en-US"/>
        </w:rPr>
        <w:t xml:space="preserve"> </w:t>
      </w:r>
      <w:r w:rsidRPr="004C5A7A">
        <w:rPr>
          <w:rStyle w:val="tlid-translation"/>
          <w:rFonts w:cs="Arial"/>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5948BDED" w14:textId="77777777" w:rsidR="001D023A" w:rsidRPr="004C5A7A" w:rsidRDefault="001D023A" w:rsidP="001D023A">
      <w:pPr>
        <w:pStyle w:val="03-SubttulodeNota"/>
        <w:rPr>
          <w:rFonts w:cs="Arial"/>
          <w:color w:val="1F3864" w:themeColor="accent1" w:themeShade="80"/>
          <w:sz w:val="18"/>
          <w:szCs w:val="18"/>
          <w:lang w:val="en-US"/>
        </w:rPr>
      </w:pPr>
      <w:r w:rsidRPr="004C5A7A">
        <w:rPr>
          <w:rFonts w:cs="Arial"/>
          <w:color w:val="1F3864" w:themeColor="accent1" w:themeShade="80"/>
          <w:sz w:val="18"/>
          <w:szCs w:val="18"/>
          <w:lang w:val="en-US"/>
        </w:rPr>
        <w:t>c) Measurement Basis of Assets and Liabilities</w:t>
      </w:r>
    </w:p>
    <w:p w14:paraId="56AB1C37" w14:textId="77777777" w:rsidR="001D023A" w:rsidRPr="004C5A7A" w:rsidRDefault="001D023A" w:rsidP="001D023A">
      <w:pPr>
        <w:pStyle w:val="05-Textonormal"/>
        <w:rPr>
          <w:rFonts w:cs="Arial"/>
          <w:lang w:val="en-US"/>
        </w:rPr>
      </w:pPr>
      <w:r w:rsidRPr="004C5A7A">
        <w:rPr>
          <w:rFonts w:cs="Arial"/>
          <w:lang w:val="en-US"/>
        </w:rPr>
        <w:t>These individual and consolidated financial statements were prepared using historical cost as a measurement basis, except when otherwise indicated.</w:t>
      </w:r>
    </w:p>
    <w:p w14:paraId="7D665221" w14:textId="77777777" w:rsidR="001D023A" w:rsidRPr="004C5A7A" w:rsidRDefault="001D023A" w:rsidP="001D023A">
      <w:pPr>
        <w:pStyle w:val="03-SubttulodeNota"/>
        <w:rPr>
          <w:rFonts w:cs="Arial"/>
          <w:color w:val="1F3864" w:themeColor="accent1" w:themeShade="80"/>
          <w:sz w:val="18"/>
          <w:szCs w:val="18"/>
          <w:lang w:val="en-US"/>
        </w:rPr>
      </w:pPr>
      <w:r w:rsidRPr="004C5A7A">
        <w:rPr>
          <w:rFonts w:cs="Arial"/>
          <w:color w:val="1F3864" w:themeColor="accent1" w:themeShade="80"/>
          <w:sz w:val="18"/>
          <w:szCs w:val="18"/>
          <w:lang w:val="en-US"/>
        </w:rPr>
        <w:t>d) Functional and Presentation Currency</w:t>
      </w:r>
    </w:p>
    <w:p w14:paraId="5969A842" w14:textId="77777777" w:rsidR="001D023A" w:rsidRPr="004C5A7A" w:rsidRDefault="001D023A" w:rsidP="001D023A">
      <w:pPr>
        <w:pStyle w:val="03-SubttulodeNota"/>
        <w:rPr>
          <w:rFonts w:cs="Arial"/>
          <w:b w:val="0"/>
          <w:sz w:val="18"/>
          <w:szCs w:val="18"/>
          <w:lang w:val="en-US"/>
        </w:rPr>
      </w:pPr>
      <w:r w:rsidRPr="004C5A7A">
        <w:rPr>
          <w:rFonts w:cs="Arial"/>
          <w:b w:val="0"/>
          <w:sz w:val="18"/>
          <w:szCs w:val="18"/>
          <w:lang w:val="en-US"/>
        </w:rPr>
        <w:t xml:space="preserve">BB </w:t>
      </w:r>
      <w:proofErr w:type="spellStart"/>
      <w:r w:rsidRPr="004C5A7A">
        <w:rPr>
          <w:rFonts w:cs="Arial"/>
          <w:b w:val="0"/>
          <w:sz w:val="18"/>
          <w:szCs w:val="18"/>
          <w:lang w:val="en-US"/>
        </w:rPr>
        <w:t>Seguridade's</w:t>
      </w:r>
      <w:proofErr w:type="spellEnd"/>
      <w:r w:rsidRPr="004C5A7A">
        <w:rPr>
          <w:rFonts w:cs="Arial"/>
          <w:b w:val="0"/>
          <w:sz w:val="18"/>
          <w:szCs w:val="18"/>
          <w:lang w:val="en-US"/>
        </w:rPr>
        <w:t xml:space="preserve"> financial statements are presented in Reais, which is the functional currency. Unless otherwise indicated, quantitative financial information is presented in thousands of Reais (R$ thousand).</w:t>
      </w:r>
    </w:p>
    <w:p w14:paraId="4568D7F3" w14:textId="77777777" w:rsidR="001D023A" w:rsidRPr="004C5A7A" w:rsidRDefault="001D023A" w:rsidP="001D023A">
      <w:pPr>
        <w:pStyle w:val="03-SubttulodeNota"/>
        <w:rPr>
          <w:rFonts w:cs="Arial"/>
          <w:color w:val="1F3864" w:themeColor="accent1" w:themeShade="80"/>
          <w:sz w:val="18"/>
          <w:szCs w:val="18"/>
          <w:lang w:val="en-US"/>
        </w:rPr>
      </w:pPr>
      <w:r w:rsidRPr="004C5A7A">
        <w:rPr>
          <w:rFonts w:cs="Arial"/>
          <w:color w:val="1F3864" w:themeColor="accent1" w:themeShade="80"/>
          <w:sz w:val="18"/>
          <w:szCs w:val="18"/>
          <w:lang w:val="en-US"/>
        </w:rPr>
        <w:t>e) Consolidation Basis</w:t>
      </w:r>
    </w:p>
    <w:p w14:paraId="6231554D" w14:textId="77777777" w:rsidR="001D023A" w:rsidRPr="004C5A7A" w:rsidRDefault="001D023A" w:rsidP="001D023A">
      <w:pPr>
        <w:pStyle w:val="05-Textonormal"/>
        <w:rPr>
          <w:rFonts w:cs="Arial"/>
          <w:lang w:val="en-US"/>
        </w:rPr>
      </w:pPr>
      <w:r w:rsidRPr="004C5A7A">
        <w:rPr>
          <w:rFonts w:cs="Arial"/>
          <w:lang w:val="en-US"/>
        </w:rPr>
        <w:t xml:space="preserve">The consolidated financial statements of the BB </w:t>
      </w:r>
      <w:proofErr w:type="spellStart"/>
      <w:r w:rsidRPr="004C5A7A">
        <w:rPr>
          <w:rFonts w:cs="Arial"/>
          <w:lang w:val="en-US"/>
        </w:rPr>
        <w:t>Seguridade</w:t>
      </w:r>
      <w:proofErr w:type="spellEnd"/>
      <w:r w:rsidRPr="004C5A7A">
        <w:rPr>
          <w:rFonts w:cs="Arial"/>
          <w:lang w:val="en-US"/>
        </w:rPr>
        <w:t xml:space="preserve"> and subsidiaries are included the consolidation of assets and liabilities from BB </w:t>
      </w:r>
      <w:proofErr w:type="spellStart"/>
      <w:r w:rsidRPr="004C5A7A">
        <w:rPr>
          <w:rFonts w:cs="Arial"/>
          <w:lang w:val="en-US"/>
        </w:rPr>
        <w:t>Seguridade</w:t>
      </w:r>
      <w:proofErr w:type="spellEnd"/>
      <w:r w:rsidRPr="004C5A7A">
        <w:rPr>
          <w:rFonts w:cs="Arial"/>
          <w:lang w:val="en-US"/>
        </w:rPr>
        <w:t xml:space="preserve"> and its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698"/>
        <w:gridCol w:w="604"/>
        <w:gridCol w:w="1085"/>
        <w:gridCol w:w="1276"/>
        <w:gridCol w:w="283"/>
        <w:gridCol w:w="1276"/>
        <w:gridCol w:w="1418"/>
      </w:tblGrid>
      <w:tr w:rsidR="001D023A" w:rsidRPr="004C5A7A" w14:paraId="6EAD731A"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auto"/>
            <w:vAlign w:val="center"/>
          </w:tcPr>
          <w:p w14:paraId="19A24484" w14:textId="77777777" w:rsidR="001D023A" w:rsidRPr="004C5A7A" w:rsidRDefault="001D023A">
            <w:pPr>
              <w:pStyle w:val="08-Tabelageral"/>
              <w:jc w:val="left"/>
              <w:rPr>
                <w:rFonts w:cs="Arial"/>
                <w:b w:val="0"/>
                <w:color w:val="auto"/>
                <w:sz w:val="18"/>
              </w:rPr>
            </w:pPr>
            <w:proofErr w:type="spellStart"/>
            <w:r w:rsidRPr="004C5A7A">
              <w:rPr>
                <w:rFonts w:cs="Arial"/>
                <w:color w:val="auto"/>
              </w:rPr>
              <w:t>Company</w:t>
            </w:r>
            <w:proofErr w:type="spellEnd"/>
          </w:p>
        </w:tc>
        <w:tc>
          <w:tcPr>
            <w:tcW w:w="604" w:type="dxa"/>
            <w:tcBorders>
              <w:bottom w:val="nil"/>
            </w:tcBorders>
            <w:shd w:val="clear" w:color="auto" w:fill="auto"/>
          </w:tcPr>
          <w:p w14:paraId="012B31C1" w14:textId="77777777" w:rsidR="001D023A" w:rsidRPr="004C5A7A" w:rsidRDefault="001D023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auto"/>
            <w:vAlign w:val="center"/>
          </w:tcPr>
          <w:p w14:paraId="71207C9F" w14:textId="77777777" w:rsidR="001D023A" w:rsidRPr="004C5A7A" w:rsidRDefault="001D023A">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sidRPr="004C5A7A">
              <w:rPr>
                <w:rFonts w:cs="Arial"/>
                <w:color w:val="auto"/>
              </w:rPr>
              <w:t>Activity</w:t>
            </w:r>
            <w:proofErr w:type="spellEnd"/>
          </w:p>
        </w:tc>
        <w:tc>
          <w:tcPr>
            <w:tcW w:w="1276" w:type="dxa"/>
            <w:vMerge w:val="restart"/>
            <w:shd w:val="clear" w:color="auto" w:fill="auto"/>
            <w:vAlign w:val="center"/>
          </w:tcPr>
          <w:p w14:paraId="0659D2DB" w14:textId="77777777" w:rsidR="001D023A" w:rsidRPr="004C5A7A" w:rsidRDefault="001D023A">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4C5A7A">
              <w:rPr>
                <w:rFonts w:cs="Arial"/>
              </w:rPr>
              <w:t xml:space="preserve">Country </w:t>
            </w:r>
            <w:proofErr w:type="spellStart"/>
            <w:r w:rsidRPr="004C5A7A">
              <w:rPr>
                <w:rFonts w:cs="Arial"/>
              </w:rPr>
              <w:t>of</w:t>
            </w:r>
            <w:proofErr w:type="spellEnd"/>
            <w:r w:rsidRPr="004C5A7A">
              <w:rPr>
                <w:rFonts w:cs="Arial"/>
              </w:rPr>
              <w:t xml:space="preserve"> </w:t>
            </w:r>
            <w:proofErr w:type="spellStart"/>
            <w:r w:rsidRPr="004C5A7A">
              <w:rPr>
                <w:rFonts w:cs="Arial"/>
              </w:rPr>
              <w:t>constitution</w:t>
            </w:r>
            <w:proofErr w:type="spellEnd"/>
          </w:p>
        </w:tc>
        <w:tc>
          <w:tcPr>
            <w:tcW w:w="283" w:type="dxa"/>
            <w:tcBorders>
              <w:bottom w:val="nil"/>
            </w:tcBorders>
            <w:shd w:val="clear" w:color="auto" w:fill="auto"/>
          </w:tcPr>
          <w:p w14:paraId="3EFADA93" w14:textId="77777777" w:rsidR="001D023A" w:rsidRPr="004C5A7A" w:rsidRDefault="001D023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auto"/>
            <w:vAlign w:val="center"/>
          </w:tcPr>
          <w:p w14:paraId="38A00A07" w14:textId="77777777" w:rsidR="001D023A" w:rsidRPr="004C5A7A" w:rsidRDefault="001D023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C5A7A">
              <w:rPr>
                <w:rFonts w:ascii="Arial" w:hAnsi="Arial" w:cs="Arial"/>
                <w:color w:val="auto"/>
                <w:sz w:val="14"/>
                <w:szCs w:val="18"/>
              </w:rPr>
              <w:t xml:space="preserve">% </w:t>
            </w:r>
            <w:proofErr w:type="spellStart"/>
            <w:r w:rsidRPr="004C5A7A">
              <w:rPr>
                <w:rFonts w:ascii="Arial" w:hAnsi="Arial" w:cs="Arial"/>
                <w:color w:val="auto"/>
                <w:sz w:val="14"/>
                <w:szCs w:val="18"/>
              </w:rPr>
              <w:t>Share</w:t>
            </w:r>
            <w:proofErr w:type="spellEnd"/>
          </w:p>
        </w:tc>
      </w:tr>
      <w:tr w:rsidR="001D023A" w:rsidRPr="004C5A7A" w14:paraId="2B6CCBEF"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shd w:val="clear" w:color="auto" w:fill="auto"/>
          </w:tcPr>
          <w:p w14:paraId="0F258E01" w14:textId="77777777" w:rsidR="001D023A" w:rsidRPr="004C5A7A" w:rsidRDefault="001D023A">
            <w:pPr>
              <w:pStyle w:val="08-Tabelageral"/>
              <w:jc w:val="left"/>
              <w:rPr>
                <w:rFonts w:cs="Arial"/>
                <w:color w:val="auto"/>
              </w:rPr>
            </w:pPr>
          </w:p>
        </w:tc>
        <w:tc>
          <w:tcPr>
            <w:tcW w:w="604" w:type="dxa"/>
            <w:tcBorders>
              <w:top w:val="nil"/>
              <w:bottom w:val="single" w:sz="2" w:space="0" w:color="1F3864" w:themeColor="accent1" w:themeShade="80"/>
            </w:tcBorders>
            <w:shd w:val="clear" w:color="auto" w:fill="auto"/>
          </w:tcPr>
          <w:p w14:paraId="2EC58306" w14:textId="77777777" w:rsidR="001D023A" w:rsidRPr="004C5A7A" w:rsidRDefault="001D02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shd w:val="clear" w:color="auto" w:fill="auto"/>
          </w:tcPr>
          <w:p w14:paraId="6A403BAB" w14:textId="77777777" w:rsidR="001D023A" w:rsidRPr="004C5A7A" w:rsidRDefault="001D02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shd w:val="clear" w:color="auto" w:fill="auto"/>
          </w:tcPr>
          <w:p w14:paraId="3D3DFBB1" w14:textId="77777777" w:rsidR="001D023A" w:rsidRPr="004C5A7A" w:rsidRDefault="001D02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shd w:val="clear" w:color="auto" w:fill="auto"/>
          </w:tcPr>
          <w:p w14:paraId="0DED96B6" w14:textId="77777777" w:rsidR="001D023A" w:rsidRPr="004C5A7A" w:rsidRDefault="001D023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shd w:val="clear" w:color="auto" w:fill="auto"/>
          </w:tcPr>
          <w:p w14:paraId="6EBB7CAF"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4C5A7A">
              <w:rPr>
                <w:rFonts w:cs="Arial"/>
                <w:b/>
                <w:color w:val="auto"/>
              </w:rPr>
              <w:t>Dec</w:t>
            </w:r>
            <w:proofErr w:type="spellEnd"/>
            <w:r w:rsidRPr="004C5A7A">
              <w:rPr>
                <w:rFonts w:cs="Arial"/>
                <w:b/>
                <w:color w:val="auto"/>
              </w:rPr>
              <w:t xml:space="preserve"> 31, 2024</w:t>
            </w:r>
          </w:p>
        </w:tc>
        <w:tc>
          <w:tcPr>
            <w:tcW w:w="1418" w:type="dxa"/>
            <w:tcBorders>
              <w:top w:val="nil"/>
              <w:bottom w:val="single" w:sz="2" w:space="0" w:color="1F3864" w:themeColor="accent1" w:themeShade="80"/>
            </w:tcBorders>
            <w:shd w:val="clear" w:color="auto" w:fill="auto"/>
          </w:tcPr>
          <w:p w14:paraId="29AB4B19"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4C5A7A">
              <w:rPr>
                <w:rFonts w:cs="Arial"/>
                <w:b/>
                <w:color w:val="auto"/>
              </w:rPr>
              <w:t>Dec</w:t>
            </w:r>
            <w:proofErr w:type="spellEnd"/>
            <w:r w:rsidRPr="004C5A7A">
              <w:rPr>
                <w:rFonts w:cs="Arial"/>
                <w:b/>
                <w:color w:val="auto"/>
              </w:rPr>
              <w:t xml:space="preserve"> 31, 2023</w:t>
            </w:r>
          </w:p>
        </w:tc>
      </w:tr>
      <w:tr w:rsidR="001D023A" w:rsidRPr="004C5A7A" w14:paraId="7EACF010"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auto"/>
          </w:tcPr>
          <w:p w14:paraId="07D85F1A" w14:textId="77777777" w:rsidR="001D023A" w:rsidRPr="004C5A7A" w:rsidRDefault="001D023A">
            <w:pPr>
              <w:pStyle w:val="08-Tabelageral"/>
              <w:jc w:val="left"/>
              <w:rPr>
                <w:rFonts w:cs="Arial"/>
                <w:b w:val="0"/>
                <w:bCs w:val="0"/>
                <w:color w:val="auto"/>
                <w:szCs w:val="14"/>
              </w:rPr>
            </w:pPr>
            <w:r w:rsidRPr="004C5A7A">
              <w:rPr>
                <w:rFonts w:cs="Arial"/>
                <w:b w:val="0"/>
                <w:color w:val="auto"/>
                <w:szCs w:val="14"/>
              </w:rPr>
              <w:t>BB Seguros Participações S.A.</w:t>
            </w:r>
          </w:p>
        </w:tc>
        <w:tc>
          <w:tcPr>
            <w:tcW w:w="604" w:type="dxa"/>
            <w:tcBorders>
              <w:bottom w:val="nil"/>
            </w:tcBorders>
            <w:shd w:val="clear" w:color="auto" w:fill="auto"/>
            <w:vAlign w:val="center"/>
          </w:tcPr>
          <w:p w14:paraId="12C522AB" w14:textId="77777777" w:rsidR="001D023A" w:rsidRPr="004C5A7A" w:rsidRDefault="001D023A">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auto"/>
            <w:vAlign w:val="center"/>
          </w:tcPr>
          <w:p w14:paraId="2FCFB2C5" w14:textId="77777777" w:rsidR="001D023A" w:rsidRPr="004C5A7A" w:rsidRDefault="001D023A">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C5A7A">
              <w:rPr>
                <w:rFonts w:cs="Arial"/>
                <w:color w:val="auto"/>
                <w:szCs w:val="14"/>
              </w:rPr>
              <w:t>Holding</w:t>
            </w:r>
          </w:p>
        </w:tc>
        <w:tc>
          <w:tcPr>
            <w:tcW w:w="1276" w:type="dxa"/>
            <w:tcBorders>
              <w:bottom w:val="nil"/>
            </w:tcBorders>
            <w:shd w:val="clear" w:color="auto" w:fill="auto"/>
            <w:vAlign w:val="center"/>
          </w:tcPr>
          <w:p w14:paraId="4E09EF54" w14:textId="77777777" w:rsidR="001D023A" w:rsidRPr="004C5A7A" w:rsidRDefault="001D023A">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sidRPr="004C5A7A">
              <w:rPr>
                <w:rFonts w:cs="Arial"/>
                <w:color w:val="auto"/>
              </w:rPr>
              <w:t>Brazil</w:t>
            </w:r>
            <w:proofErr w:type="spellEnd"/>
          </w:p>
        </w:tc>
        <w:tc>
          <w:tcPr>
            <w:tcW w:w="283" w:type="dxa"/>
            <w:tcBorders>
              <w:bottom w:val="nil"/>
            </w:tcBorders>
            <w:shd w:val="clear" w:color="auto" w:fill="auto"/>
            <w:vAlign w:val="center"/>
          </w:tcPr>
          <w:p w14:paraId="6E2F5975" w14:textId="77777777" w:rsidR="001D023A" w:rsidRPr="004C5A7A" w:rsidRDefault="001D023A">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auto"/>
            <w:vAlign w:val="center"/>
          </w:tcPr>
          <w:p w14:paraId="2987C595" w14:textId="77777777" w:rsidR="001D023A" w:rsidRPr="004C5A7A" w:rsidRDefault="001D023A">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C5A7A">
              <w:rPr>
                <w:rFonts w:cs="Arial"/>
                <w:color w:val="auto"/>
                <w:szCs w:val="14"/>
              </w:rPr>
              <w:t xml:space="preserve">100% </w:t>
            </w:r>
          </w:p>
        </w:tc>
        <w:tc>
          <w:tcPr>
            <w:tcW w:w="1418" w:type="dxa"/>
            <w:tcBorders>
              <w:bottom w:val="nil"/>
            </w:tcBorders>
            <w:shd w:val="clear" w:color="auto" w:fill="auto"/>
            <w:vAlign w:val="center"/>
          </w:tcPr>
          <w:p w14:paraId="58B3A424" w14:textId="77777777" w:rsidR="001D023A" w:rsidRPr="004C5A7A" w:rsidRDefault="001D023A">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C5A7A">
              <w:rPr>
                <w:rFonts w:cs="Arial"/>
                <w:color w:val="auto"/>
              </w:rPr>
              <w:t>100%</w:t>
            </w:r>
          </w:p>
        </w:tc>
      </w:tr>
      <w:tr w:rsidR="001D023A" w:rsidRPr="004C5A7A" w14:paraId="01233B49"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shd w:val="clear" w:color="auto" w:fill="auto"/>
          </w:tcPr>
          <w:p w14:paraId="4B8280BC" w14:textId="77777777" w:rsidR="001D023A" w:rsidRPr="004C5A7A" w:rsidRDefault="001D023A">
            <w:pPr>
              <w:pStyle w:val="08-Tabelageral"/>
              <w:jc w:val="left"/>
              <w:rPr>
                <w:rFonts w:cs="Arial"/>
                <w:b w:val="0"/>
                <w:color w:val="auto"/>
              </w:rPr>
            </w:pPr>
            <w:r w:rsidRPr="004C5A7A">
              <w:rPr>
                <w:rFonts w:cs="Arial"/>
                <w:b w:val="0"/>
                <w:color w:val="auto"/>
              </w:rPr>
              <w:t>BB Corretora de Seguros e Administradora de Bens S.A.</w:t>
            </w:r>
          </w:p>
          <w:p w14:paraId="68918DED" w14:textId="77777777" w:rsidR="001D023A" w:rsidRPr="004C5A7A" w:rsidRDefault="001D023A">
            <w:pPr>
              <w:pStyle w:val="08-Tabelageral"/>
              <w:jc w:val="left"/>
              <w:rPr>
                <w:rFonts w:cs="Arial"/>
                <w:b w:val="0"/>
                <w:color w:val="auto"/>
                <w:szCs w:val="14"/>
              </w:rPr>
            </w:pPr>
          </w:p>
        </w:tc>
        <w:tc>
          <w:tcPr>
            <w:tcW w:w="604" w:type="dxa"/>
            <w:tcBorders>
              <w:top w:val="nil"/>
            </w:tcBorders>
            <w:shd w:val="clear" w:color="auto" w:fill="auto"/>
            <w:vAlign w:val="center"/>
          </w:tcPr>
          <w:p w14:paraId="32FEB0F0" w14:textId="77777777" w:rsidR="001D023A" w:rsidRPr="004C5A7A" w:rsidRDefault="001D023A">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shd w:val="clear" w:color="auto" w:fill="auto"/>
            <w:vAlign w:val="center"/>
          </w:tcPr>
          <w:p w14:paraId="6FD6B9FB"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4C5A7A">
              <w:rPr>
                <w:rFonts w:cs="Arial"/>
                <w:color w:val="auto"/>
                <w:szCs w:val="14"/>
              </w:rPr>
              <w:t>Brokerage</w:t>
            </w:r>
            <w:proofErr w:type="spellEnd"/>
          </w:p>
        </w:tc>
        <w:tc>
          <w:tcPr>
            <w:tcW w:w="1276" w:type="dxa"/>
            <w:tcBorders>
              <w:top w:val="nil"/>
            </w:tcBorders>
            <w:shd w:val="clear" w:color="auto" w:fill="auto"/>
            <w:vAlign w:val="center"/>
          </w:tcPr>
          <w:p w14:paraId="1BA9C760"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sidRPr="004C5A7A">
              <w:rPr>
                <w:rFonts w:cs="Arial"/>
                <w:color w:val="auto"/>
              </w:rPr>
              <w:t>Brazil</w:t>
            </w:r>
            <w:proofErr w:type="spellEnd"/>
          </w:p>
        </w:tc>
        <w:tc>
          <w:tcPr>
            <w:tcW w:w="283" w:type="dxa"/>
            <w:tcBorders>
              <w:top w:val="nil"/>
            </w:tcBorders>
            <w:shd w:val="clear" w:color="auto" w:fill="auto"/>
            <w:vAlign w:val="center"/>
          </w:tcPr>
          <w:p w14:paraId="5B5264A5"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shd w:val="clear" w:color="auto" w:fill="auto"/>
            <w:vAlign w:val="center"/>
          </w:tcPr>
          <w:p w14:paraId="02EC05AE"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C5A7A">
              <w:rPr>
                <w:rFonts w:cs="Arial"/>
                <w:color w:val="auto"/>
                <w:szCs w:val="14"/>
              </w:rPr>
              <w:t>100%</w:t>
            </w:r>
          </w:p>
        </w:tc>
        <w:tc>
          <w:tcPr>
            <w:tcW w:w="1418" w:type="dxa"/>
            <w:tcBorders>
              <w:top w:val="nil"/>
            </w:tcBorders>
            <w:shd w:val="clear" w:color="auto" w:fill="auto"/>
            <w:vAlign w:val="center"/>
          </w:tcPr>
          <w:p w14:paraId="33A2A1BA" w14:textId="77777777" w:rsidR="001D023A" w:rsidRPr="004C5A7A" w:rsidRDefault="001D023A">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C5A7A">
              <w:rPr>
                <w:rFonts w:cs="Arial"/>
                <w:color w:val="auto"/>
              </w:rPr>
              <w:t>100%</w:t>
            </w:r>
          </w:p>
        </w:tc>
      </w:tr>
    </w:tbl>
    <w:p w14:paraId="3FA61A6A" w14:textId="77777777" w:rsidR="001D023A" w:rsidRPr="004C5A7A" w:rsidRDefault="001D023A" w:rsidP="001D023A">
      <w:pPr>
        <w:pStyle w:val="05-Textonormal"/>
        <w:rPr>
          <w:rFonts w:cs="Arial"/>
          <w:lang w:val="en-US"/>
        </w:rPr>
      </w:pPr>
      <w:r w:rsidRPr="004C5A7A">
        <w:rPr>
          <w:rFonts w:cs="Arial"/>
          <w:lang w:val="en-US"/>
        </w:rPr>
        <w:t>The intra-group balances and transactions, such as any unrealized income or expenses on transactions between companies of the consolidated, are eliminated in preparing the consolidated financial statements.</w:t>
      </w:r>
    </w:p>
    <w:p w14:paraId="62502581" w14:textId="77777777" w:rsidR="001D023A" w:rsidRPr="004C5A7A" w:rsidRDefault="001D023A" w:rsidP="001D023A">
      <w:pPr>
        <w:pStyle w:val="03-SubttulodeNota"/>
        <w:keepNext/>
        <w:rPr>
          <w:rFonts w:cs="Arial"/>
          <w:color w:val="1F3864" w:themeColor="accent1" w:themeShade="80"/>
          <w:sz w:val="18"/>
          <w:szCs w:val="18"/>
          <w:lang w:val="en-US"/>
        </w:rPr>
      </w:pPr>
      <w:r w:rsidRPr="004C5A7A">
        <w:rPr>
          <w:rFonts w:cs="Arial"/>
          <w:color w:val="1F3864" w:themeColor="accent1" w:themeShade="80"/>
          <w:sz w:val="18"/>
          <w:szCs w:val="18"/>
          <w:lang w:val="en-US"/>
        </w:rPr>
        <w:t>f) Seasonality of Operations</w:t>
      </w:r>
    </w:p>
    <w:p w14:paraId="37BBB8BB" w14:textId="77777777" w:rsidR="001D023A" w:rsidRPr="004C5A7A" w:rsidRDefault="001D023A" w:rsidP="001D023A">
      <w:pPr>
        <w:pStyle w:val="05-Textonormal"/>
        <w:rPr>
          <w:rFonts w:cs="Arial"/>
          <w:szCs w:val="22"/>
          <w:lang w:val="en"/>
        </w:rPr>
      </w:pPr>
      <w:r w:rsidRPr="004C5A7A">
        <w:rPr>
          <w:rFonts w:cs="Arial"/>
          <w:lang w:val="en-US"/>
        </w:rPr>
        <w:t xml:space="preserve">BB </w:t>
      </w:r>
      <w:proofErr w:type="spellStart"/>
      <w:r w:rsidRPr="004C5A7A">
        <w:rPr>
          <w:rFonts w:cs="Arial"/>
          <w:lang w:val="en-US"/>
        </w:rPr>
        <w:t>Seguridade</w:t>
      </w:r>
      <w:proofErr w:type="spellEnd"/>
      <w:r w:rsidRPr="004C5A7A">
        <w:rPr>
          <w:rFonts w:cs="Arial"/>
          <w:lang w:val="en-US"/>
        </w:rPr>
        <w:t xml:space="preserve"> and its owned subsidiaries consider the nature of their transactions as non-seasonal and non-cyclical, </w:t>
      </w:r>
      <w:proofErr w:type="gramStart"/>
      <w:r w:rsidRPr="004C5A7A">
        <w:rPr>
          <w:rFonts w:cs="Arial"/>
          <w:lang w:val="en-US"/>
        </w:rPr>
        <w:t>taking into account</w:t>
      </w:r>
      <w:proofErr w:type="gramEnd"/>
      <w:r w:rsidRPr="004C5A7A">
        <w:rPr>
          <w:rFonts w:cs="Arial"/>
          <w:lang w:val="en-US"/>
        </w:rPr>
        <w:t xml:space="preserve"> the activities carried out by the Group. Consequently, no specific disclosures are provided in these notes.</w:t>
      </w:r>
    </w:p>
    <w:p w14:paraId="37AAA2DE" w14:textId="77777777" w:rsidR="001D023A" w:rsidRPr="004C5A7A" w:rsidRDefault="001D023A" w:rsidP="001D023A">
      <w:pPr>
        <w:pStyle w:val="03-SubttulodeNota"/>
        <w:keepNext/>
        <w:rPr>
          <w:rFonts w:cs="Arial"/>
          <w:color w:val="1F3864" w:themeColor="accent1" w:themeShade="80"/>
          <w:sz w:val="18"/>
          <w:szCs w:val="18"/>
          <w:lang w:val="en-US"/>
        </w:rPr>
      </w:pPr>
      <w:r w:rsidRPr="004C5A7A">
        <w:rPr>
          <w:rFonts w:cs="Arial"/>
          <w:color w:val="1F3864" w:themeColor="accent1" w:themeShade="80"/>
          <w:sz w:val="18"/>
          <w:szCs w:val="18"/>
          <w:lang w:val="en-US"/>
        </w:rPr>
        <w:t xml:space="preserve">g) Main Judgments and </w:t>
      </w:r>
      <w:proofErr w:type="spellStart"/>
      <w:r w:rsidRPr="004C5A7A">
        <w:rPr>
          <w:rFonts w:cs="Arial"/>
          <w:color w:val="1F3864" w:themeColor="accent1" w:themeShade="80"/>
          <w:sz w:val="18"/>
          <w:szCs w:val="18"/>
          <w:lang w:val="en-US"/>
        </w:rPr>
        <w:t>Accouting</w:t>
      </w:r>
      <w:proofErr w:type="spellEnd"/>
      <w:r w:rsidRPr="004C5A7A">
        <w:rPr>
          <w:rFonts w:cs="Arial"/>
          <w:color w:val="1F3864" w:themeColor="accent1" w:themeShade="80"/>
          <w:sz w:val="18"/>
          <w:szCs w:val="18"/>
          <w:lang w:val="en-US"/>
        </w:rPr>
        <w:t xml:space="preserve"> Estimates</w:t>
      </w:r>
    </w:p>
    <w:p w14:paraId="2836FCAF" w14:textId="77777777" w:rsidR="001D023A" w:rsidRPr="004C5A7A" w:rsidRDefault="001D023A" w:rsidP="001D023A">
      <w:pPr>
        <w:pStyle w:val="05-Textonormal"/>
        <w:rPr>
          <w:rFonts w:cs="Arial"/>
          <w:lang w:val="en-US"/>
        </w:rPr>
      </w:pPr>
      <w:r w:rsidRPr="004C5A7A">
        <w:rPr>
          <w:rFonts w:cs="Arial"/>
          <w:lang w:val="en-US"/>
        </w:rPr>
        <w:t>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current estimates.</w:t>
      </w:r>
    </w:p>
    <w:p w14:paraId="60889DD7" w14:textId="77777777" w:rsidR="001D023A" w:rsidRPr="004C5A7A" w:rsidRDefault="001D023A" w:rsidP="001D023A">
      <w:pPr>
        <w:pStyle w:val="05-Textonormal"/>
        <w:rPr>
          <w:rFonts w:cs="Arial"/>
          <w:lang w:val="en-US"/>
        </w:rPr>
      </w:pPr>
      <w:r w:rsidRPr="004C5A7A">
        <w:rPr>
          <w:rFonts w:cs="Arial"/>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4C5A7A">
        <w:rPr>
          <w:rFonts w:cs="Arial"/>
          <w:lang w:val="en-US"/>
        </w:rPr>
        <w:t>Seguridade</w:t>
      </w:r>
      <w:proofErr w:type="spellEnd"/>
      <w:r w:rsidRPr="004C5A7A">
        <w:rPr>
          <w:rFonts w:cs="Arial"/>
          <w:lang w:val="en-US"/>
        </w:rPr>
        <w:t>, the results of its operations and its cash flows, individual and consolidated, in all materially relevant aspects. Significant assets and liabilities subject to these estimates and assumptions encompass items for which an evaluation at fair value is necessary. The most relevant applications of the exercise on estimates judgments and usage occur in: Fair value of Financial Instruments, Impairment of Financial Assets, Impairment of Non-Financial Assets, Income Taxes, Deferred Taxes and Provisions and Contingent Liabilities.</w:t>
      </w:r>
    </w:p>
    <w:p w14:paraId="52CC96F7" w14:textId="77777777" w:rsidR="00836A0C" w:rsidRDefault="008E65B8" w:rsidP="00836A0C">
      <w:pPr>
        <w:pStyle w:val="Ttulo1"/>
        <w:spacing w:line="259" w:lineRule="auto"/>
        <w:jc w:val="both"/>
        <w:rPr>
          <w:rFonts w:ascii="Arial" w:hAnsi="Arial" w:cs="Arial"/>
          <w:b/>
          <w:color w:val="1F3864" w:themeColor="accent1" w:themeShade="80"/>
          <w:sz w:val="20"/>
          <w:lang w:val="en-US"/>
        </w:rPr>
      </w:pPr>
      <w:bookmarkStart w:id="31" w:name="_Toc190680624"/>
      <w:bookmarkEnd w:id="30"/>
      <w:r w:rsidRPr="004C5A7A">
        <w:rPr>
          <w:rFonts w:ascii="Arial" w:hAnsi="Arial" w:cs="Arial"/>
          <w:b/>
          <w:color w:val="1F3864" w:themeColor="accent1" w:themeShade="80"/>
          <w:sz w:val="20"/>
          <w:lang w:val="en-US"/>
        </w:rPr>
        <w:lastRenderedPageBreak/>
        <w:t xml:space="preserve">3 – </w:t>
      </w:r>
      <w:r w:rsidR="00836A0C" w:rsidRPr="004C5A7A">
        <w:rPr>
          <w:rFonts w:ascii="Arial" w:hAnsi="Arial" w:cs="Arial"/>
          <w:b/>
          <w:color w:val="1F3864" w:themeColor="accent1" w:themeShade="80"/>
          <w:sz w:val="20"/>
          <w:lang w:val="en-US"/>
        </w:rPr>
        <w:t>DESCRIPTION OF KEY ACCOUNTING POLICIES</w:t>
      </w:r>
      <w:bookmarkEnd w:id="31"/>
    </w:p>
    <w:p w14:paraId="54E58A6F" w14:textId="77777777" w:rsidR="00C773D3" w:rsidRDefault="00C773D3" w:rsidP="00C773D3">
      <w:pPr>
        <w:spacing w:before="120" w:after="120"/>
        <w:jc w:val="both"/>
        <w:rPr>
          <w:rFonts w:ascii="Arial" w:eastAsia="Times New Roman" w:hAnsi="Arial" w:cs="Times New Roman"/>
          <w:spacing w:val="-2"/>
          <w:sz w:val="18"/>
          <w:szCs w:val="18"/>
          <w:lang w:val="en" w:eastAsia="pt-BR"/>
        </w:rPr>
      </w:pPr>
      <w:bookmarkStart w:id="32"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financial.</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financial statements</w:t>
      </w:r>
      <w:r w:rsidRPr="004105CA">
        <w:rPr>
          <w:rFonts w:ascii="Arial" w:eastAsia="Times New Roman" w:hAnsi="Arial" w:cs="Times New Roman"/>
          <w:spacing w:val="-2"/>
          <w:sz w:val="18"/>
          <w:szCs w:val="18"/>
          <w:lang w:val="en" w:eastAsia="pt-BR"/>
        </w:rPr>
        <w:t>.</w:t>
      </w:r>
    </w:p>
    <w:p w14:paraId="04FC9793"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694F8E4F" w14:textId="77777777" w:rsidR="00C773D3" w:rsidRDefault="00C773D3" w:rsidP="00C773D3">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2C135779" w14:textId="77777777" w:rsidR="00C773D3" w:rsidRDefault="00C773D3" w:rsidP="00C773D3">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7D0F9093"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592A4C84"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commissions </w:t>
      </w:r>
      <w:proofErr w:type="gramStart"/>
      <w:r w:rsidRPr="004105CA">
        <w:rPr>
          <w:rFonts w:ascii="Arial" w:eastAsia="Times New Roman" w:hAnsi="Arial" w:cs="Arial"/>
          <w:spacing w:val="-2"/>
          <w:sz w:val="18"/>
          <w:szCs w:val="18"/>
          <w:lang w:val="en-US" w:eastAsia="pt-BR"/>
        </w:rPr>
        <w:t>are</w:t>
      </w:r>
      <w:proofErr w:type="gramEnd"/>
      <w:r w:rsidRPr="004105CA">
        <w:rPr>
          <w:rFonts w:ascii="Arial" w:eastAsia="Times New Roman" w:hAnsi="Arial" w:cs="Arial"/>
          <w:spacing w:val="-2"/>
          <w:sz w:val="18"/>
          <w:szCs w:val="18"/>
          <w:lang w:val="en-US" w:eastAsia="pt-BR"/>
        </w:rPr>
        <w:t xml:space="preserve"> recognized pro rata when its value, its related costs and the conclusion stage of the transaction can be measured </w:t>
      </w:r>
      <w:r>
        <w:rPr>
          <w:rFonts w:ascii="Arial" w:eastAsia="Times New Roman" w:hAnsi="Arial" w:cs="Arial"/>
          <w:spacing w:val="-2"/>
          <w:sz w:val="18"/>
          <w:szCs w:val="18"/>
          <w:lang w:val="en-US" w:eastAsia="pt-BR"/>
        </w:rPr>
        <w:t>reliably</w:t>
      </w:r>
      <w:r w:rsidRPr="004105CA">
        <w:rPr>
          <w:rFonts w:ascii="Arial" w:eastAsia="Times New Roman" w:hAnsi="Arial" w:cs="Arial"/>
          <w:spacing w:val="-2"/>
          <w:sz w:val="18"/>
          <w:szCs w:val="18"/>
          <w:lang w:val="en-US" w:eastAsia="pt-BR"/>
        </w:rPr>
        <w:t xml:space="preserve"> and when its related economic benefits are likely to be effective, according to the CPC 47</w:t>
      </w:r>
      <w:r>
        <w:rPr>
          <w:rFonts w:ascii="Arial" w:eastAsia="Times New Roman" w:hAnsi="Arial" w:cs="Arial"/>
          <w:spacing w:val="-2"/>
          <w:sz w:val="18"/>
          <w:szCs w:val="18"/>
          <w:lang w:val="en-US" w:eastAsia="pt-BR"/>
        </w:rPr>
        <w:t xml:space="preserve"> [IFRS 15]</w:t>
      </w:r>
      <w:r w:rsidRPr="004105CA">
        <w:rPr>
          <w:rFonts w:ascii="Arial" w:eastAsia="Times New Roman" w:hAnsi="Arial" w:cs="Arial"/>
          <w:spacing w:val="-2"/>
          <w:sz w:val="18"/>
          <w:szCs w:val="18"/>
          <w:lang w:val="en-US" w:eastAsia="pt-BR"/>
        </w:rPr>
        <w:t xml:space="preserve"> – </w:t>
      </w:r>
      <w:r w:rsidRPr="002308DA">
        <w:rPr>
          <w:rFonts w:ascii="Arial" w:eastAsia="Times New Roman" w:hAnsi="Arial" w:cs="Arial"/>
          <w:spacing w:val="-2"/>
          <w:sz w:val="18"/>
          <w:szCs w:val="18"/>
          <w:lang w:val="en-US" w:eastAsia="pt-BR"/>
        </w:rPr>
        <w:t>Revenue from Contracts with Customers</w:t>
      </w:r>
      <w:r w:rsidRPr="004105CA">
        <w:rPr>
          <w:rFonts w:ascii="Arial" w:eastAsia="Times New Roman" w:hAnsi="Arial" w:cs="Arial"/>
          <w:spacing w:val="-2"/>
          <w:sz w:val="18"/>
          <w:szCs w:val="18"/>
          <w:lang w:val="en-US" w:eastAsia="pt-BR"/>
        </w:rPr>
        <w:t>.</w:t>
      </w:r>
    </w:p>
    <w:p w14:paraId="46C63A32"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3DB36CA0"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arises from the segments of people insurance, casualty insurance, pension plans, capitalization and health insurance. These revenues are recognized over time (products with an established validity), where the performance obligation is diluted linearly over the lifetime of the product/insurance, or at a specific time (monthly products), where the performance obligation is due monthly, according to the characteristics of the products.</w:t>
      </w:r>
    </w:p>
    <w:p w14:paraId="275B1583"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6C54FED4"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 of the commissions.</w:t>
      </w:r>
    </w:p>
    <w:p w14:paraId="13C10CB8"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9304F7">
        <w:rPr>
          <w:rFonts w:ascii="Arial" w:eastAsia="Times New Roman" w:hAnsi="Arial" w:cs="Arial"/>
          <w:spacing w:val="-2"/>
          <w:sz w:val="18"/>
          <w:szCs w:val="18"/>
          <w:lang w:val="en-US" w:eastAsia="pt-BR"/>
        </w:rPr>
        <w:t xml:space="preserve">For pension plans, amounts arising from cancellations are recognized and returned monthly. Additionally, a provision is set up for the return of brokerage fees, estimated for </w:t>
      </w:r>
      <w:proofErr w:type="gramStart"/>
      <w:r w:rsidRPr="009304F7">
        <w:rPr>
          <w:rFonts w:ascii="Arial" w:eastAsia="Times New Roman" w:hAnsi="Arial" w:cs="Arial"/>
          <w:spacing w:val="-2"/>
          <w:sz w:val="18"/>
          <w:szCs w:val="18"/>
          <w:lang w:val="en-US" w:eastAsia="pt-BR"/>
        </w:rPr>
        <w:t>future plan</w:t>
      </w:r>
      <w:proofErr w:type="gramEnd"/>
      <w:r w:rsidRPr="009304F7">
        <w:rPr>
          <w:rFonts w:ascii="Arial" w:eastAsia="Times New Roman" w:hAnsi="Arial" w:cs="Arial"/>
          <w:spacing w:val="-2"/>
          <w:sz w:val="18"/>
          <w:szCs w:val="18"/>
          <w:lang w:val="en-US" w:eastAsia="pt-BR"/>
        </w:rPr>
        <w:t xml:space="preserve"> cancellations in the 12 months following the date of sale, recognized in Current Liabilities (Other Liabilities).</w:t>
      </w:r>
    </w:p>
    <w:p w14:paraId="7011B280" w14:textId="77777777" w:rsidR="00C773D3" w:rsidRPr="00481176"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the monitoring and control of brokerage commissions,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the ERP (Enterprise Resource Planning) system, which has a specific module for brokerage, called “Motor de </w:t>
      </w:r>
      <w:proofErr w:type="spellStart"/>
      <w:r w:rsidRPr="004105CA">
        <w:rPr>
          <w:rFonts w:ascii="Arial" w:eastAsia="Times New Roman" w:hAnsi="Arial" w:cs="Arial"/>
          <w:spacing w:val="-2"/>
          <w:sz w:val="18"/>
          <w:szCs w:val="18"/>
          <w:lang w:val="en-US" w:eastAsia="pt-BR"/>
        </w:rPr>
        <w:t>Cálculo</w:t>
      </w:r>
      <w:proofErr w:type="spellEnd"/>
      <w:r w:rsidRPr="004105CA">
        <w:rPr>
          <w:rFonts w:ascii="Arial" w:eastAsia="Times New Roman" w:hAnsi="Arial" w:cs="Arial"/>
          <w:spacing w:val="-2"/>
          <w:sz w:val="18"/>
          <w:szCs w:val="18"/>
          <w:lang w:val="en-US" w:eastAsia="pt-BR"/>
        </w:rPr>
        <w:t xml:space="preserve">”. The purpose of this module is to receive, in a standardized manner, all the necessary information from the investees and Banco </w:t>
      </w:r>
      <w:proofErr w:type="gramStart"/>
      <w:r w:rsidRPr="004105CA">
        <w:rPr>
          <w:rFonts w:ascii="Arial" w:eastAsia="Times New Roman" w:hAnsi="Arial" w:cs="Arial"/>
          <w:spacing w:val="-2"/>
          <w:sz w:val="18"/>
          <w:szCs w:val="18"/>
          <w:lang w:val="en-US" w:eastAsia="pt-BR"/>
        </w:rPr>
        <w:t>do</w:t>
      </w:r>
      <w:proofErr w:type="gramEnd"/>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Brasil</w:t>
      </w:r>
      <w:proofErr w:type="spellEnd"/>
      <w:r w:rsidRPr="004105CA">
        <w:rPr>
          <w:rFonts w:ascii="Arial" w:eastAsia="Times New Roman" w:hAnsi="Arial" w:cs="Arial"/>
          <w:spacing w:val="-2"/>
          <w:sz w:val="18"/>
          <w:szCs w:val="18"/>
          <w:lang w:val="en-US" w:eastAsia="pt-BR"/>
        </w:rPr>
        <w:t>, allowing the automation of the quantitative and qualitative analyzes of the sales operations and accounts receivable operations of the security products, allowing greater control and reconciliation of brokerage values, in addition to allowing the automatic accounting.</w:t>
      </w:r>
    </w:p>
    <w:p w14:paraId="71F9D986"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191AE1CB"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3754E2D1"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4E8E3CFF"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cash available in national currency and investments in committed operations, with high liquidity and insignificant risk of change in value, with maturity equal to or less than 90 days.</w:t>
      </w:r>
    </w:p>
    <w:p w14:paraId="41C6F102"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0818A290"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342110B5"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lastRenderedPageBreak/>
        <w:t xml:space="preserve">Financial instruments are initially measured at fair value plus the transaction cost, except when financial assets and liabilities are recorded at fair value through the income. </w:t>
      </w:r>
    </w:p>
    <w:p w14:paraId="738AB18A"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2AC9E768"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w:t>
      </w:r>
      <w:proofErr w:type="spellStart"/>
      <w:r w:rsidRPr="00754BED">
        <w:rPr>
          <w:rFonts w:ascii="Arial" w:eastAsia="Times New Roman" w:hAnsi="Arial" w:cs="Arial"/>
          <w:spacing w:val="-2"/>
          <w:sz w:val="18"/>
          <w:szCs w:val="18"/>
          <w:lang w:val="en-US" w:eastAsia="pt-BR"/>
        </w:rPr>
        <w:t>Brasil</w:t>
      </w:r>
      <w:proofErr w:type="spellEnd"/>
      <w:r w:rsidRPr="00754BED">
        <w:rPr>
          <w:rFonts w:ascii="Arial" w:eastAsia="Times New Roman" w:hAnsi="Arial" w:cs="Arial"/>
          <w:spacing w:val="-2"/>
          <w:sz w:val="18"/>
          <w:szCs w:val="18"/>
          <w:lang w:val="en-US" w:eastAsia="pt-BR"/>
        </w:rPr>
        <w:t xml:space="preserve">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1EBF4664"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2AFC3A5A"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for the purpose of receiving its contractual cash flow rather than for sale with realization of profits or losses and (ii) whose contractual terms </w:t>
      </w:r>
      <w:proofErr w:type="gramStart"/>
      <w:r w:rsidRPr="004105CA">
        <w:rPr>
          <w:rFonts w:ascii="Arial" w:eastAsia="Times New Roman" w:hAnsi="Arial" w:cs="Arial"/>
          <w:spacing w:val="-2"/>
          <w:sz w:val="18"/>
          <w:szCs w:val="18"/>
          <w:lang w:val="en-US" w:eastAsia="pt-BR"/>
        </w:rPr>
        <w:t>generates</w:t>
      </w:r>
      <w:proofErr w:type="gramEnd"/>
      <w:r w:rsidRPr="004105CA">
        <w:rPr>
          <w:rFonts w:ascii="Arial" w:eastAsia="Times New Roman" w:hAnsi="Arial" w:cs="Arial"/>
          <w:spacing w:val="-2"/>
          <w:sz w:val="18"/>
          <w:szCs w:val="18"/>
          <w:lang w:val="en-US" w:eastAsia="pt-BR"/>
        </w:rPr>
        <w:t xml:space="preserve"> cash flows at specified dates exclusively for principal payments and interest payments on the outstanding principal value.</w:t>
      </w:r>
    </w:p>
    <w:p w14:paraId="2957683D"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1946A1F6"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w:t>
      </w:r>
      <w:proofErr w:type="gramStart"/>
      <w:r w:rsidRPr="004105CA">
        <w:rPr>
          <w:rFonts w:ascii="Arial" w:eastAsia="Times New Roman" w:hAnsi="Arial" w:cs="Arial"/>
          <w:spacing w:val="-2"/>
          <w:sz w:val="18"/>
          <w:szCs w:val="18"/>
          <w:lang w:val="en-US" w:eastAsia="pt-BR"/>
        </w:rPr>
        <w:t>generates</w:t>
      </w:r>
      <w:proofErr w:type="gramEnd"/>
      <w:r w:rsidRPr="004105CA">
        <w:rPr>
          <w:rFonts w:ascii="Arial" w:eastAsia="Times New Roman" w:hAnsi="Arial" w:cs="Arial"/>
          <w:spacing w:val="-2"/>
          <w:sz w:val="18"/>
          <w:szCs w:val="18"/>
          <w:lang w:val="en-US" w:eastAsia="pt-BR"/>
        </w:rPr>
        <w:t xml:space="preserve"> cash flows at specified dates exclusively for principal payments and interest payments on the outstanding principal value. </w:t>
      </w:r>
    </w:p>
    <w:p w14:paraId="45C01DE1"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76470D76"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1EDC6812"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08914C4A"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Fair value is the price that would be received for the sale of an asset or would be paid by the transfer of a liability in a non-forced transaction between market participants at the measurement date.</w:t>
      </w:r>
    </w:p>
    <w:p w14:paraId="49286CE1"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2EE5BDD8" w14:textId="77777777" w:rsidR="00C773D3" w:rsidRPr="004105CA"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In situations where there is no market price for a particular financial instrument, its fair value is estimated </w:t>
      </w:r>
      <w:proofErr w:type="gramStart"/>
      <w:r w:rsidRPr="004105CA">
        <w:rPr>
          <w:rFonts w:ascii="Arial" w:eastAsia="Times New Roman" w:hAnsi="Arial" w:cs="Arial"/>
          <w:spacing w:val="-2"/>
          <w:sz w:val="18"/>
          <w:szCs w:val="18"/>
          <w:lang w:val="en-US" w:eastAsia="pt-BR"/>
        </w:rPr>
        <w:t>on the basis of</w:t>
      </w:r>
      <w:proofErr w:type="gramEnd"/>
      <w:r w:rsidRPr="004105CA">
        <w:rPr>
          <w:rFonts w:ascii="Arial" w:eastAsia="Times New Roman" w:hAnsi="Arial" w:cs="Arial"/>
          <w:spacing w:val="-2"/>
          <w:sz w:val="18"/>
          <w:szCs w:val="18"/>
          <w:lang w:val="en-US" w:eastAsia="pt-BR"/>
        </w:rPr>
        <w:t xml:space="preserve">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 credit models and other known valuation models.</w:t>
      </w:r>
    </w:p>
    <w:p w14:paraId="3EB0D399"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20B25D0A" w14:textId="77777777" w:rsidR="00C773D3" w:rsidRPr="00481176"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75A814E8"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4C370509"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75C914BD" w14:textId="77777777" w:rsidR="00C773D3" w:rsidRPr="00481176" w:rsidRDefault="00C773D3" w:rsidP="00C773D3">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3E2D9B22" w14:textId="77777777" w:rsidR="00C773D3" w:rsidRPr="00481176" w:rsidRDefault="00C773D3" w:rsidP="00F9603D">
      <w:pPr>
        <w:pageBreakBefore/>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lastRenderedPageBreak/>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76A54695"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3D91BD29"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1B12B1A0"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373517E6"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t>
      </w:r>
      <w:proofErr w:type="gramStart"/>
      <w:r w:rsidRPr="000A77E1">
        <w:rPr>
          <w:rFonts w:ascii="Arial" w:eastAsia="Times New Roman" w:hAnsi="Arial" w:cs="Arial"/>
          <w:spacing w:val="-2"/>
          <w:sz w:val="18"/>
          <w:szCs w:val="18"/>
          <w:lang w:val="en-US" w:eastAsia="pt-BR"/>
        </w:rPr>
        <w:t>whenever</w:t>
      </w:r>
      <w:proofErr w:type="gramEnd"/>
      <w:r w:rsidRPr="000A77E1">
        <w:rPr>
          <w:rFonts w:ascii="Arial" w:eastAsia="Times New Roman" w:hAnsi="Arial" w:cs="Arial"/>
          <w:spacing w:val="-2"/>
          <w:sz w:val="18"/>
          <w:szCs w:val="18"/>
          <w:lang w:val="en-US" w:eastAsia="pt-BR"/>
        </w:rPr>
        <w:t xml:space="preserve">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0AE2A50E"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33E2BD0A"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1C7AEFE4"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3351CDB4"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644D3DFE"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02501DAE"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568F5EF9"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553B4A3A"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5E9B86C2"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0F8DABB4"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t>
      </w:r>
      <w:proofErr w:type="gramStart"/>
      <w:r w:rsidRPr="000A77E1">
        <w:rPr>
          <w:rFonts w:ascii="Arial" w:eastAsia="Times New Roman" w:hAnsi="Arial" w:cs="Arial"/>
          <w:spacing w:val="-2"/>
          <w:sz w:val="18"/>
          <w:szCs w:val="18"/>
          <w:lang w:val="en-US" w:eastAsia="pt-BR"/>
        </w:rPr>
        <w:t>whenever</w:t>
      </w:r>
      <w:proofErr w:type="gramEnd"/>
      <w:r w:rsidRPr="000A77E1">
        <w:rPr>
          <w:rFonts w:ascii="Arial" w:eastAsia="Times New Roman" w:hAnsi="Arial" w:cs="Arial"/>
          <w:spacing w:val="-2"/>
          <w:sz w:val="18"/>
          <w:szCs w:val="18"/>
          <w:lang w:val="en-US" w:eastAsia="pt-BR"/>
        </w:rPr>
        <w:t xml:space="preserve"> there is an indication that the asset may be devalued, an assessment, based on internal and external sources of information, to check if there is any indication that a non-financial asset may be with recoverability problems is carried out. If there is such indication, the asset's recoverable value is estimated. The recoverable value of the asset is the highest between its fair value minus the costs to sell it or its value in use.</w:t>
      </w:r>
    </w:p>
    <w:p w14:paraId="4900C918"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3E2F7A1B"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3E6C3639"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t>
      </w:r>
      <w:r w:rsidRPr="000A77E1">
        <w:rPr>
          <w:rFonts w:ascii="Arial" w:eastAsia="Times New Roman" w:hAnsi="Arial" w:cs="Arial"/>
          <w:spacing w:val="-2"/>
          <w:sz w:val="18"/>
          <w:szCs w:val="18"/>
          <w:lang w:val="en-US" w:eastAsia="pt-BR"/>
        </w:rPr>
        <w:lastRenderedPageBreak/>
        <w:t xml:space="preserve">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58690F6F"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5181F049"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00EC0DFE"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7AE18B35" w14:textId="77777777" w:rsidR="00C773D3" w:rsidRPr="007561BA" w:rsidRDefault="00C773D3" w:rsidP="00C773D3">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w:t>
      </w:r>
      <w:proofErr w:type="spellStart"/>
      <w:r w:rsidRPr="007561BA">
        <w:rPr>
          <w:rFonts w:ascii="Arial" w:eastAsia="Times New Roman" w:hAnsi="Arial" w:cs="Arial"/>
          <w:spacing w:val="-2"/>
          <w:sz w:val="18"/>
          <w:szCs w:val="18"/>
          <w:lang w:val="en-US" w:eastAsia="pt-BR"/>
        </w:rPr>
        <w:t>Corretora</w:t>
      </w:r>
      <w:proofErr w:type="spellEnd"/>
      <w:r w:rsidRPr="007561BA">
        <w:rPr>
          <w:rFonts w:ascii="Arial" w:eastAsia="Times New Roman" w:hAnsi="Arial" w:cs="Arial"/>
          <w:spacing w:val="-2"/>
          <w:sz w:val="18"/>
          <w:szCs w:val="18"/>
          <w:lang w:val="en-US" w:eastAsia="pt-BR"/>
        </w:rPr>
        <w:t xml:space="preserve"> de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Administradora</w:t>
      </w:r>
      <w:proofErr w:type="spellEnd"/>
      <w:r w:rsidRPr="007561BA">
        <w:rPr>
          <w:rFonts w:ascii="Arial" w:eastAsia="Times New Roman" w:hAnsi="Arial" w:cs="Arial"/>
          <w:spacing w:val="-2"/>
          <w:sz w:val="18"/>
          <w:szCs w:val="18"/>
          <w:lang w:val="en-US" w:eastAsia="pt-BR"/>
        </w:rPr>
        <w:t xml:space="preserve">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39A66A77"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Operadora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Corretora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404F2023"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 as of January 2023</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w:t>
      </w:r>
      <w:proofErr w:type="spellStart"/>
      <w:r w:rsidRPr="003068E7">
        <w:rPr>
          <w:rFonts w:ascii="Arial" w:eastAsia="Times New Roman" w:hAnsi="Arial" w:cs="Arial"/>
          <w:spacing w:val="-2"/>
          <w:sz w:val="18"/>
          <w:szCs w:val="18"/>
          <w:lang w:val="en-US" w:eastAsia="pt-BR"/>
        </w:rPr>
        <w:t>Brasildental</w:t>
      </w:r>
      <w:proofErr w:type="spellEnd"/>
      <w:r w:rsidRPr="003068E7">
        <w:rPr>
          <w:rFonts w:ascii="Arial" w:eastAsia="Times New Roman" w:hAnsi="Arial" w:cs="Arial"/>
          <w:spacing w:val="-2"/>
          <w:sz w:val="18"/>
          <w:szCs w:val="18"/>
          <w:lang w:val="en-US" w:eastAsia="pt-BR"/>
        </w:rPr>
        <w:t xml:space="preserve">,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3690AE70"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of the investees suitable to the accounting practices adopted by the investor.</w:t>
      </w:r>
    </w:p>
    <w:p w14:paraId="6780E2B7"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 Contingent Liabilities and Legal Obligations</w:t>
      </w:r>
    </w:p>
    <w:p w14:paraId="56867320"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and legal obligations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7EFB7AFF" w14:textId="77777777" w:rsidR="00C773D3" w:rsidRPr="000A77E1"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 xml:space="preserve">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10AA89D1"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7975D018"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37BD1943"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6C7EF295" w14:textId="77777777" w:rsidR="00C773D3" w:rsidRDefault="00C773D3" w:rsidP="00C773D3">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C773D3" w:rsidRPr="00BD0B87" w14:paraId="6C420A8F" w14:textId="77777777">
        <w:trPr>
          <w:trHeight w:val="238"/>
          <w:jc w:val="center"/>
        </w:trPr>
        <w:tc>
          <w:tcPr>
            <w:tcW w:w="6379" w:type="dxa"/>
            <w:tcBorders>
              <w:top w:val="single" w:sz="2" w:space="0" w:color="1F3864" w:themeColor="accent1" w:themeShade="80"/>
              <w:bottom w:val="single" w:sz="2" w:space="0" w:color="1F3864" w:themeColor="accent1" w:themeShade="80"/>
            </w:tcBorders>
            <w:shd w:val="clear" w:color="auto" w:fill="auto"/>
            <w:vAlign w:val="center"/>
          </w:tcPr>
          <w:p w14:paraId="5D2D36C3" w14:textId="77777777" w:rsidR="00C773D3" w:rsidRPr="00BD0B87" w:rsidRDefault="00C773D3">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2A9AC1C4" w14:textId="77777777" w:rsidR="00C773D3" w:rsidRDefault="00C773D3">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Pr>
                <w:rFonts w:ascii="Arial" w:eastAsia="Times New Roman" w:hAnsi="Arial" w:cs="Arial"/>
                <w:b/>
                <w:spacing w:val="-2"/>
                <w:sz w:val="14"/>
                <w:szCs w:val="18"/>
                <w:lang w:eastAsia="pt-BR"/>
              </w:rPr>
              <w:t xml:space="preserve"> 31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c>
          <w:tcPr>
            <w:tcW w:w="1488" w:type="dxa"/>
            <w:tcBorders>
              <w:top w:val="single" w:sz="2" w:space="0" w:color="1F3864" w:themeColor="accent1" w:themeShade="80"/>
              <w:bottom w:val="single" w:sz="2" w:space="0" w:color="1F3864" w:themeColor="accent1" w:themeShade="80"/>
            </w:tcBorders>
            <w:vAlign w:val="center"/>
          </w:tcPr>
          <w:p w14:paraId="0E083766" w14:textId="77777777" w:rsidR="00C773D3" w:rsidRDefault="00C773D3">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3</w:t>
            </w:r>
          </w:p>
        </w:tc>
      </w:tr>
      <w:tr w:rsidR="00C773D3" w:rsidRPr="00653274" w14:paraId="155CCC75" w14:textId="77777777">
        <w:trPr>
          <w:trHeight w:val="238"/>
          <w:jc w:val="center"/>
        </w:trPr>
        <w:tc>
          <w:tcPr>
            <w:tcW w:w="6379" w:type="dxa"/>
            <w:tcBorders>
              <w:top w:val="single" w:sz="2" w:space="0" w:color="1F3864" w:themeColor="accent1" w:themeShade="80"/>
              <w:bottom w:val="nil"/>
            </w:tcBorders>
            <w:shd w:val="clear" w:color="auto" w:fill="auto"/>
            <w:vAlign w:val="center"/>
          </w:tcPr>
          <w:p w14:paraId="3C9C0D3B" w14:textId="77777777" w:rsidR="00C773D3" w:rsidRPr="00653274" w:rsidRDefault="00C773D3">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49B45EE2"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27A8E4C3"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C773D3" w:rsidRPr="00653274" w14:paraId="5ED631C1" w14:textId="77777777">
        <w:trPr>
          <w:trHeight w:val="238"/>
          <w:jc w:val="center"/>
        </w:trPr>
        <w:tc>
          <w:tcPr>
            <w:tcW w:w="6379" w:type="dxa"/>
            <w:tcBorders>
              <w:top w:val="nil"/>
            </w:tcBorders>
            <w:shd w:val="clear" w:color="auto" w:fill="auto"/>
            <w:vAlign w:val="center"/>
          </w:tcPr>
          <w:p w14:paraId="241C6026" w14:textId="77777777" w:rsidR="00C773D3" w:rsidRPr="00653274" w:rsidRDefault="00C773D3">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Social Contribution on Net Income (CSLL)</w:t>
            </w:r>
          </w:p>
        </w:tc>
        <w:tc>
          <w:tcPr>
            <w:tcW w:w="1487" w:type="dxa"/>
            <w:tcBorders>
              <w:top w:val="nil"/>
            </w:tcBorders>
          </w:tcPr>
          <w:p w14:paraId="6FA15BC2"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1C4A0608"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C773D3" w:rsidRPr="00653274" w14:paraId="42D8295A" w14:textId="77777777">
        <w:trPr>
          <w:trHeight w:val="238"/>
          <w:jc w:val="center"/>
        </w:trPr>
        <w:tc>
          <w:tcPr>
            <w:tcW w:w="6379" w:type="dxa"/>
            <w:shd w:val="clear" w:color="auto" w:fill="auto"/>
            <w:vAlign w:val="center"/>
          </w:tcPr>
          <w:p w14:paraId="5A3F9294" w14:textId="77777777" w:rsidR="00C773D3" w:rsidRPr="00653274" w:rsidRDefault="00C773D3">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PIS (Social Integration Program) / Pasep (Investment Program for Civil Servants)</w:t>
            </w:r>
          </w:p>
        </w:tc>
        <w:tc>
          <w:tcPr>
            <w:tcW w:w="1487" w:type="dxa"/>
          </w:tcPr>
          <w:p w14:paraId="53E70CF5"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61E900FF"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C773D3" w:rsidRPr="00653274" w14:paraId="763506AC" w14:textId="77777777">
        <w:trPr>
          <w:trHeight w:val="238"/>
          <w:jc w:val="center"/>
        </w:trPr>
        <w:tc>
          <w:tcPr>
            <w:tcW w:w="6379" w:type="dxa"/>
            <w:shd w:val="clear" w:color="auto" w:fill="auto"/>
            <w:vAlign w:val="center"/>
          </w:tcPr>
          <w:p w14:paraId="79B73F0E" w14:textId="77777777" w:rsidR="00C773D3" w:rsidRPr="00653274" w:rsidRDefault="00C773D3">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 (COFINS)</w:t>
            </w:r>
          </w:p>
        </w:tc>
        <w:tc>
          <w:tcPr>
            <w:tcW w:w="1487" w:type="dxa"/>
          </w:tcPr>
          <w:p w14:paraId="05FAE25E"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04CAE161"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C773D3" w:rsidRPr="00653274" w14:paraId="1567A2B3" w14:textId="77777777">
        <w:trPr>
          <w:trHeight w:val="238"/>
          <w:jc w:val="center"/>
        </w:trPr>
        <w:tc>
          <w:tcPr>
            <w:tcW w:w="6379" w:type="dxa"/>
            <w:shd w:val="clear" w:color="auto" w:fill="auto"/>
            <w:vAlign w:val="center"/>
          </w:tcPr>
          <w:p w14:paraId="6B4DFCC7" w14:textId="77777777" w:rsidR="00C773D3" w:rsidRPr="0004479F" w:rsidRDefault="00C773D3">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Contribution to PIS / Pasep on income from financial investments</w:t>
            </w:r>
          </w:p>
        </w:tc>
        <w:tc>
          <w:tcPr>
            <w:tcW w:w="1487" w:type="dxa"/>
          </w:tcPr>
          <w:p w14:paraId="29E747B8"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28B72733"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C773D3" w:rsidRPr="00653274" w14:paraId="2BEF869A" w14:textId="77777777">
        <w:trPr>
          <w:trHeight w:val="238"/>
          <w:jc w:val="center"/>
        </w:trPr>
        <w:tc>
          <w:tcPr>
            <w:tcW w:w="6379" w:type="dxa"/>
            <w:shd w:val="clear" w:color="auto" w:fill="auto"/>
            <w:vAlign w:val="center"/>
          </w:tcPr>
          <w:p w14:paraId="43D97855" w14:textId="77777777" w:rsidR="00C773D3" w:rsidRPr="00653274" w:rsidRDefault="00C773D3">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08EA1D6A"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18771865"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C773D3" w:rsidRPr="00653274" w14:paraId="2685B489" w14:textId="77777777">
        <w:trPr>
          <w:trHeight w:val="238"/>
          <w:jc w:val="center"/>
        </w:trPr>
        <w:tc>
          <w:tcPr>
            <w:tcW w:w="6379" w:type="dxa"/>
            <w:tcBorders>
              <w:bottom w:val="single" w:sz="2" w:space="0" w:color="1F3864" w:themeColor="accent1" w:themeShade="80"/>
            </w:tcBorders>
            <w:shd w:val="clear" w:color="auto" w:fill="auto"/>
            <w:vAlign w:val="center"/>
          </w:tcPr>
          <w:p w14:paraId="1F0B865B" w14:textId="77777777" w:rsidR="00C773D3" w:rsidRPr="00490672" w:rsidRDefault="00C773D3">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182E24AE"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3D41F5F6" w14:textId="77777777" w:rsidR="00C773D3" w:rsidRPr="00481176" w:rsidRDefault="00C773D3">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726BC143" w14:textId="77777777" w:rsidR="00C773D3" w:rsidRDefault="00C773D3" w:rsidP="00C773D3">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2AE20AD9" w14:textId="77777777" w:rsidR="00C773D3" w:rsidRDefault="00C773D3" w:rsidP="00C773D3">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 xml:space="preserve">Incident on the services provided by BB </w:t>
      </w:r>
      <w:proofErr w:type="spellStart"/>
      <w:r w:rsidRPr="001B3D85">
        <w:rPr>
          <w:rFonts w:ascii="Arial" w:eastAsia="Times New Roman" w:hAnsi="Arial" w:cs="Arial"/>
          <w:spacing w:val="-2"/>
          <w:sz w:val="14"/>
          <w:szCs w:val="18"/>
          <w:lang w:val="en-US" w:eastAsia="pt-BR"/>
        </w:rPr>
        <w:t>Corretora</w:t>
      </w:r>
      <w:proofErr w:type="spellEnd"/>
      <w:r w:rsidRPr="001B3D85">
        <w:rPr>
          <w:rFonts w:ascii="Arial" w:eastAsia="Times New Roman" w:hAnsi="Arial" w:cs="Arial"/>
          <w:spacing w:val="-2"/>
          <w:sz w:val="14"/>
          <w:szCs w:val="18"/>
          <w:lang w:val="en-US" w:eastAsia="pt-BR"/>
        </w:rPr>
        <w:t>.</w:t>
      </w:r>
    </w:p>
    <w:p w14:paraId="3CC6E2B3" w14:textId="77777777" w:rsidR="00C773D3" w:rsidRPr="00481176" w:rsidRDefault="00C773D3" w:rsidP="00C773D3">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p>
    <w:p w14:paraId="34F3CBE3" w14:textId="77777777" w:rsidR="00C773D3" w:rsidRDefault="00C773D3" w:rsidP="00C773D3">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07E19BA9" w14:textId="77777777" w:rsidR="00C773D3" w:rsidRPr="00415B33" w:rsidRDefault="00C773D3" w:rsidP="00125B71">
      <w:pPr>
        <w:keepNext/>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lastRenderedPageBreak/>
        <w:t>Tax reform</w:t>
      </w:r>
    </w:p>
    <w:p w14:paraId="751D4DDA"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r>
        <w:rPr>
          <w:rFonts w:ascii="Arial" w:eastAsia="Times New Roman" w:hAnsi="Arial" w:cs="Arial"/>
          <w:spacing w:val="-2"/>
          <w:sz w:val="18"/>
          <w:szCs w:val="18"/>
          <w:lang w:val="en-US" w:eastAsia="pt-BR"/>
        </w:rPr>
        <w:t xml:space="preserve"> </w:t>
      </w:r>
      <w:r w:rsidRPr="00B55B68">
        <w:rPr>
          <w:rFonts w:ascii="Arial" w:eastAsia="Times New Roman" w:hAnsi="Arial" w:cs="Arial"/>
          <w:spacing w:val="-2"/>
          <w:sz w:val="18"/>
          <w:szCs w:val="18"/>
          <w:lang w:val="en-US" w:eastAsia="pt-BR"/>
        </w:rPr>
        <w:t>Through the Amendment, the general guidelines of the national tax system were defined.</w:t>
      </w:r>
    </w:p>
    <w:p w14:paraId="00408B87"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On 01/16/2025, Complementary Law 214/2025 (Complementary Bill 68/2024) was sanctioned, the first act that regulates the consumption tax reform provided for in Constitutional Amendment 132/2023, thus creating the Tax on Goods and Services (IBS), the Social Contribution on Goods and Services (CBS) and the Selective Tax (IS).</w:t>
      </w:r>
    </w:p>
    <w:p w14:paraId="473559BD"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To advance the reform, there are other regulations to be considered, such as Complementary Bill 108/2024, which establishes the Goods and Services Tax Management Committee, provides for the tax administrative process related to the official launch of the IBS, in addition to other matters.</w:t>
      </w:r>
    </w:p>
    <w:p w14:paraId="64C07B21" w14:textId="77777777" w:rsidR="00C773D3" w:rsidRDefault="00C773D3" w:rsidP="00C773D3">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 xml:space="preserve">Considering that the current stage of the reform still lacks standardization of the matters, it is not possible to estimate its impacts. The Company continues to monitor the </w:t>
      </w:r>
      <w:r>
        <w:rPr>
          <w:rFonts w:ascii="Arial" w:eastAsia="Times New Roman" w:hAnsi="Arial" w:cs="Arial"/>
          <w:spacing w:val="-2"/>
          <w:sz w:val="18"/>
          <w:szCs w:val="18"/>
          <w:lang w:val="en-US" w:eastAsia="pt-BR"/>
        </w:rPr>
        <w:t>subject</w:t>
      </w:r>
      <w:r w:rsidRPr="001A16AF">
        <w:rPr>
          <w:rFonts w:ascii="Arial" w:eastAsia="Times New Roman" w:hAnsi="Arial" w:cs="Arial"/>
          <w:spacing w:val="-2"/>
          <w:sz w:val="18"/>
          <w:szCs w:val="18"/>
          <w:lang w:val="en-US" w:eastAsia="pt-BR"/>
        </w:rPr>
        <w:t>.</w:t>
      </w:r>
    </w:p>
    <w:p w14:paraId="0C148CE0" w14:textId="77777777" w:rsidR="00C773D3" w:rsidRPr="00F37243"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k</w:t>
      </w:r>
      <w:r w:rsidRPr="00F37243">
        <w:rPr>
          <w:rFonts w:ascii="Arial" w:eastAsia="Times New Roman" w:hAnsi="Arial" w:cs="Times New Roman"/>
          <w:b/>
          <w:color w:val="244061"/>
          <w:spacing w:val="-2"/>
          <w:sz w:val="18"/>
          <w:szCs w:val="18"/>
          <w:lang w:val="en-US" w:eastAsia="pt-BR"/>
        </w:rPr>
        <w:t>) Segment Disclosure</w:t>
      </w:r>
    </w:p>
    <w:p w14:paraId="0B6D2CC5" w14:textId="77777777" w:rsidR="00C773D3" w:rsidRDefault="00C773D3" w:rsidP="00C773D3">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765B284D" w14:textId="77777777" w:rsidR="00C773D3" w:rsidRPr="00481176"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on Net Equity and Dividends</w:t>
      </w:r>
    </w:p>
    <w:p w14:paraId="22260EA8" w14:textId="77777777" w:rsidR="00C773D3" w:rsidRDefault="00C773D3" w:rsidP="00C773D3">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financial statements as a direct reduction in the stockholders' equity. </w:t>
      </w:r>
    </w:p>
    <w:p w14:paraId="290D0019" w14:textId="77777777" w:rsidR="00C773D3" w:rsidRDefault="00C773D3" w:rsidP="00C773D3">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72C99A58" w14:textId="77777777" w:rsidR="00C773D3" w:rsidRPr="00481176" w:rsidRDefault="00C773D3" w:rsidP="00C773D3">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3B3304F3" w14:textId="77777777" w:rsidR="00C773D3" w:rsidRPr="00EB4ACA"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2F51B62B" w14:textId="77777777" w:rsidR="00C773D3" w:rsidRDefault="00C773D3" w:rsidP="00C773D3">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was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 instruments, subscription bonus or their equivalents that provide for its holder the right to acquire shares. Thus, basic and diluted earnings per share are equivalents. </w:t>
      </w:r>
    </w:p>
    <w:p w14:paraId="6CC66BEE" w14:textId="77777777" w:rsidR="00C773D3" w:rsidRPr="001358CA" w:rsidRDefault="00C773D3" w:rsidP="00C773D3">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13278146" w14:textId="77777777" w:rsidR="00C773D3" w:rsidRPr="000A10CA" w:rsidRDefault="00C773D3" w:rsidP="00C773D3">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 BB </w:t>
      </w:r>
      <w:proofErr w:type="spellStart"/>
      <w:r w:rsidRPr="000A10CA">
        <w:rPr>
          <w:rFonts w:ascii="Arial" w:eastAsia="Times New Roman" w:hAnsi="Arial" w:cs="Times New Roman"/>
          <w:spacing w:val="-2"/>
          <w:sz w:val="18"/>
          <w:szCs w:val="18"/>
          <w:lang w:val="en-US" w:eastAsia="pt-BR"/>
        </w:rPr>
        <w:t>Seguridade</w:t>
      </w:r>
      <w:proofErr w:type="spellEnd"/>
      <w:r w:rsidRPr="000A10CA">
        <w:rPr>
          <w:rFonts w:ascii="Arial" w:eastAsia="Times New Roman" w:hAnsi="Arial" w:cs="Times New Roman"/>
          <w:spacing w:val="-2"/>
          <w:sz w:val="18"/>
          <w:szCs w:val="18"/>
          <w:lang w:val="en-US" w:eastAsia="pt-BR"/>
        </w:rPr>
        <w:t xml:space="preserve"> and its controlled companies do not have significant lease operations.</w:t>
      </w:r>
    </w:p>
    <w:p w14:paraId="6D971EFD" w14:textId="77777777" w:rsidR="00C773D3" w:rsidRPr="000A10CA" w:rsidRDefault="00C773D3" w:rsidP="00C773D3">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w:t>
      </w:r>
      <w:proofErr w:type="spellStart"/>
      <w:r w:rsidRPr="00583014">
        <w:rPr>
          <w:rFonts w:ascii="Arial" w:eastAsia="Times New Roman" w:hAnsi="Arial" w:cs="Times New Roman"/>
          <w:spacing w:val="-2"/>
          <w:sz w:val="18"/>
          <w:szCs w:val="18"/>
          <w:lang w:val="en-US" w:eastAsia="pt-BR"/>
        </w:rPr>
        <w:t>Seguros</w:t>
      </w:r>
      <w:proofErr w:type="spellEnd"/>
      <w:r w:rsidRPr="00583014">
        <w:rPr>
          <w:rFonts w:ascii="Arial" w:eastAsia="Times New Roman" w:hAnsi="Arial" w:cs="Times New Roman"/>
          <w:spacing w:val="-2"/>
          <w:sz w:val="18"/>
          <w:szCs w:val="18"/>
          <w:lang w:val="en-US" w:eastAsia="pt-BR"/>
        </w:rPr>
        <w:t>.</w:t>
      </w:r>
      <w:r>
        <w:rPr>
          <w:rFonts w:ascii="Arial" w:eastAsia="Times New Roman" w:hAnsi="Arial" w:cs="Times New Roman"/>
          <w:spacing w:val="-2"/>
          <w:sz w:val="18"/>
          <w:szCs w:val="18"/>
          <w:lang w:val="en-US" w:eastAsia="pt-BR"/>
        </w:rPr>
        <w:t xml:space="preserve"> </w:t>
      </w:r>
    </w:p>
    <w:p w14:paraId="598CB177" w14:textId="77777777" w:rsidR="00C773D3" w:rsidRDefault="00C773D3" w:rsidP="00C773D3">
      <w:pPr>
        <w:spacing w:before="120" w:after="120"/>
        <w:jc w:val="both"/>
        <w:rPr>
          <w:rFonts w:ascii="Arial" w:eastAsia="Times New Roman" w:hAnsi="Arial" w:cs="Times New Roman"/>
          <w:spacing w:val="-2"/>
          <w:sz w:val="18"/>
          <w:szCs w:val="18"/>
          <w:lang w:val="en-US" w:eastAsia="pt-BR"/>
        </w:rPr>
      </w:pPr>
      <w:r w:rsidRPr="00A63204">
        <w:rPr>
          <w:rFonts w:ascii="Arial" w:eastAsia="Times New Roman" w:hAnsi="Arial" w:cs="Times New Roman"/>
          <w:spacing w:val="-2"/>
          <w:sz w:val="18"/>
          <w:szCs w:val="18"/>
          <w:lang w:val="en-US" w:eastAsia="pt-BR"/>
        </w:rPr>
        <w:t xml:space="preserve">The companies </w:t>
      </w:r>
      <w:proofErr w:type="spellStart"/>
      <w:r w:rsidRPr="00A63204">
        <w:rPr>
          <w:rFonts w:ascii="Arial" w:eastAsia="Times New Roman" w:hAnsi="Arial" w:cs="Times New Roman"/>
          <w:spacing w:val="-2"/>
          <w:sz w:val="18"/>
          <w:szCs w:val="18"/>
          <w:lang w:val="en-US" w:eastAsia="pt-BR"/>
        </w:rPr>
        <w:t>Brasilseg</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Aliança</w:t>
      </w:r>
      <w:proofErr w:type="spellEnd"/>
      <w:r w:rsidRPr="00A63204">
        <w:rPr>
          <w:rFonts w:ascii="Arial" w:eastAsia="Times New Roman" w:hAnsi="Arial" w:cs="Times New Roman"/>
          <w:spacing w:val="-2"/>
          <w:sz w:val="18"/>
          <w:szCs w:val="18"/>
          <w:lang w:val="en-US" w:eastAsia="pt-BR"/>
        </w:rPr>
        <w:t xml:space="preserve"> do </w:t>
      </w:r>
      <w:proofErr w:type="spellStart"/>
      <w:r w:rsidRPr="00A63204">
        <w:rPr>
          <w:rFonts w:ascii="Arial" w:eastAsia="Times New Roman" w:hAnsi="Arial" w:cs="Times New Roman"/>
          <w:spacing w:val="-2"/>
          <w:sz w:val="18"/>
          <w:szCs w:val="18"/>
          <w:lang w:val="en-US" w:eastAsia="pt-BR"/>
        </w:rPr>
        <w:t>Brasil</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Seguros</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Brasilprev</w:t>
      </w:r>
      <w:proofErr w:type="spellEnd"/>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Brasilcap</w:t>
      </w:r>
      <w:proofErr w:type="spellEnd"/>
      <w:r w:rsidRPr="00A63204">
        <w:rPr>
          <w:rFonts w:ascii="Arial" w:eastAsia="Times New Roman" w:hAnsi="Arial" w:cs="Times New Roman"/>
          <w:spacing w:val="-2"/>
          <w:sz w:val="18"/>
          <w:szCs w:val="18"/>
          <w:lang w:val="en-US" w:eastAsia="pt-BR"/>
        </w:rPr>
        <w:t xml:space="preserve"> (from January 1, 2021)</w:t>
      </w:r>
      <w:r>
        <w:rPr>
          <w:rFonts w:ascii="Arial" w:eastAsia="Times New Roman" w:hAnsi="Arial" w:cs="Times New Roman"/>
          <w:spacing w:val="-2"/>
          <w:sz w:val="18"/>
          <w:szCs w:val="18"/>
          <w:lang w:val="en-US" w:eastAsia="pt-BR"/>
        </w:rPr>
        <w:t>;</w:t>
      </w:r>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Brasildental</w:t>
      </w:r>
      <w:proofErr w:type="spellEnd"/>
      <w:r w:rsidRPr="00A63204">
        <w:rPr>
          <w:rFonts w:ascii="Arial" w:eastAsia="Times New Roman" w:hAnsi="Arial" w:cs="Times New Roman"/>
          <w:spacing w:val="-2"/>
          <w:sz w:val="18"/>
          <w:szCs w:val="18"/>
          <w:lang w:val="en-US" w:eastAsia="pt-BR"/>
        </w:rPr>
        <w:t xml:space="preserve"> (from January 1, 2022) started to adopt CPC 06 (R2) [IFRS 16] – Leases, since then, there is no divergence of accounting practice related to the treatment of leases.</w:t>
      </w:r>
    </w:p>
    <w:p w14:paraId="05810F41" w14:textId="77777777" w:rsidR="00C773D3" w:rsidRPr="00010454" w:rsidRDefault="00C773D3" w:rsidP="00C773D3">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4332EF1B"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140BA505"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operational investees that commercialize insurance contracts apply the insurance contract grouping levels, by harvest, portfolio</w:t>
      </w:r>
      <w:r>
        <w:rPr>
          <w:rFonts w:ascii="Arial" w:eastAsia="Times New Roman" w:hAnsi="Arial" w:cs="Times New Roman"/>
          <w:bCs/>
          <w:spacing w:val="-2"/>
          <w:sz w:val="18"/>
          <w:szCs w:val="18"/>
          <w:lang w:val="en-US" w:eastAsia="pt-BR"/>
        </w:rPr>
        <w:t>,</w:t>
      </w:r>
      <w:r w:rsidRPr="0048783D">
        <w:rPr>
          <w:rFonts w:ascii="Arial" w:eastAsia="Times New Roman" w:hAnsi="Arial" w:cs="Times New Roman"/>
          <w:bCs/>
          <w:spacing w:val="-2"/>
          <w:sz w:val="18"/>
          <w:szCs w:val="18"/>
          <w:lang w:val="en-US" w:eastAsia="pt-BR"/>
        </w:rPr>
        <w:t xml:space="preserve"> groups</w:t>
      </w:r>
      <w:r>
        <w:rPr>
          <w:rFonts w:ascii="Arial" w:eastAsia="Times New Roman" w:hAnsi="Arial" w:cs="Times New Roman"/>
          <w:bCs/>
          <w:spacing w:val="-2"/>
          <w:sz w:val="18"/>
          <w:szCs w:val="18"/>
          <w:lang w:val="en-US" w:eastAsia="pt-BR"/>
        </w:rPr>
        <w:t xml:space="preserve"> and </w:t>
      </w:r>
      <w:r w:rsidRPr="0048783D">
        <w:rPr>
          <w:rFonts w:ascii="Arial" w:eastAsia="Times New Roman" w:hAnsi="Arial" w:cs="Times New Roman"/>
          <w:bCs/>
          <w:spacing w:val="-2"/>
          <w:sz w:val="18"/>
          <w:szCs w:val="18"/>
          <w:lang w:val="en-US" w:eastAsia="pt-BR"/>
        </w:rPr>
        <w:t xml:space="preserve">harvest. </w:t>
      </w:r>
    </w:p>
    <w:p w14:paraId="1DC66BDD"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lastRenderedPageBreak/>
        <w:t>The portfolios were determined by first identifying contracts subject to similar risks and managed together, in pension plans: Traditional, PGBL/VGBL, Conjugated VGBL, Risk Coverage and Reinsurance; and in insurance: annual risk and multi-year risk.</w:t>
      </w:r>
    </w:p>
    <w:p w14:paraId="6024B5DB"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 groups are divided into onerous and non-onerous contracts, the latter having no significant possibility of becoming onerous after initial recognition and other contracts remaining in the portfolio.</w:t>
      </w:r>
    </w:p>
    <w:p w14:paraId="7B6171B7"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383D8C">
        <w:rPr>
          <w:rFonts w:ascii="Arial" w:eastAsia="Times New Roman" w:hAnsi="Arial" w:cs="Times New Roman"/>
          <w:bCs/>
          <w:spacing w:val="-2"/>
          <w:sz w:val="18"/>
          <w:szCs w:val="18"/>
          <w:lang w:val="en-US" w:eastAsia="pt-BR"/>
        </w:rPr>
        <w:t>Furthermore, the contracts of each group are segregated into harvests, with periods of up to one year between the coverage start dates (annual cuts). Reinsurance contracts are established so that each group contains a single contract.</w:t>
      </w:r>
    </w:p>
    <w:p w14:paraId="64546D8B"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According to the characteristics of insurance contracts, the application of accounting models is divided into</w:t>
      </w:r>
      <w:r>
        <w:rPr>
          <w:rFonts w:ascii="Arial" w:eastAsia="Times New Roman" w:hAnsi="Arial" w:cs="Times New Roman"/>
          <w:bCs/>
          <w:spacing w:val="-2"/>
          <w:sz w:val="18"/>
          <w:szCs w:val="18"/>
          <w:lang w:val="en-US" w:eastAsia="pt-BR"/>
        </w:rPr>
        <w:t>:</w:t>
      </w:r>
    </w:p>
    <w:p w14:paraId="15FB5546" w14:textId="77777777" w:rsidR="00C773D3" w:rsidRPr="0048783D" w:rsidRDefault="00C773D3" w:rsidP="00C773D3">
      <w:pPr>
        <w:pStyle w:val="PargrafodaLista"/>
        <w:numPr>
          <w:ilvl w:val="0"/>
          <w:numId w:val="38"/>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measurement model includes the portfolios of lending insurance and housing insurance; and the Traditional pension products, VGBL Conjugated and Risk Coverage, as well as their Reinsurance operations.</w:t>
      </w:r>
    </w:p>
    <w:p w14:paraId="660327DB" w14:textId="77777777" w:rsidR="00C773D3" w:rsidRPr="0048783D" w:rsidRDefault="00C773D3" w:rsidP="00C773D3">
      <w:pPr>
        <w:pStyle w:val="PargrafodaLista"/>
        <w:numPr>
          <w:ilvl w:val="0"/>
          <w:numId w:val="38"/>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model includes all insurance contracts with a duration equal to or less than one year, both life and non-life, and those contracts with a duration of up to 5 years whose valuation results would not differ significantly in relation to the general BBA model.</w:t>
      </w:r>
    </w:p>
    <w:p w14:paraId="221CFD10" w14:textId="77777777" w:rsidR="00C773D3" w:rsidRPr="0048783D" w:rsidRDefault="00C773D3" w:rsidP="00C773D3">
      <w:pPr>
        <w:pStyle w:val="PargrafodaLista"/>
        <w:numPr>
          <w:ilvl w:val="0"/>
          <w:numId w:val="38"/>
        </w:numPr>
        <w:spacing w:before="120" w:after="120" w:line="276" w:lineRule="auto"/>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It follows the same general measurement model (BBA), with the difference being a variable remuneration component in its compliance flows. The VFA modifies the treatment of the CSM in subsequent measurement to include contracts where the insured participates in a substantial part of the returns of underlying items, such as an asset portfolio. This model includes the PGBL and VGBL pension products.</w:t>
      </w:r>
    </w:p>
    <w:p w14:paraId="4D2515FE"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w:t>
      </w:r>
      <w:proofErr w:type="gramStart"/>
      <w:r w:rsidRPr="009563BB">
        <w:rPr>
          <w:rFonts w:ascii="Arial" w:eastAsia="Times New Roman" w:hAnsi="Arial" w:cs="Times New Roman"/>
          <w:bCs/>
          <w:spacing w:val="-2"/>
          <w:sz w:val="18"/>
          <w:szCs w:val="18"/>
          <w:lang w:val="en-US" w:eastAsia="pt-BR"/>
        </w:rPr>
        <w:t>Upon</w:t>
      </w:r>
      <w:proofErr w:type="gramEnd"/>
      <w:r w:rsidRPr="009563BB">
        <w:rPr>
          <w:rFonts w:ascii="Arial" w:eastAsia="Times New Roman" w:hAnsi="Arial" w:cs="Times New Roman"/>
          <w:bCs/>
          <w:spacing w:val="-2"/>
          <w:sz w:val="18"/>
          <w:szCs w:val="18"/>
          <w:lang w:val="en-US" w:eastAsia="pt-BR"/>
        </w:rPr>
        <w:t xml:space="preserve"> initial recognition by the </w:t>
      </w:r>
      <w:r w:rsidRPr="0048783D">
        <w:rPr>
          <w:rFonts w:ascii="Arial" w:eastAsia="Times New Roman" w:hAnsi="Arial" w:cs="Times New Roman"/>
          <w:bCs/>
          <w:spacing w:val="-2"/>
          <w:sz w:val="18"/>
          <w:szCs w:val="18"/>
          <w:lang w:val="en-US" w:eastAsia="pt-BR"/>
        </w:rPr>
        <w:t>non-financial risks, in order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22C9A08B"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In the PAA model, based on the remaining coverage liability, like the current methodology of unearned premiums, liability amounts are recognized in income according to the period of effectiveness of the insurance contracts.</w:t>
      </w:r>
    </w:p>
    <w:p w14:paraId="2C20C439" w14:textId="77777777" w:rsidR="00C773D3" w:rsidRPr="00CF2F68" w:rsidRDefault="00C773D3" w:rsidP="00C773D3">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00147C61"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2CF43529"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w:t>
      </w:r>
      <w:proofErr w:type="spellStart"/>
      <w:r w:rsidRPr="00CF2F68">
        <w:rPr>
          <w:rFonts w:ascii="Arial" w:eastAsia="Times New Roman" w:hAnsi="Arial" w:cs="Times New Roman"/>
          <w:bCs/>
          <w:spacing w:val="-2"/>
          <w:sz w:val="18"/>
          <w:szCs w:val="18"/>
          <w:lang w:val="en-US" w:eastAsia="pt-BR"/>
        </w:rPr>
        <w:t>Corretora</w:t>
      </w:r>
      <w:proofErr w:type="spellEnd"/>
      <w:r w:rsidRPr="00CF2F68">
        <w:rPr>
          <w:rFonts w:ascii="Arial" w:eastAsia="Times New Roman" w:hAnsi="Arial" w:cs="Times New Roman"/>
          <w:bCs/>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w:t>
      </w:r>
      <w:proofErr w:type="gramStart"/>
      <w:r w:rsidRPr="00CF2F68">
        <w:rPr>
          <w:rFonts w:ascii="Arial" w:eastAsia="Times New Roman" w:hAnsi="Arial" w:cs="Times New Roman"/>
          <w:bCs/>
          <w:spacing w:val="-2"/>
          <w:sz w:val="18"/>
          <w:szCs w:val="18"/>
          <w:lang w:val="en-US" w:eastAsia="pt-BR"/>
        </w:rPr>
        <w:t>aforementioned accounting</w:t>
      </w:r>
      <w:proofErr w:type="gramEnd"/>
      <w:r w:rsidRPr="00CF2F68">
        <w:rPr>
          <w:rFonts w:ascii="Arial" w:eastAsia="Times New Roman" w:hAnsi="Arial" w:cs="Times New Roman"/>
          <w:bCs/>
          <w:spacing w:val="-2"/>
          <w:sz w:val="18"/>
          <w:szCs w:val="18"/>
          <w:lang w:val="en-US" w:eastAsia="pt-BR"/>
        </w:rPr>
        <w:t xml:space="preserve"> rules.</w:t>
      </w:r>
    </w:p>
    <w:p w14:paraId="2FA827E9"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610FD7BB"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37D402B7" w14:textId="77777777" w:rsidR="00C773D3" w:rsidRPr="0048783D" w:rsidRDefault="00C773D3" w:rsidP="00C773D3">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5B7901E4" w14:textId="77777777" w:rsidR="00C773D3" w:rsidRDefault="00C773D3" w:rsidP="00C773D3">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w:t>
      </w:r>
      <w:r w:rsidRPr="00CF2F68">
        <w:rPr>
          <w:rFonts w:ascii="Arial" w:eastAsia="Times New Roman" w:hAnsi="Arial" w:cs="Times New Roman"/>
          <w:bCs/>
          <w:spacing w:val="-2"/>
          <w:sz w:val="18"/>
          <w:szCs w:val="18"/>
          <w:lang w:val="en-US" w:eastAsia="pt-BR"/>
        </w:rPr>
        <w:t xml:space="preserve">financial statements in the new standard, </w:t>
      </w:r>
      <w:proofErr w:type="gramStart"/>
      <w:r w:rsidRPr="00CF2F68">
        <w:rPr>
          <w:rFonts w:ascii="Arial" w:eastAsia="Times New Roman" w:hAnsi="Arial" w:cs="Times New Roman"/>
          <w:bCs/>
          <w:spacing w:val="-2"/>
          <w:sz w:val="18"/>
          <w:szCs w:val="18"/>
          <w:lang w:val="en-US" w:eastAsia="pt-BR"/>
        </w:rPr>
        <w:t>in order to</w:t>
      </w:r>
      <w:proofErr w:type="gramEnd"/>
      <w:r w:rsidRPr="00CF2F68">
        <w:rPr>
          <w:rFonts w:ascii="Arial" w:eastAsia="Times New Roman" w:hAnsi="Arial" w:cs="Times New Roman"/>
          <w:bCs/>
          <w:spacing w:val="-2"/>
          <w:sz w:val="18"/>
          <w:szCs w:val="18"/>
          <w:lang w:val="en-US" w:eastAsia="pt-BR"/>
        </w:rPr>
        <w:t xml:space="preserve">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4C4A78BF"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600706F5"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08A2E177" w14:textId="77777777" w:rsidR="00C773D3" w:rsidRPr="0048783D" w:rsidRDefault="00C773D3" w:rsidP="00C773D3">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its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6BB03A64" w14:textId="77777777" w:rsidR="00C773D3" w:rsidRPr="00763742" w:rsidRDefault="00C773D3" w:rsidP="00C773D3">
      <w:pPr>
        <w:spacing w:before="120" w:after="120"/>
        <w:jc w:val="both"/>
        <w:rPr>
          <w:rFonts w:ascii="Arial" w:eastAsia="Times New Roman" w:hAnsi="Arial" w:cs="Arial"/>
          <w:bCs/>
          <w:spacing w:val="-2"/>
          <w:sz w:val="18"/>
          <w:szCs w:val="18"/>
          <w:lang w:val="en-US" w:eastAsia="pt-BR"/>
        </w:rPr>
      </w:pPr>
      <w:r w:rsidRPr="00894F50">
        <w:rPr>
          <w:rFonts w:ascii="Arial" w:eastAsia="Times New Roman" w:hAnsi="Arial" w:cs="Times New Roman"/>
          <w:b/>
          <w:color w:val="1F4E79" w:themeColor="accent5" w:themeShade="80"/>
          <w:spacing w:val="-2"/>
          <w:sz w:val="18"/>
          <w:szCs w:val="18"/>
          <w:lang w:val="en-US" w:eastAsia="pt-BR"/>
        </w:rPr>
        <w:t>IFRS 18 - Presentation and Disclosure in Financial Statements</w:t>
      </w:r>
      <w:r w:rsidRPr="00763742">
        <w:rPr>
          <w:rFonts w:ascii="Arial" w:eastAsia="Times New Roman" w:hAnsi="Arial" w:cs="Arial"/>
          <w:bCs/>
          <w:spacing w:val="-2"/>
          <w:sz w:val="18"/>
          <w:szCs w:val="18"/>
          <w:lang w:val="en-US" w:eastAsia="pt-BR"/>
        </w:rPr>
        <w:t xml:space="preserve"> - IFRS 18 is a new accounting standard, issued by the International Accounting Standards Board (IASB) on April 9, 2024. This standard aims to improve the communication of information in financial statements, with special focus on business performance, that is, on the income statement and the respective explanatory notes.</w:t>
      </w:r>
    </w:p>
    <w:p w14:paraId="62BCF5F4" w14:textId="77777777" w:rsidR="00C773D3" w:rsidRPr="00763742" w:rsidRDefault="00C773D3" w:rsidP="00C773D3">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The main change in the new standard is the presentation structure of the income statement, in which there will basically be a segregation of results from operational, investment and financing activities, according to the companies' business model. In this sense, the standard aims to increase comparability, provide greater transparency to performance measures defined by management and promote a more useful grouping of this accounting information.</w:t>
      </w:r>
    </w:p>
    <w:p w14:paraId="06347393" w14:textId="77777777" w:rsidR="00C773D3" w:rsidRPr="00763742" w:rsidRDefault="00C773D3" w:rsidP="00C773D3">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IFRS 18 will replace the IAS 1 standard - Presentation of Financial Statements, equivalent in Brazil to CPC 26 (R1). The adoption of the new standard is scheduled for January 1, 2027.</w:t>
      </w:r>
    </w:p>
    <w:p w14:paraId="25429164" w14:textId="77777777" w:rsidR="00C773D3" w:rsidRDefault="00C773D3" w:rsidP="00C773D3">
      <w:pPr>
        <w:spacing w:before="120" w:after="120"/>
        <w:jc w:val="both"/>
        <w:rPr>
          <w:rFonts w:ascii="Arial" w:eastAsia="Times New Roman" w:hAnsi="Arial" w:cs="Arial"/>
          <w:bCs/>
          <w:spacing w:val="-2"/>
          <w:sz w:val="18"/>
          <w:szCs w:val="18"/>
          <w:lang w:val="en-US" w:eastAsia="pt-BR"/>
        </w:rPr>
      </w:pPr>
      <w:r w:rsidRPr="00763742">
        <w:rPr>
          <w:rFonts w:ascii="Arial" w:eastAsia="Times New Roman" w:hAnsi="Arial" w:cs="Arial"/>
          <w:bCs/>
          <w:spacing w:val="-2"/>
          <w:sz w:val="18"/>
          <w:szCs w:val="18"/>
          <w:lang w:val="en-US" w:eastAsia="pt-BR"/>
        </w:rPr>
        <w:t xml:space="preserve">This standard has not yet been approved by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de Pronunciamentos </w:t>
      </w:r>
      <w:proofErr w:type="spellStart"/>
      <w:r>
        <w:rPr>
          <w:rFonts w:ascii="Arial" w:eastAsia="Times New Roman" w:hAnsi="Arial" w:cs="Arial"/>
          <w:bCs/>
          <w:spacing w:val="-2"/>
          <w:sz w:val="18"/>
          <w:szCs w:val="18"/>
          <w:lang w:val="en-US" w:eastAsia="pt-BR"/>
        </w:rPr>
        <w:t>Contábeis</w:t>
      </w:r>
      <w:proofErr w:type="spellEnd"/>
      <w:r w:rsidRPr="00763742">
        <w:rPr>
          <w:rFonts w:ascii="Arial" w:eastAsia="Times New Roman" w:hAnsi="Arial" w:cs="Arial"/>
          <w:bCs/>
          <w:spacing w:val="-2"/>
          <w:sz w:val="18"/>
          <w:szCs w:val="18"/>
          <w:lang w:val="en-US" w:eastAsia="pt-BR"/>
        </w:rPr>
        <w:t xml:space="preserve"> (CPC) and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Pr>
          <w:rFonts w:ascii="Arial" w:eastAsia="Times New Roman" w:hAnsi="Arial" w:cs="Arial"/>
          <w:bCs/>
          <w:spacing w:val="-2"/>
          <w:sz w:val="18"/>
          <w:szCs w:val="18"/>
          <w:lang w:val="en-US" w:eastAsia="pt-BR"/>
        </w:rPr>
        <w:t xml:space="preserve"> </w:t>
      </w:r>
      <w:r w:rsidRPr="00763742">
        <w:rPr>
          <w:rFonts w:ascii="Arial" w:eastAsia="Times New Roman" w:hAnsi="Arial" w:cs="Arial"/>
          <w:bCs/>
          <w:spacing w:val="-2"/>
          <w:sz w:val="18"/>
          <w:szCs w:val="18"/>
          <w:lang w:val="en-US" w:eastAsia="pt-BR"/>
        </w:rPr>
        <w:t xml:space="preserve">(CVM). 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763742">
        <w:rPr>
          <w:rFonts w:ascii="Arial" w:eastAsia="Times New Roman" w:hAnsi="Arial" w:cs="Arial"/>
          <w:bCs/>
          <w:spacing w:val="-2"/>
          <w:sz w:val="18"/>
          <w:szCs w:val="18"/>
          <w:lang w:val="en-US" w:eastAsia="pt-BR"/>
        </w:rPr>
        <w:t xml:space="preserve"> Group.</w:t>
      </w:r>
    </w:p>
    <w:p w14:paraId="05D06BA5" w14:textId="77777777" w:rsidR="00C773D3" w:rsidRPr="00BD69FC" w:rsidRDefault="00C773D3" w:rsidP="00C773D3">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27BE42E7" w14:textId="77777777" w:rsidR="00C773D3" w:rsidRPr="00BD69FC" w:rsidRDefault="00C773D3" w:rsidP="00C773D3">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3FAF13FB" w14:textId="77777777" w:rsidR="0087279D" w:rsidRPr="00BD69FC" w:rsidRDefault="0087279D" w:rsidP="0087279D">
      <w:pPr>
        <w:spacing w:before="120" w:after="120"/>
        <w:jc w:val="both"/>
        <w:rPr>
          <w:rFonts w:ascii="Arial" w:eastAsia="Times New Roman" w:hAnsi="Arial" w:cs="Arial"/>
          <w:bCs/>
          <w:spacing w:val="-2"/>
          <w:sz w:val="18"/>
          <w:szCs w:val="18"/>
          <w:lang w:val="en-US" w:eastAsia="pt-BR"/>
        </w:rPr>
      </w:pPr>
      <w:r w:rsidRPr="002D7EF3">
        <w:rPr>
          <w:rFonts w:ascii="Arial" w:eastAsia="Times New Roman" w:hAnsi="Arial" w:cs="Arial"/>
          <w:bCs/>
          <w:spacing w:val="-2"/>
          <w:sz w:val="18"/>
          <w:szCs w:val="18"/>
          <w:lang w:val="en-US" w:eastAsia="pt-BR"/>
        </w:rPr>
        <w:t xml:space="preserve">On October 29, 2024, the CBPS released Pronouncement CBPS 01 – General Requirements for Disclosure of Financial Information Related to Sustainability and Pronouncement CBPS 02 – Climate-Related Disclosures, both approved by the Federal Accounting Council (CFC) through NBC TDS 01 and NBC TDS 02, respectively. The </w:t>
      </w:r>
      <w:proofErr w:type="gramStart"/>
      <w:r w:rsidRPr="002D7EF3">
        <w:rPr>
          <w:rFonts w:ascii="Arial" w:eastAsia="Times New Roman" w:hAnsi="Arial" w:cs="Arial"/>
          <w:bCs/>
          <w:spacing w:val="-2"/>
          <w:sz w:val="18"/>
          <w:szCs w:val="18"/>
          <w:lang w:val="en-US" w:eastAsia="pt-BR"/>
        </w:rPr>
        <w:t>aforementioned standards</w:t>
      </w:r>
      <w:proofErr w:type="gramEnd"/>
      <w:r w:rsidRPr="002D7EF3">
        <w:rPr>
          <w:rFonts w:ascii="Arial" w:eastAsia="Times New Roman" w:hAnsi="Arial" w:cs="Arial"/>
          <w:bCs/>
          <w:spacing w:val="-2"/>
          <w:sz w:val="18"/>
          <w:szCs w:val="18"/>
          <w:lang w:val="en-US" w:eastAsia="pt-BR"/>
        </w:rPr>
        <w:t xml:space="preserve"> were also approved by the CVM, on the same date, through CVM Resolutions 217 and 218.</w:t>
      </w:r>
    </w:p>
    <w:p w14:paraId="491966F8" w14:textId="77777777" w:rsidR="00C773D3" w:rsidRPr="00BD69FC" w:rsidRDefault="00C773D3" w:rsidP="00C773D3">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2C316B32" w14:textId="6E9003C5" w:rsidR="00F569F7" w:rsidRPr="00F569F7" w:rsidRDefault="00C773D3" w:rsidP="00C773D3">
      <w:pPr>
        <w:rPr>
          <w:lang w:val="en-US"/>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32"/>
    </w:p>
    <w:p w14:paraId="1E2BC589" w14:textId="77777777" w:rsidR="00836A0C" w:rsidRDefault="004725AE" w:rsidP="00836A0C">
      <w:pPr>
        <w:pStyle w:val="Ttulo1"/>
        <w:keepNext w:val="0"/>
        <w:keepLines w:val="0"/>
        <w:spacing w:line="259" w:lineRule="auto"/>
        <w:jc w:val="both"/>
        <w:rPr>
          <w:rFonts w:ascii="Arial" w:hAnsi="Arial" w:cs="Arial"/>
          <w:b/>
          <w:color w:val="1F3864" w:themeColor="accent1" w:themeShade="80"/>
          <w:sz w:val="20"/>
          <w:lang w:val="en-US"/>
        </w:rPr>
      </w:pPr>
      <w:bookmarkStart w:id="33" w:name="_Toc190680625"/>
      <w:r w:rsidRPr="004C5A7A">
        <w:rPr>
          <w:rFonts w:ascii="Arial" w:hAnsi="Arial" w:cs="Arial"/>
          <w:b/>
          <w:color w:val="1F3864" w:themeColor="accent1" w:themeShade="80"/>
          <w:sz w:val="20"/>
          <w:lang w:val="en-US"/>
        </w:rPr>
        <w:t xml:space="preserve">4 – </w:t>
      </w:r>
      <w:r w:rsidR="00836A0C" w:rsidRPr="004C5A7A">
        <w:rPr>
          <w:rFonts w:ascii="Arial" w:hAnsi="Arial" w:cs="Arial"/>
          <w:b/>
          <w:color w:val="1F3864" w:themeColor="accent1" w:themeShade="80"/>
          <w:sz w:val="20"/>
          <w:lang w:val="en-US"/>
        </w:rPr>
        <w:t>ACQUISITIONS, DISPOSALS AND CORPORATE RESTRUCTURINGS</w:t>
      </w:r>
      <w:bookmarkEnd w:id="33"/>
    </w:p>
    <w:p w14:paraId="12320BBB" w14:textId="77777777" w:rsidR="008930ED" w:rsidRPr="003F32BB" w:rsidRDefault="008930ED" w:rsidP="008930ED">
      <w:pPr>
        <w:pStyle w:val="05-Textonormal"/>
        <w:rPr>
          <w:rFonts w:cs="Arial"/>
          <w:b/>
          <w:snapToGrid w:val="0"/>
          <w:color w:val="1F3864" w:themeColor="accent1" w:themeShade="80"/>
          <w:lang w:val="en-US"/>
        </w:rPr>
      </w:pPr>
      <w:r w:rsidRPr="003F32BB">
        <w:rPr>
          <w:rFonts w:cs="Arial"/>
          <w:b/>
          <w:snapToGrid w:val="0"/>
          <w:color w:val="1F3864" w:themeColor="accent1" w:themeShade="80"/>
          <w:lang w:val="en-US"/>
        </w:rPr>
        <w:t>a) Broto S.A.</w:t>
      </w:r>
    </w:p>
    <w:p w14:paraId="24F8AD52" w14:textId="77777777" w:rsidR="008930ED" w:rsidRPr="003F32BB" w:rsidRDefault="008930ED" w:rsidP="008930ED">
      <w:pPr>
        <w:pStyle w:val="05-Textonormal"/>
        <w:rPr>
          <w:rFonts w:cs="Arial"/>
          <w:snapToGrid w:val="0"/>
          <w:lang w:val="en-US"/>
        </w:rPr>
      </w:pPr>
      <w:r w:rsidRPr="003F32BB">
        <w:rPr>
          <w:rFonts w:cs="Arial"/>
          <w:snapToGrid w:val="0"/>
          <w:lang w:val="en-US"/>
        </w:rPr>
        <w:t xml:space="preserve">On October 28, 2022, </w:t>
      </w:r>
      <w:proofErr w:type="spellStart"/>
      <w:r w:rsidRPr="003F32BB">
        <w:rPr>
          <w:rFonts w:cs="Arial"/>
          <w:snapToGrid w:val="0"/>
          <w:lang w:val="en-US"/>
        </w:rPr>
        <w:t>Brasilseg</w:t>
      </w:r>
      <w:proofErr w:type="spellEnd"/>
      <w:r w:rsidRPr="003F32BB">
        <w:rPr>
          <w:rFonts w:cs="Arial"/>
          <w:snapToGrid w:val="0"/>
          <w:lang w:val="en-US"/>
        </w:rPr>
        <w:t xml:space="preserve">, Banco do </w:t>
      </w:r>
      <w:proofErr w:type="spellStart"/>
      <w:r w:rsidRPr="003F32BB">
        <w:rPr>
          <w:rFonts w:cs="Arial"/>
          <w:snapToGrid w:val="0"/>
          <w:lang w:val="en-US"/>
        </w:rPr>
        <w:t>Brasil</w:t>
      </w:r>
      <w:proofErr w:type="spellEnd"/>
      <w:r w:rsidRPr="003F32BB">
        <w:rPr>
          <w:rFonts w:cs="Arial"/>
          <w:snapToGrid w:val="0"/>
          <w:lang w:val="en-US"/>
        </w:rPr>
        <w:t xml:space="preserve"> and BB </w:t>
      </w:r>
      <w:proofErr w:type="spellStart"/>
      <w:r w:rsidRPr="003F32BB">
        <w:rPr>
          <w:rFonts w:cs="Arial"/>
          <w:snapToGrid w:val="0"/>
          <w:lang w:val="en-US"/>
        </w:rPr>
        <w:t>Corretora</w:t>
      </w:r>
      <w:proofErr w:type="spellEnd"/>
      <w:r w:rsidRPr="003F32BB">
        <w:rPr>
          <w:rFonts w:cs="Arial"/>
          <w:snapToGrid w:val="0"/>
          <w:lang w:val="en-US"/>
        </w:rPr>
        <w:t xml:space="preserve"> signed, with the intervention and consent of MAPFRE </w:t>
      </w:r>
      <w:proofErr w:type="spellStart"/>
      <w:r w:rsidRPr="003F32BB">
        <w:rPr>
          <w:rFonts w:cs="Arial"/>
          <w:snapToGrid w:val="0"/>
          <w:lang w:val="en-US"/>
        </w:rPr>
        <w:t>Brasil</w:t>
      </w:r>
      <w:proofErr w:type="spellEnd"/>
      <w:r w:rsidRPr="003F32BB">
        <w:rPr>
          <w:rFonts w:cs="Arial"/>
          <w:snapToGrid w:val="0"/>
          <w:lang w:val="en-US"/>
        </w:rPr>
        <w:t xml:space="preserve"> </w:t>
      </w:r>
      <w:proofErr w:type="spellStart"/>
      <w:r w:rsidRPr="003F32BB">
        <w:rPr>
          <w:rFonts w:cs="Arial"/>
          <w:snapToGrid w:val="0"/>
          <w:lang w:val="en-US"/>
        </w:rPr>
        <w:t>Participações</w:t>
      </w:r>
      <w:proofErr w:type="spellEnd"/>
      <w:r w:rsidRPr="003F32BB">
        <w:rPr>
          <w:rFonts w:cs="Arial"/>
          <w:snapToGrid w:val="0"/>
          <w:lang w:val="en-US"/>
        </w:rPr>
        <w:t xml:space="preserve"> S.A., BB </w:t>
      </w:r>
      <w:proofErr w:type="spellStart"/>
      <w:r w:rsidRPr="003F32BB">
        <w:rPr>
          <w:rFonts w:cs="Arial"/>
          <w:snapToGrid w:val="0"/>
          <w:lang w:val="en-US"/>
        </w:rPr>
        <w:t>Seguros</w:t>
      </w:r>
      <w:proofErr w:type="spellEnd"/>
      <w:r w:rsidRPr="003F32BB">
        <w:rPr>
          <w:rFonts w:cs="Arial"/>
          <w:snapToGrid w:val="0"/>
          <w:lang w:val="en-US"/>
        </w:rPr>
        <w:t xml:space="preserve"> and </w:t>
      </w:r>
      <w:proofErr w:type="spellStart"/>
      <w:r w:rsidRPr="003F32BB">
        <w:rPr>
          <w:rFonts w:cs="Arial"/>
          <w:snapToGrid w:val="0"/>
          <w:lang w:val="en-US"/>
        </w:rPr>
        <w:t>Aliança</w:t>
      </w:r>
      <w:proofErr w:type="spellEnd"/>
      <w:r w:rsidRPr="003F32BB">
        <w:rPr>
          <w:rFonts w:cs="Arial"/>
          <w:snapToGrid w:val="0"/>
          <w:lang w:val="en-US"/>
        </w:rPr>
        <w:t xml:space="preserve"> do </w:t>
      </w:r>
      <w:proofErr w:type="spellStart"/>
      <w:r w:rsidRPr="003F32BB">
        <w:rPr>
          <w:rFonts w:cs="Arial"/>
          <w:snapToGrid w:val="0"/>
          <w:lang w:val="en-US"/>
        </w:rPr>
        <w:t>Brasil</w:t>
      </w:r>
      <w:proofErr w:type="spellEnd"/>
      <w:r w:rsidRPr="003F32BB">
        <w:rPr>
          <w:rFonts w:cs="Arial"/>
          <w:snapToGrid w:val="0"/>
          <w:lang w:val="en-US"/>
        </w:rPr>
        <w:t xml:space="preserve"> </w:t>
      </w:r>
      <w:proofErr w:type="spellStart"/>
      <w:r w:rsidRPr="003F32BB">
        <w:rPr>
          <w:rFonts w:cs="Arial"/>
          <w:snapToGrid w:val="0"/>
          <w:lang w:val="en-US"/>
        </w:rPr>
        <w:t>Seguros</w:t>
      </w:r>
      <w:proofErr w:type="spellEnd"/>
      <w:r w:rsidRPr="003F32BB">
        <w:rPr>
          <w:rFonts w:cs="Arial"/>
          <w:snapToGrid w:val="0"/>
          <w:lang w:val="en-US"/>
        </w:rPr>
        <w:t xml:space="preserve"> S.A., the Investment Agreement</w:t>
      </w:r>
      <w:r w:rsidRPr="003F32BB">
        <w:rPr>
          <w:rFonts w:cs="Arial"/>
          <w:lang w:val="en-US"/>
        </w:rPr>
        <w:t xml:space="preserve"> </w:t>
      </w:r>
      <w:r w:rsidRPr="003F32BB">
        <w:rPr>
          <w:rFonts w:cs="Arial"/>
          <w:snapToGrid w:val="0"/>
          <w:lang w:val="en-US"/>
        </w:rPr>
        <w:t>for the constitution of the company Broto.</w:t>
      </w:r>
    </w:p>
    <w:p w14:paraId="731DF8F4" w14:textId="77777777" w:rsidR="008930ED" w:rsidRPr="003F32BB" w:rsidRDefault="008930ED" w:rsidP="007A1DAC">
      <w:pPr>
        <w:pStyle w:val="05-Textonormal"/>
        <w:keepNext/>
        <w:keepLines/>
        <w:rPr>
          <w:rFonts w:cs="Arial"/>
          <w:snapToGrid w:val="0"/>
          <w:lang w:val="en-US"/>
        </w:rPr>
      </w:pPr>
      <w:r w:rsidRPr="003F32BB">
        <w:rPr>
          <w:rFonts w:cs="Arial"/>
          <w:lang w:val="en-US"/>
        </w:rPr>
        <w:t>The Broto’s capital has the following distribution:</w:t>
      </w:r>
    </w:p>
    <w:p w14:paraId="0F85B30F" w14:textId="77777777" w:rsidR="007A1DAC" w:rsidRPr="003F32BB" w:rsidRDefault="007A1DAC" w:rsidP="0022207A">
      <w:pPr>
        <w:pStyle w:val="05-Textonormal"/>
        <w:pageBreakBefore/>
        <w:widowControl w:val="0"/>
        <w:rPr>
          <w:rFonts w:cs="Arial"/>
          <w:snapToGrid w:val="0"/>
          <w:lang w:val="en-US"/>
        </w:rPr>
      </w:pPr>
    </w:p>
    <w:tbl>
      <w:tblPr>
        <w:tblStyle w:val="TabeladeLista6Colorida-nfase53"/>
        <w:tblW w:w="9642" w:type="dxa"/>
        <w:tblLayout w:type="fixed"/>
        <w:tblLook w:val="04A0" w:firstRow="1" w:lastRow="0" w:firstColumn="1" w:lastColumn="0" w:noHBand="0" w:noVBand="1"/>
      </w:tblPr>
      <w:tblGrid>
        <w:gridCol w:w="2552"/>
        <w:gridCol w:w="2362"/>
        <w:gridCol w:w="2362"/>
        <w:gridCol w:w="2366"/>
      </w:tblGrid>
      <w:tr w:rsidR="008930ED" w:rsidRPr="003F32BB" w14:paraId="263B78AF"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left w:val="nil"/>
              <w:bottom w:val="single" w:sz="2" w:space="0" w:color="1F4E79"/>
              <w:right w:val="nil"/>
            </w:tcBorders>
            <w:vAlign w:val="center"/>
            <w:hideMark/>
          </w:tcPr>
          <w:p w14:paraId="5FE4A47F" w14:textId="77777777" w:rsidR="008930ED" w:rsidRPr="003F32BB" w:rsidRDefault="008930ED">
            <w:pPr>
              <w:rPr>
                <w:rFonts w:ascii="Arial" w:eastAsia="MS Mincho" w:hAnsi="Arial" w:cs="Arial"/>
              </w:rPr>
            </w:pPr>
            <w:proofErr w:type="spellStart"/>
            <w:r w:rsidRPr="003F32BB">
              <w:rPr>
                <w:rFonts w:ascii="Arial" w:eastAsia="MS Mincho" w:hAnsi="Arial" w:cs="Arial"/>
                <w:sz w:val="14"/>
                <w:szCs w:val="14"/>
              </w:rPr>
              <w:t>Shareholders</w:t>
            </w:r>
            <w:proofErr w:type="spellEnd"/>
          </w:p>
        </w:tc>
        <w:tc>
          <w:tcPr>
            <w:tcW w:w="7090" w:type="dxa"/>
            <w:gridSpan w:val="3"/>
            <w:tcBorders>
              <w:top w:val="single" w:sz="2" w:space="0" w:color="1F4E79"/>
              <w:left w:val="nil"/>
              <w:bottom w:val="single" w:sz="2" w:space="0" w:color="1F4E79"/>
              <w:right w:val="nil"/>
            </w:tcBorders>
            <w:vAlign w:val="center"/>
            <w:hideMark/>
          </w:tcPr>
          <w:p w14:paraId="61877FB7" w14:textId="77777777" w:rsidR="008930ED" w:rsidRPr="003F32BB" w:rsidRDefault="008930ED">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3F32BB">
              <w:rPr>
                <w:rFonts w:ascii="Arial" w:hAnsi="Arial" w:cs="Arial"/>
                <w:sz w:val="14"/>
                <w:szCs w:val="14"/>
              </w:rPr>
              <w:t>Stake</w:t>
            </w:r>
            <w:proofErr w:type="spellEnd"/>
            <w:r w:rsidRPr="003F32BB">
              <w:rPr>
                <w:rFonts w:ascii="Arial" w:hAnsi="Arial" w:cs="Arial"/>
                <w:sz w:val="14"/>
                <w:szCs w:val="14"/>
              </w:rPr>
              <w:t xml:space="preserve"> (%)</w:t>
            </w:r>
          </w:p>
        </w:tc>
      </w:tr>
      <w:tr w:rsidR="008930ED" w:rsidRPr="003F32BB" w14:paraId="455441BD"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left w:val="nil"/>
              <w:bottom w:val="single" w:sz="2" w:space="0" w:color="1F4E79"/>
              <w:right w:val="nil"/>
            </w:tcBorders>
            <w:vAlign w:val="center"/>
            <w:hideMark/>
          </w:tcPr>
          <w:p w14:paraId="529185F3" w14:textId="77777777" w:rsidR="008930ED" w:rsidRPr="003F32BB" w:rsidRDefault="008930ED">
            <w:pPr>
              <w:rPr>
                <w:rFonts w:ascii="Arial" w:eastAsia="MS Mincho" w:hAnsi="Arial" w:cs="Arial"/>
              </w:rPr>
            </w:pPr>
          </w:p>
        </w:tc>
        <w:tc>
          <w:tcPr>
            <w:tcW w:w="2362" w:type="dxa"/>
            <w:tcBorders>
              <w:top w:val="single" w:sz="2" w:space="0" w:color="1F4E79"/>
              <w:left w:val="nil"/>
              <w:bottom w:val="single" w:sz="2" w:space="0" w:color="1F4E79"/>
              <w:right w:val="nil"/>
            </w:tcBorders>
            <w:shd w:val="clear" w:color="auto" w:fill="auto"/>
            <w:vAlign w:val="center"/>
            <w:hideMark/>
          </w:tcPr>
          <w:p w14:paraId="33CC93D8" w14:textId="77777777" w:rsidR="008930ED" w:rsidRPr="003F32BB" w:rsidRDefault="008930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Voting</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Shares</w:t>
            </w:r>
            <w:proofErr w:type="spellEnd"/>
          </w:p>
        </w:tc>
        <w:tc>
          <w:tcPr>
            <w:tcW w:w="2362" w:type="dxa"/>
            <w:tcBorders>
              <w:top w:val="single" w:sz="2" w:space="0" w:color="1F4E79"/>
              <w:left w:val="nil"/>
              <w:bottom w:val="single" w:sz="2" w:space="0" w:color="1F4E79"/>
              <w:right w:val="nil"/>
            </w:tcBorders>
            <w:shd w:val="clear" w:color="auto" w:fill="auto"/>
            <w:vAlign w:val="center"/>
            <w:hideMark/>
          </w:tcPr>
          <w:p w14:paraId="4A5093C5" w14:textId="77777777" w:rsidR="008930ED" w:rsidRPr="003F32BB" w:rsidRDefault="008930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roofErr w:type="spellStart"/>
            <w:r w:rsidRPr="003F32BB">
              <w:rPr>
                <w:rFonts w:ascii="Arial" w:hAnsi="Arial" w:cs="Arial"/>
                <w:b/>
                <w:sz w:val="14"/>
                <w:szCs w:val="14"/>
              </w:rPr>
              <w:t>Preferred</w:t>
            </w:r>
            <w:proofErr w:type="spellEnd"/>
            <w:r w:rsidRPr="003F32BB">
              <w:rPr>
                <w:rFonts w:ascii="Arial" w:hAnsi="Arial" w:cs="Arial"/>
                <w:b/>
                <w:sz w:val="14"/>
                <w:szCs w:val="14"/>
              </w:rPr>
              <w:t xml:space="preserve"> </w:t>
            </w:r>
            <w:proofErr w:type="spellStart"/>
            <w:r w:rsidRPr="003F32BB">
              <w:rPr>
                <w:rFonts w:ascii="Arial" w:hAnsi="Arial" w:cs="Arial"/>
                <w:b/>
                <w:sz w:val="14"/>
                <w:szCs w:val="14"/>
              </w:rPr>
              <w:t>Shares</w:t>
            </w:r>
            <w:proofErr w:type="spellEnd"/>
          </w:p>
        </w:tc>
        <w:tc>
          <w:tcPr>
            <w:tcW w:w="2366" w:type="dxa"/>
            <w:tcBorders>
              <w:top w:val="single" w:sz="2" w:space="0" w:color="1F4E79"/>
              <w:left w:val="nil"/>
              <w:bottom w:val="single" w:sz="2" w:space="0" w:color="1F4E79"/>
              <w:right w:val="nil"/>
            </w:tcBorders>
            <w:shd w:val="clear" w:color="auto" w:fill="auto"/>
            <w:vAlign w:val="center"/>
            <w:hideMark/>
          </w:tcPr>
          <w:p w14:paraId="1041BF4A" w14:textId="77777777" w:rsidR="008930ED" w:rsidRPr="003F32BB" w:rsidRDefault="008930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F32BB">
              <w:rPr>
                <w:rFonts w:ascii="Arial" w:hAnsi="Arial" w:cs="Arial"/>
                <w:b/>
                <w:sz w:val="14"/>
                <w:szCs w:val="14"/>
              </w:rPr>
              <w:t>Total</w:t>
            </w:r>
          </w:p>
        </w:tc>
      </w:tr>
      <w:tr w:rsidR="008930ED" w:rsidRPr="003F32BB" w14:paraId="7AC899BA"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left w:val="nil"/>
              <w:bottom w:val="nil"/>
              <w:right w:val="nil"/>
            </w:tcBorders>
            <w:vAlign w:val="center"/>
            <w:hideMark/>
          </w:tcPr>
          <w:p w14:paraId="4C6AD0EB" w14:textId="77777777" w:rsidR="008930ED" w:rsidRPr="003F32BB" w:rsidRDefault="008930ED">
            <w:pPr>
              <w:keepNext/>
              <w:keepLines/>
              <w:spacing w:before="40" w:after="40"/>
              <w:rPr>
                <w:rFonts w:ascii="Arial" w:hAnsi="Arial" w:cs="Arial"/>
                <w:b w:val="0"/>
                <w:sz w:val="14"/>
                <w:szCs w:val="14"/>
              </w:rPr>
            </w:pPr>
            <w:r w:rsidRPr="003F32BB">
              <w:rPr>
                <w:rFonts w:ascii="Arial" w:hAnsi="Arial" w:cs="Arial"/>
                <w:b w:val="0"/>
                <w:sz w:val="14"/>
                <w:szCs w:val="14"/>
              </w:rPr>
              <w:t>BB</w:t>
            </w:r>
          </w:p>
        </w:tc>
        <w:tc>
          <w:tcPr>
            <w:tcW w:w="2362" w:type="dxa"/>
            <w:tcBorders>
              <w:top w:val="single" w:sz="2" w:space="0" w:color="1F4E79"/>
              <w:left w:val="nil"/>
              <w:bottom w:val="nil"/>
              <w:right w:val="nil"/>
            </w:tcBorders>
            <w:vAlign w:val="center"/>
            <w:hideMark/>
          </w:tcPr>
          <w:p w14:paraId="38DD985F" w14:textId="77777777" w:rsidR="008930ED" w:rsidRPr="003F32BB" w:rsidRDefault="008930E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w:t>
            </w:r>
          </w:p>
        </w:tc>
        <w:tc>
          <w:tcPr>
            <w:tcW w:w="2362" w:type="dxa"/>
            <w:tcBorders>
              <w:top w:val="single" w:sz="2" w:space="0" w:color="1F4E79"/>
              <w:left w:val="nil"/>
              <w:bottom w:val="nil"/>
              <w:right w:val="nil"/>
            </w:tcBorders>
            <w:vAlign w:val="center"/>
            <w:hideMark/>
          </w:tcPr>
          <w:p w14:paraId="282B358D" w14:textId="77777777" w:rsidR="008930ED" w:rsidRPr="003F32BB" w:rsidRDefault="008930E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100</w:t>
            </w:r>
          </w:p>
        </w:tc>
        <w:tc>
          <w:tcPr>
            <w:tcW w:w="2366" w:type="dxa"/>
            <w:tcBorders>
              <w:top w:val="single" w:sz="2" w:space="0" w:color="1F4E79"/>
              <w:left w:val="nil"/>
              <w:bottom w:val="nil"/>
              <w:right w:val="nil"/>
            </w:tcBorders>
            <w:vAlign w:val="center"/>
            <w:hideMark/>
          </w:tcPr>
          <w:p w14:paraId="1CB22F2D" w14:textId="77777777" w:rsidR="008930ED" w:rsidRPr="003F32BB" w:rsidRDefault="008930E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rPr>
            </w:pPr>
            <w:r w:rsidRPr="003F32BB">
              <w:rPr>
                <w:rFonts w:ascii="Arial" w:hAnsi="Arial" w:cs="Arial"/>
                <w:sz w:val="14"/>
              </w:rPr>
              <w:t>50</w:t>
            </w:r>
          </w:p>
        </w:tc>
      </w:tr>
      <w:tr w:rsidR="008930ED" w:rsidRPr="003F32BB" w14:paraId="7DF98555"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4E79"/>
              <w:right w:val="nil"/>
            </w:tcBorders>
            <w:shd w:val="clear" w:color="auto" w:fill="auto"/>
            <w:vAlign w:val="center"/>
            <w:hideMark/>
          </w:tcPr>
          <w:p w14:paraId="7CBE603D" w14:textId="77777777" w:rsidR="008930ED" w:rsidRPr="003F32BB" w:rsidRDefault="008930ED">
            <w:pPr>
              <w:keepNext/>
              <w:keepLines/>
              <w:spacing w:before="40" w:after="40"/>
              <w:rPr>
                <w:rFonts w:ascii="Arial" w:hAnsi="Arial" w:cs="Arial"/>
                <w:b w:val="0"/>
                <w:sz w:val="14"/>
                <w:szCs w:val="14"/>
              </w:rPr>
            </w:pPr>
            <w:proofErr w:type="spellStart"/>
            <w:r w:rsidRPr="003F32BB">
              <w:rPr>
                <w:rFonts w:ascii="Arial" w:hAnsi="Arial" w:cs="Arial"/>
                <w:b w:val="0"/>
                <w:sz w:val="14"/>
                <w:szCs w:val="14"/>
              </w:rPr>
              <w:t>Brasilseg</w:t>
            </w:r>
            <w:proofErr w:type="spellEnd"/>
          </w:p>
        </w:tc>
        <w:tc>
          <w:tcPr>
            <w:tcW w:w="2362" w:type="dxa"/>
            <w:tcBorders>
              <w:top w:val="nil"/>
              <w:left w:val="nil"/>
              <w:bottom w:val="single" w:sz="2" w:space="0" w:color="1F4E79"/>
              <w:right w:val="nil"/>
            </w:tcBorders>
            <w:shd w:val="clear" w:color="auto" w:fill="auto"/>
            <w:vAlign w:val="center"/>
            <w:hideMark/>
          </w:tcPr>
          <w:p w14:paraId="2E7F051D" w14:textId="77777777" w:rsidR="008930ED" w:rsidRPr="003F32BB" w:rsidRDefault="008930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100</w:t>
            </w:r>
          </w:p>
        </w:tc>
        <w:tc>
          <w:tcPr>
            <w:tcW w:w="2362" w:type="dxa"/>
            <w:tcBorders>
              <w:top w:val="nil"/>
              <w:left w:val="nil"/>
              <w:bottom w:val="single" w:sz="2" w:space="0" w:color="1F4E79"/>
              <w:right w:val="nil"/>
            </w:tcBorders>
            <w:shd w:val="clear" w:color="auto" w:fill="auto"/>
            <w:vAlign w:val="center"/>
            <w:hideMark/>
          </w:tcPr>
          <w:p w14:paraId="59F3F43D" w14:textId="77777777" w:rsidR="008930ED" w:rsidRPr="003F32BB" w:rsidRDefault="008930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w:t>
            </w:r>
          </w:p>
        </w:tc>
        <w:tc>
          <w:tcPr>
            <w:tcW w:w="2366" w:type="dxa"/>
            <w:tcBorders>
              <w:top w:val="nil"/>
              <w:left w:val="nil"/>
              <w:bottom w:val="single" w:sz="2" w:space="0" w:color="1F4E79"/>
              <w:right w:val="nil"/>
            </w:tcBorders>
            <w:shd w:val="clear" w:color="auto" w:fill="auto"/>
            <w:vAlign w:val="center"/>
            <w:hideMark/>
          </w:tcPr>
          <w:p w14:paraId="7EEDA5AB" w14:textId="77777777" w:rsidR="008930ED" w:rsidRPr="003F32BB" w:rsidRDefault="008930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rPr>
            </w:pPr>
            <w:r w:rsidRPr="003F32BB">
              <w:rPr>
                <w:rFonts w:ascii="Arial" w:hAnsi="Arial" w:cs="Arial"/>
                <w:sz w:val="14"/>
              </w:rPr>
              <w:t>50</w:t>
            </w:r>
          </w:p>
        </w:tc>
      </w:tr>
    </w:tbl>
    <w:p w14:paraId="687D0397" w14:textId="77777777" w:rsidR="008930ED" w:rsidRPr="003F32BB" w:rsidRDefault="008930ED" w:rsidP="008930ED">
      <w:pPr>
        <w:pStyle w:val="05-Textonormal"/>
        <w:rPr>
          <w:rFonts w:cs="Arial"/>
          <w:snapToGrid w:val="0"/>
          <w:lang w:val="en-US"/>
        </w:rPr>
      </w:pPr>
      <w:r w:rsidRPr="003F32BB">
        <w:rPr>
          <w:rFonts w:cs="Arial"/>
          <w:snapToGrid w:val="0"/>
          <w:lang w:val="en-US"/>
        </w:rPr>
        <w:t xml:space="preserve">As provided for in the corporate agreements, </w:t>
      </w:r>
      <w:proofErr w:type="spellStart"/>
      <w:r w:rsidRPr="003F32BB">
        <w:rPr>
          <w:rFonts w:cs="Arial"/>
          <w:snapToGrid w:val="0"/>
          <w:lang w:val="en-US"/>
        </w:rPr>
        <w:t>Brasilseg</w:t>
      </w:r>
      <w:proofErr w:type="spellEnd"/>
      <w:r w:rsidRPr="003F32BB">
        <w:rPr>
          <w:rFonts w:cs="Arial"/>
          <w:snapToGrid w:val="0"/>
          <w:lang w:val="en-US"/>
        </w:rPr>
        <w:t xml:space="preserve"> will be maintains access to the Broto digital platform for the sale of its insurance products, which is exclusively intermediated by BB </w:t>
      </w:r>
      <w:proofErr w:type="spellStart"/>
      <w:r w:rsidRPr="003F32BB">
        <w:rPr>
          <w:rFonts w:cs="Arial"/>
          <w:snapToGrid w:val="0"/>
          <w:lang w:val="en-US"/>
        </w:rPr>
        <w:t>Corretora</w:t>
      </w:r>
      <w:proofErr w:type="spellEnd"/>
      <w:r w:rsidRPr="003F32BB">
        <w:rPr>
          <w:rFonts w:cs="Arial"/>
          <w:snapToGrid w:val="0"/>
          <w:lang w:val="en-US"/>
        </w:rPr>
        <w:t xml:space="preserve">, a company controlled by BB </w:t>
      </w:r>
      <w:proofErr w:type="spellStart"/>
      <w:r w:rsidRPr="003F32BB">
        <w:rPr>
          <w:rFonts w:cs="Arial"/>
          <w:snapToGrid w:val="0"/>
          <w:lang w:val="en-US"/>
        </w:rPr>
        <w:t>Seguridade</w:t>
      </w:r>
      <w:proofErr w:type="spellEnd"/>
      <w:r w:rsidRPr="003F32BB">
        <w:rPr>
          <w:rFonts w:cs="Arial"/>
          <w:snapToGrid w:val="0"/>
          <w:lang w:val="en-US"/>
        </w:rPr>
        <w:t>.</w:t>
      </w:r>
    </w:p>
    <w:p w14:paraId="1EFF9F7C" w14:textId="77777777" w:rsidR="008930ED" w:rsidRPr="003F32BB" w:rsidRDefault="008930ED" w:rsidP="008930ED">
      <w:pPr>
        <w:pStyle w:val="05-Textonormal"/>
        <w:rPr>
          <w:rFonts w:cs="Arial"/>
          <w:snapToGrid w:val="0"/>
          <w:lang w:val="en-US"/>
        </w:rPr>
      </w:pPr>
      <w:r w:rsidRPr="003F32BB">
        <w:rPr>
          <w:rFonts w:cs="Arial"/>
          <w:snapToGrid w:val="0"/>
          <w:lang w:val="en-US"/>
        </w:rPr>
        <w:t>From the implementation of the Precedent Conditions described in the Investment Agreement, related to obtaining the respective regulatory and legal approvals, the operation was consummated on January 4, 2023, from which the following acts were practiced:</w:t>
      </w:r>
    </w:p>
    <w:p w14:paraId="4F96138A" w14:textId="77777777" w:rsidR="008930ED" w:rsidRPr="003F32BB" w:rsidRDefault="008930ED" w:rsidP="008930ED">
      <w:pPr>
        <w:pStyle w:val="05-Textonormal"/>
        <w:rPr>
          <w:rFonts w:cs="Arial"/>
          <w:snapToGrid w:val="0"/>
          <w:lang w:val="en-US"/>
        </w:rPr>
      </w:pPr>
      <w:r w:rsidRPr="003F32BB">
        <w:rPr>
          <w:rFonts w:cs="Arial"/>
          <w:snapToGrid w:val="0"/>
          <w:lang w:val="en-US"/>
        </w:rPr>
        <w:t xml:space="preserve">a. formalization of the Shareholders' Agreement and the Operating Agreements for the sale of products at Broto. The first one was signed between Broto and BB, for the distribution of banking and financial products, and the second one was signed between Broto, </w:t>
      </w:r>
      <w:proofErr w:type="spellStart"/>
      <w:r w:rsidRPr="003F32BB">
        <w:rPr>
          <w:rFonts w:cs="Arial"/>
          <w:snapToGrid w:val="0"/>
          <w:lang w:val="en-US"/>
        </w:rPr>
        <w:t>Brasilseg</w:t>
      </w:r>
      <w:proofErr w:type="spellEnd"/>
      <w:r w:rsidRPr="003F32BB">
        <w:rPr>
          <w:rFonts w:cs="Arial"/>
          <w:snapToGrid w:val="0"/>
          <w:lang w:val="en-US"/>
        </w:rPr>
        <w:t xml:space="preserve">, ABS and BB </w:t>
      </w:r>
      <w:proofErr w:type="spellStart"/>
      <w:r w:rsidRPr="003F32BB">
        <w:rPr>
          <w:rFonts w:cs="Arial"/>
          <w:snapToGrid w:val="0"/>
          <w:lang w:val="en-US"/>
        </w:rPr>
        <w:t>Corretora</w:t>
      </w:r>
      <w:proofErr w:type="spellEnd"/>
      <w:r w:rsidRPr="003F32BB">
        <w:rPr>
          <w:rFonts w:cs="Arial"/>
          <w:snapToGrid w:val="0"/>
          <w:lang w:val="en-US"/>
        </w:rPr>
        <w:t xml:space="preserve"> for the distribution of insurance products;</w:t>
      </w:r>
      <w:r>
        <w:rPr>
          <w:rFonts w:cs="Arial"/>
          <w:snapToGrid w:val="0"/>
          <w:lang w:val="en-US"/>
        </w:rPr>
        <w:t xml:space="preserve"> and</w:t>
      </w:r>
    </w:p>
    <w:p w14:paraId="4B787783" w14:textId="77777777" w:rsidR="008930ED" w:rsidRPr="003F32BB" w:rsidRDefault="008930ED" w:rsidP="008930ED">
      <w:pPr>
        <w:pStyle w:val="05-Textonormal"/>
        <w:rPr>
          <w:rFonts w:cs="Arial"/>
          <w:snapToGrid w:val="0"/>
          <w:lang w:val="en-US"/>
        </w:rPr>
      </w:pPr>
      <w:r w:rsidRPr="003F32BB">
        <w:rPr>
          <w:rFonts w:cs="Arial"/>
          <w:snapToGrid w:val="0"/>
          <w:lang w:val="en-US"/>
        </w:rPr>
        <w:t>b. Broto's First General Meeting, with the signature of the respective minutes and the respective share subscription forms; deliberation of the Bylaws; subscription and payment of share capital; and election of its Executive Board.</w:t>
      </w:r>
    </w:p>
    <w:p w14:paraId="678DC962" w14:textId="37E3A6AE" w:rsidR="008930ED" w:rsidRDefault="008930ED" w:rsidP="008930ED">
      <w:pPr>
        <w:pStyle w:val="05-Textonormal"/>
        <w:rPr>
          <w:snapToGrid w:val="0"/>
          <w:lang w:val="en-US"/>
        </w:rPr>
      </w:pPr>
      <w:r w:rsidRPr="003F32BB">
        <w:rPr>
          <w:snapToGrid w:val="0"/>
          <w:lang w:val="en-US"/>
        </w:rPr>
        <w:t xml:space="preserve">The corporate documents provide for the granting, by </w:t>
      </w:r>
      <w:proofErr w:type="spellStart"/>
      <w:r w:rsidRPr="003F32BB">
        <w:rPr>
          <w:snapToGrid w:val="0"/>
          <w:lang w:val="en-US"/>
        </w:rPr>
        <w:t>Brasilseg</w:t>
      </w:r>
      <w:proofErr w:type="spellEnd"/>
      <w:r w:rsidRPr="003F32BB">
        <w:rPr>
          <w:snapToGrid w:val="0"/>
          <w:lang w:val="en-US"/>
        </w:rPr>
        <w:t xml:space="preserve">, of a purchase option to BB - not yet exercised - over all of its shares in Broto, exercisable upon payment of the entire amount contributed by the Insurance Company to Broto, restated by the CDI rate accumulated in the period, within a period of up to 12 months, counted from the date of signature of the Shareholders' Agreement, extendable for an equal period. Through the formalization of the </w:t>
      </w:r>
      <w:r w:rsidR="006E31DC">
        <w:rPr>
          <w:snapToGrid w:val="0"/>
          <w:lang w:val="en-US"/>
        </w:rPr>
        <w:t>se</w:t>
      </w:r>
      <w:r w:rsidR="003B5AE8">
        <w:rPr>
          <w:snapToGrid w:val="0"/>
          <w:lang w:val="en-US"/>
        </w:rPr>
        <w:t xml:space="preserve">cond </w:t>
      </w:r>
      <w:r w:rsidRPr="003F32BB">
        <w:rPr>
          <w:snapToGrid w:val="0"/>
          <w:lang w:val="en-US"/>
        </w:rPr>
        <w:t xml:space="preserve">Extension Agreement signed between the parties on </w:t>
      </w:r>
      <w:r w:rsidR="00C6574B">
        <w:rPr>
          <w:snapToGrid w:val="0"/>
          <w:lang w:val="en-US"/>
        </w:rPr>
        <w:t>J</w:t>
      </w:r>
      <w:r w:rsidR="00C1672F">
        <w:rPr>
          <w:snapToGrid w:val="0"/>
          <w:lang w:val="en-US"/>
        </w:rPr>
        <w:t>anuary</w:t>
      </w:r>
      <w:r w:rsidRPr="003F32BB">
        <w:rPr>
          <w:snapToGrid w:val="0"/>
          <w:lang w:val="en-US"/>
        </w:rPr>
        <w:t xml:space="preserve"> 2, 202</w:t>
      </w:r>
      <w:r w:rsidR="00A32D23">
        <w:rPr>
          <w:snapToGrid w:val="0"/>
          <w:lang w:val="en-US"/>
        </w:rPr>
        <w:t>5</w:t>
      </w:r>
      <w:r w:rsidRPr="003F32BB">
        <w:rPr>
          <w:snapToGrid w:val="0"/>
          <w:lang w:val="en-US"/>
        </w:rPr>
        <w:t>, the deadline for exercising the purchase option was extended until January 4, 202</w:t>
      </w:r>
      <w:r w:rsidR="002A5391">
        <w:rPr>
          <w:snapToGrid w:val="0"/>
          <w:lang w:val="en-US"/>
        </w:rPr>
        <w:t>6</w:t>
      </w:r>
      <w:r w:rsidRPr="003F32BB">
        <w:rPr>
          <w:snapToGrid w:val="0"/>
          <w:lang w:val="en-US"/>
        </w:rPr>
        <w:t>.</w:t>
      </w:r>
    </w:p>
    <w:p w14:paraId="4573AAEA" w14:textId="77777777" w:rsidR="008930ED" w:rsidRDefault="008930ED" w:rsidP="008930ED">
      <w:pPr>
        <w:pStyle w:val="05-Textonormal"/>
        <w:rPr>
          <w:snapToGrid w:val="0"/>
          <w:lang w:val="en-US"/>
        </w:rPr>
      </w:pPr>
      <w:r w:rsidRPr="00311E19">
        <w:rPr>
          <w:snapToGrid w:val="0"/>
          <w:lang w:val="en-US"/>
        </w:rPr>
        <w:t xml:space="preserve">On August 1, 2024, Broto's General Meeting approved an increase in the company's share capital in the amount of R$15,000,000.00, divided into 15,000,000 registered shares with no par value, at an issue price of R$1.00 per share, of which 7,500,000 are common shares and 7,500,000 are preferred shares without voting rights, with the advantages and characteristics described in the Company's Bylaws, which were fully subscribed on said date and paid in by the shareholders Banco do </w:t>
      </w:r>
      <w:proofErr w:type="spellStart"/>
      <w:r w:rsidRPr="00311E19">
        <w:rPr>
          <w:snapToGrid w:val="0"/>
          <w:lang w:val="en-US"/>
        </w:rPr>
        <w:t>Brasil</w:t>
      </w:r>
      <w:proofErr w:type="spellEnd"/>
      <w:r w:rsidRPr="00311E19">
        <w:rPr>
          <w:snapToGrid w:val="0"/>
          <w:lang w:val="en-US"/>
        </w:rPr>
        <w:t xml:space="preserve"> and </w:t>
      </w:r>
      <w:proofErr w:type="spellStart"/>
      <w:r w:rsidRPr="00311E19">
        <w:rPr>
          <w:snapToGrid w:val="0"/>
          <w:lang w:val="en-US"/>
        </w:rPr>
        <w:t>Brasilseg</w:t>
      </w:r>
      <w:proofErr w:type="spellEnd"/>
      <w:r w:rsidRPr="00311E19">
        <w:rPr>
          <w:snapToGrid w:val="0"/>
          <w:lang w:val="en-US"/>
        </w:rPr>
        <w:t xml:space="preserve"> within the established period of up to 10 calendar days from the date of the Meeting, in proportion to their interests originally held in the share capital.</w:t>
      </w:r>
    </w:p>
    <w:p w14:paraId="72751EF8" w14:textId="11A1C13D" w:rsidR="008930ED" w:rsidRPr="008930ED" w:rsidRDefault="008930ED" w:rsidP="004F2272">
      <w:pPr>
        <w:pStyle w:val="05-Textonormal"/>
        <w:rPr>
          <w:lang w:val="en-US"/>
        </w:rPr>
      </w:pPr>
      <w:r w:rsidRPr="00311E19">
        <w:rPr>
          <w:snapToGrid w:val="0"/>
          <w:lang w:val="en-US"/>
        </w:rPr>
        <w:t xml:space="preserve">After full payment, Broto's share capital was R$77,400,000.00, represented by 77,400,000 registered shares with no par value, of which 38,700,000 are common shares and 38,700,000 are preferred shares without voting rights, distributed among Broto's shareholders, with Banco do </w:t>
      </w:r>
      <w:proofErr w:type="spellStart"/>
      <w:r w:rsidRPr="00311E19">
        <w:rPr>
          <w:snapToGrid w:val="0"/>
          <w:lang w:val="en-US"/>
        </w:rPr>
        <w:t>Brasil</w:t>
      </w:r>
      <w:proofErr w:type="spellEnd"/>
      <w:r w:rsidRPr="00311E19">
        <w:rPr>
          <w:snapToGrid w:val="0"/>
          <w:lang w:val="en-US"/>
        </w:rPr>
        <w:t xml:space="preserve"> maintaining a 50% shareholding and </w:t>
      </w:r>
      <w:proofErr w:type="spellStart"/>
      <w:r w:rsidRPr="00311E19">
        <w:rPr>
          <w:snapToGrid w:val="0"/>
          <w:lang w:val="en-US"/>
        </w:rPr>
        <w:t>Brasilseg</w:t>
      </w:r>
      <w:proofErr w:type="spellEnd"/>
      <w:r w:rsidRPr="00311E19">
        <w:rPr>
          <w:snapToGrid w:val="0"/>
          <w:lang w:val="en-US"/>
        </w:rPr>
        <w:t xml:space="preserve"> maintaining a 50% shareholding. Given the transaction between Broto's shareholders, the capital increase did not involve funds from BB </w:t>
      </w:r>
      <w:proofErr w:type="spellStart"/>
      <w:r w:rsidRPr="00311E19">
        <w:rPr>
          <w:snapToGrid w:val="0"/>
          <w:lang w:val="en-US"/>
        </w:rPr>
        <w:t>Seguridade</w:t>
      </w:r>
      <w:proofErr w:type="spellEnd"/>
      <w:r w:rsidRPr="00311E19">
        <w:rPr>
          <w:snapToGrid w:val="0"/>
          <w:lang w:val="en-US"/>
        </w:rPr>
        <w:t xml:space="preserve"> or BB </w:t>
      </w:r>
      <w:proofErr w:type="spellStart"/>
      <w:r w:rsidRPr="00311E19">
        <w:rPr>
          <w:snapToGrid w:val="0"/>
          <w:lang w:val="en-US"/>
        </w:rPr>
        <w:t>Seguros</w:t>
      </w:r>
      <w:proofErr w:type="spellEnd"/>
      <w:r w:rsidRPr="00311E19">
        <w:rPr>
          <w:snapToGrid w:val="0"/>
          <w:lang w:val="en-US"/>
        </w:rPr>
        <w:t>.</w:t>
      </w:r>
    </w:p>
    <w:p w14:paraId="47B3924F" w14:textId="50AB1F01" w:rsidR="00E14B2F" w:rsidRDefault="004725AE" w:rsidP="008E63BC">
      <w:pPr>
        <w:pStyle w:val="Ttulo1"/>
        <w:spacing w:line="259" w:lineRule="auto"/>
        <w:jc w:val="both"/>
        <w:rPr>
          <w:rFonts w:ascii="Arial" w:hAnsi="Arial" w:cs="Arial"/>
          <w:b/>
          <w:color w:val="1F3864" w:themeColor="accent1" w:themeShade="80"/>
          <w:sz w:val="20"/>
          <w:lang w:val="en-US"/>
        </w:rPr>
      </w:pPr>
      <w:bookmarkStart w:id="34" w:name="_Toc149573390"/>
      <w:bookmarkStart w:id="35" w:name="_Toc157446718"/>
      <w:bookmarkStart w:id="36" w:name="_Toc190680626"/>
      <w:bookmarkEnd w:id="27"/>
      <w:bookmarkEnd w:id="28"/>
      <w:r w:rsidRPr="00432934">
        <w:rPr>
          <w:rFonts w:ascii="Arial" w:hAnsi="Arial" w:cs="Arial"/>
          <w:b/>
          <w:color w:val="1F3864" w:themeColor="accent1" w:themeShade="80"/>
          <w:sz w:val="20"/>
          <w:lang w:val="en-US"/>
        </w:rPr>
        <w:t>5 – RISK MANAGEMENT</w:t>
      </w:r>
      <w:bookmarkStart w:id="37" w:name="_Toc149573391"/>
      <w:bookmarkEnd w:id="34"/>
      <w:bookmarkEnd w:id="35"/>
      <w:bookmarkEnd w:id="36"/>
    </w:p>
    <w:p w14:paraId="5952BCE4" w14:textId="77777777" w:rsidR="006A2979" w:rsidRPr="003F32BB" w:rsidRDefault="006A2979" w:rsidP="006A2979">
      <w:pPr>
        <w:pStyle w:val="05-Textonormal"/>
        <w:rPr>
          <w:rFonts w:cs="Arial"/>
          <w:lang w:val="en-US"/>
        </w:rPr>
      </w:pPr>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Pr>
          <w:rFonts w:cs="Arial"/>
          <w:lang w:val="en"/>
        </w:rPr>
        <w:t xml:space="preserve">and </w:t>
      </w:r>
      <w:r w:rsidRPr="003F32BB">
        <w:rPr>
          <w:rFonts w:cs="Arial"/>
          <w:lang w:val="en"/>
        </w:rPr>
        <w:t>Risk</w:t>
      </w:r>
      <w:r>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56255EE7" w14:textId="77777777" w:rsidR="006A2979" w:rsidRPr="003F32BB" w:rsidRDefault="006A2979" w:rsidP="006A2979">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contemplates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72B6A938" w14:textId="77777777" w:rsidR="006A2979" w:rsidRPr="003F32BB" w:rsidRDefault="006A2979" w:rsidP="006A2979">
      <w:pPr>
        <w:pStyle w:val="05-Textonormal"/>
        <w:rPr>
          <w:rFonts w:cs="Arial"/>
          <w:lang w:val="en-US"/>
        </w:rPr>
      </w:pPr>
      <w:r w:rsidRPr="003F32BB">
        <w:rPr>
          <w:rFonts w:cs="Arial"/>
          <w:lang w:val="en-US"/>
        </w:rPr>
        <w:t>By means of its Risk Appetite Statement, approved by the Board of Directors, the Company defines the maximum levels of risks that it accepts to incur in the fulfillment of its objectives.</w:t>
      </w:r>
    </w:p>
    <w:p w14:paraId="6486B95C" w14:textId="77777777" w:rsidR="006A2979" w:rsidRPr="003F32BB" w:rsidRDefault="006A2979" w:rsidP="006A2979">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1F81ED8B" w14:textId="77777777" w:rsidR="006A2979" w:rsidRPr="003F32BB" w:rsidRDefault="006A2979" w:rsidP="006A2979">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5682AF48" w14:textId="77777777" w:rsidR="006A2979" w:rsidRPr="003F32BB" w:rsidRDefault="006A2979" w:rsidP="006A2979">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w:t>
      </w:r>
      <w:r w:rsidRPr="003F32BB">
        <w:rPr>
          <w:rFonts w:cs="Arial"/>
          <w:lang w:val="en-US"/>
        </w:rPr>
        <w:lastRenderedPageBreak/>
        <w:t xml:space="preserve">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6E8B496D" w14:textId="77777777" w:rsidR="006A2979" w:rsidRPr="003F32BB" w:rsidRDefault="006A2979" w:rsidP="00FA7954">
      <w:pPr>
        <w:pStyle w:val="05-Textonormal"/>
        <w:keepNext/>
        <w:rPr>
          <w:rFonts w:cs="Arial"/>
          <w:b/>
          <w:color w:val="1F3864" w:themeColor="accent1" w:themeShade="80"/>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708CC67E" w14:textId="77777777" w:rsidR="006A2979" w:rsidRPr="003F32BB" w:rsidRDefault="006A2979" w:rsidP="006A2979">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63A7BF31" w14:textId="77777777" w:rsidR="006A2979" w:rsidRPr="003F32BB" w:rsidRDefault="006A2979" w:rsidP="006A2979">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355E9889" w14:textId="77777777" w:rsidR="006A2979" w:rsidRPr="003F32BB" w:rsidRDefault="006A2979" w:rsidP="006A2979">
      <w:pPr>
        <w:pStyle w:val="05-Textonormal"/>
        <w:rPr>
          <w:rFonts w:cs="Arial"/>
          <w:lang w:val="en-US"/>
        </w:rPr>
      </w:pPr>
      <w:r w:rsidRPr="003F32BB">
        <w:rPr>
          <w:rFonts w:cs="Arial"/>
          <w:lang w:val="en-US"/>
        </w:rPr>
        <w:t>The Executive Board is supported by the Continuity and Crisis Management Committee, which advises on the assessment and mitigation of risks of discontinuity, incidents, or crises.</w:t>
      </w:r>
    </w:p>
    <w:p w14:paraId="090EA287" w14:textId="77777777" w:rsidR="006A2979" w:rsidRPr="003F32BB" w:rsidRDefault="006A2979" w:rsidP="006A2979">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117DD7F5" w14:textId="77777777" w:rsidR="006A2979" w:rsidRPr="003F32BB" w:rsidRDefault="006A2979" w:rsidP="006A2979">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conditions and business.</w:t>
      </w:r>
    </w:p>
    <w:p w14:paraId="23D28D59" w14:textId="77777777" w:rsidR="006A2979" w:rsidRPr="003F32BB" w:rsidRDefault="006A2979" w:rsidP="006A2979">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5F8563C6" w14:textId="77777777" w:rsidR="006A2979" w:rsidRPr="003F32BB" w:rsidRDefault="006A2979" w:rsidP="00C70C6D">
      <w:pPr>
        <w:pStyle w:val="05-Textonormal"/>
        <w:keepNext/>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1B5197F8" w14:textId="77777777" w:rsidR="006A2979" w:rsidRPr="003F32BB" w:rsidRDefault="006A2979" w:rsidP="006A2979">
      <w:pPr>
        <w:pStyle w:val="05-Textonormal"/>
        <w:rPr>
          <w:rFonts w:cs="Arial"/>
          <w:lang w:val="en-US"/>
        </w:rPr>
      </w:pPr>
      <w:r w:rsidRPr="003F32BB">
        <w:rPr>
          <w:rFonts w:cs="Arial"/>
          <w:lang w:val="en-US"/>
        </w:rPr>
        <w:t>The Group has a Financial Investment Policy, approved by the Board of Directors and applicable to all companies of the Group, that sets out the criteria relating to the nature, term, and acceptable risks of the financial investments. The current policy allows the investment only in federal government bonds, repurchase agreement guaranteed by federal government bonds and extra-market investment funds.</w:t>
      </w:r>
    </w:p>
    <w:p w14:paraId="243FD44C" w14:textId="77777777" w:rsidR="006A2979" w:rsidRPr="003F32BB" w:rsidRDefault="006A2979" w:rsidP="006A2979">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fund and federal government bonds (Note 16).</w:t>
      </w:r>
    </w:p>
    <w:p w14:paraId="3FC01ADC" w14:textId="77777777" w:rsidR="006A2979" w:rsidRPr="003F32BB" w:rsidRDefault="006A2979" w:rsidP="006A2979">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47D34D0D" w14:textId="77777777" w:rsidR="006A2979" w:rsidRPr="003F32BB" w:rsidRDefault="006A2979" w:rsidP="006A2979">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103FD17B" w14:textId="18DBEEEB" w:rsidR="006A2979" w:rsidRDefault="006A2979" w:rsidP="006A2979">
      <w:pPr>
        <w:pStyle w:val="05-Textonormal"/>
        <w:rPr>
          <w:rFonts w:cs="Arial"/>
          <w:lang w:val="en-US"/>
        </w:rPr>
      </w:pPr>
      <w:r w:rsidRPr="003F32BB">
        <w:rPr>
          <w:rFonts w:cs="Arial"/>
          <w:lang w:val="en-US"/>
        </w:rPr>
        <w:t xml:space="preserve">The market risk is managed based in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w:t>
      </w:r>
    </w:p>
    <w:p w14:paraId="7B54026B" w14:textId="77777777" w:rsidR="006A2979" w:rsidRPr="003F32BB" w:rsidRDefault="006A2979" w:rsidP="006A2979">
      <w:pPr>
        <w:pStyle w:val="05-Textonormal"/>
        <w:rPr>
          <w:rFonts w:cs="Arial"/>
          <w:b/>
          <w:color w:val="1F3864" w:themeColor="accent1" w:themeShade="80"/>
          <w:lang w:val="en-US"/>
        </w:rPr>
      </w:pPr>
      <w:r w:rsidRPr="003F32BB">
        <w:rPr>
          <w:rFonts w:cs="Arial"/>
          <w:b/>
          <w:color w:val="1F3864" w:themeColor="accent1" w:themeShade="80"/>
          <w:lang w:val="en-US"/>
        </w:rPr>
        <w:t>Market risk exposure in investments in financial assets</w:t>
      </w:r>
    </w:p>
    <w:p w14:paraId="60EDBF8D" w14:textId="77777777" w:rsidR="006A2979" w:rsidRPr="003F32BB" w:rsidRDefault="006A2979" w:rsidP="006A2979">
      <w:pPr>
        <w:spacing w:after="0"/>
        <w:jc w:val="right"/>
        <w:rPr>
          <w:rFonts w:ascii="Arial" w:hAnsi="Arial" w:cs="Arial"/>
          <w:b/>
          <w:bCs/>
          <w:sz w:val="14"/>
          <w:szCs w:val="14"/>
          <w:lang w:val="en-US" w:eastAsia="pt-BR"/>
        </w:rPr>
      </w:pPr>
      <w:r w:rsidRPr="003F32BB">
        <w:rPr>
          <w:rFonts w:ascii="Arial" w:hAnsi="Arial" w:cs="Arial"/>
          <w:b/>
          <w:bCs/>
          <w:sz w:val="14"/>
          <w:szCs w:val="14"/>
          <w:lang w:val="en-US" w:eastAsia="pt-BR"/>
        </w:rPr>
        <w:t>R$ thousand</w:t>
      </w:r>
    </w:p>
    <w:tbl>
      <w:tblPr>
        <w:tblStyle w:val="TabeladeLista6Colorida-nfase5"/>
        <w:tblW w:w="9639" w:type="dxa"/>
        <w:jc w:val="center"/>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6A2979" w:rsidRPr="003F32BB" w14:paraId="24C74CEF"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1BDA67A8" w14:textId="77777777" w:rsidR="006A2979" w:rsidRPr="003F32BB" w:rsidRDefault="006A2979">
            <w:pPr>
              <w:jc w:val="center"/>
              <w:rPr>
                <w:rFonts w:ascii="Arial" w:hAnsi="Arial" w:cs="Arial"/>
                <w:color w:val="auto"/>
                <w:sz w:val="14"/>
                <w:szCs w:val="14"/>
              </w:rPr>
            </w:pPr>
            <w:proofErr w:type="spellStart"/>
            <w:r w:rsidRPr="003F32BB">
              <w:rPr>
                <w:rFonts w:ascii="Arial" w:hAnsi="Arial" w:cs="Arial"/>
                <w:color w:val="auto"/>
                <w:sz w:val="14"/>
                <w:szCs w:val="14"/>
              </w:rPr>
              <w:t>Impact</w:t>
            </w:r>
            <w:proofErr w:type="spellEnd"/>
            <w:r w:rsidRPr="003F32BB">
              <w:rPr>
                <w:rFonts w:ascii="Arial" w:hAnsi="Arial" w:cs="Arial"/>
                <w:color w:val="auto"/>
                <w:sz w:val="14"/>
                <w:szCs w:val="14"/>
              </w:rPr>
              <w:t xml:space="preserve"> in </w:t>
            </w:r>
            <w:proofErr w:type="spellStart"/>
            <w:r w:rsidRPr="003F32BB">
              <w:rPr>
                <w:rFonts w:ascii="Arial" w:hAnsi="Arial" w:cs="Arial"/>
                <w:color w:val="auto"/>
                <w:sz w:val="14"/>
                <w:szCs w:val="14"/>
              </w:rPr>
              <w:t>the</w:t>
            </w:r>
            <w:proofErr w:type="spellEnd"/>
            <w:r w:rsidRPr="003F32BB">
              <w:rPr>
                <w:rFonts w:ascii="Arial" w:hAnsi="Arial" w:cs="Arial"/>
                <w:color w:val="auto"/>
                <w:sz w:val="14"/>
                <w:szCs w:val="14"/>
              </w:rPr>
              <w:t xml:space="preserve"> p</w:t>
            </w:r>
            <w:r w:rsidRPr="003F32BB">
              <w:rPr>
                <w:rFonts w:ascii="Arial" w:eastAsiaTheme="minorHAnsi" w:hAnsi="Arial" w:cs="Arial"/>
                <w:sz w:val="14"/>
                <w:szCs w:val="14"/>
              </w:rPr>
              <w:t>ortfolio</w:t>
            </w:r>
          </w:p>
        </w:tc>
      </w:tr>
      <w:tr w:rsidR="006A2979" w:rsidRPr="003F32BB" w14:paraId="25B74AE1"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0CDF2972" w14:textId="77777777" w:rsidR="006A2979" w:rsidRPr="003F32BB" w:rsidRDefault="006A2979">
            <w:pPr>
              <w:jc w:val="center"/>
              <w:rPr>
                <w:rFonts w:ascii="Arial" w:hAnsi="Arial" w:cs="Arial"/>
                <w:color w:val="auto"/>
                <w:szCs w:val="18"/>
              </w:rPr>
            </w:pPr>
          </w:p>
        </w:tc>
        <w:tc>
          <w:tcPr>
            <w:tcW w:w="240" w:type="dxa"/>
            <w:tcBorders>
              <w:top w:val="single" w:sz="2" w:space="0" w:color="1F3864" w:themeColor="accent1" w:themeShade="80"/>
              <w:bottom w:val="nil"/>
            </w:tcBorders>
            <w:shd w:val="clear" w:color="auto" w:fill="auto"/>
          </w:tcPr>
          <w:p w14:paraId="6845ABDD" w14:textId="77777777" w:rsidR="006A2979" w:rsidRPr="003F32BB" w:rsidRDefault="006A297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Cs w:val="18"/>
              </w:rPr>
            </w:pPr>
          </w:p>
        </w:tc>
        <w:tc>
          <w:tcPr>
            <w:tcW w:w="3800" w:type="dxa"/>
            <w:gridSpan w:val="4"/>
            <w:tcBorders>
              <w:top w:val="single" w:sz="2" w:space="0" w:color="1F3864" w:themeColor="accent1" w:themeShade="80"/>
              <w:bottom w:val="single" w:sz="2" w:space="0" w:color="1F3864" w:themeColor="accent1" w:themeShade="80"/>
            </w:tcBorders>
            <w:shd w:val="clear" w:color="auto" w:fill="auto"/>
            <w:vAlign w:val="center"/>
          </w:tcPr>
          <w:p w14:paraId="53DF38FE" w14:textId="77777777" w:rsidR="006A2979" w:rsidRPr="003F32BB" w:rsidRDefault="006A297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3F32BB">
              <w:rPr>
                <w:rFonts w:ascii="Arial" w:hAnsi="Arial" w:cs="Arial"/>
                <w:b/>
                <w:color w:val="auto"/>
                <w:sz w:val="14"/>
                <w:szCs w:val="14"/>
              </w:rPr>
              <w:t>Parent</w:t>
            </w:r>
            <w:proofErr w:type="spellEnd"/>
            <w:r w:rsidRPr="003F32BB">
              <w:rPr>
                <w:rFonts w:ascii="Arial" w:hAnsi="Arial" w:cs="Arial"/>
                <w:b/>
                <w:color w:val="auto"/>
                <w:sz w:val="14"/>
                <w:szCs w:val="14"/>
              </w:rPr>
              <w:t xml:space="preserve"> </w:t>
            </w:r>
            <w:proofErr w:type="spellStart"/>
            <w:r w:rsidRPr="003F32BB">
              <w:rPr>
                <w:rFonts w:ascii="Arial" w:hAnsi="Arial" w:cs="Arial"/>
                <w:b/>
                <w:color w:val="auto"/>
                <w:sz w:val="14"/>
                <w:szCs w:val="14"/>
              </w:rPr>
              <w:t>Company</w:t>
            </w:r>
            <w:proofErr w:type="spellEnd"/>
          </w:p>
        </w:tc>
        <w:tc>
          <w:tcPr>
            <w:tcW w:w="242" w:type="dxa"/>
            <w:tcBorders>
              <w:top w:val="single" w:sz="2" w:space="0" w:color="1F3864" w:themeColor="accent1" w:themeShade="80"/>
              <w:bottom w:val="nil"/>
            </w:tcBorders>
            <w:shd w:val="clear" w:color="auto" w:fill="auto"/>
            <w:vAlign w:val="center"/>
          </w:tcPr>
          <w:p w14:paraId="359A3DD8" w14:textId="77777777" w:rsidR="006A2979" w:rsidRPr="003F32BB" w:rsidRDefault="006A297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79434B93" w14:textId="77777777" w:rsidR="006A2979" w:rsidRPr="003F32BB" w:rsidRDefault="006A297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4"/>
                <w:szCs w:val="14"/>
              </w:rPr>
            </w:pPr>
            <w:proofErr w:type="spellStart"/>
            <w:r w:rsidRPr="003F32BB">
              <w:rPr>
                <w:rFonts w:ascii="Arial" w:hAnsi="Arial" w:cs="Arial"/>
                <w:b/>
                <w:color w:val="auto"/>
                <w:sz w:val="14"/>
                <w:szCs w:val="14"/>
              </w:rPr>
              <w:t>Consolidated</w:t>
            </w:r>
            <w:proofErr w:type="spellEnd"/>
          </w:p>
        </w:tc>
      </w:tr>
      <w:tr w:rsidR="006A2979" w:rsidRPr="003F32BB" w14:paraId="03BC8026"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03C0529D" w14:textId="77777777" w:rsidR="006A2979" w:rsidRPr="003F32BB" w:rsidRDefault="006A2979">
            <w:pPr>
              <w:pStyle w:val="08-Tabelageral"/>
              <w:jc w:val="left"/>
              <w:rPr>
                <w:rFonts w:cs="Arial"/>
                <w:b w:val="0"/>
                <w:color w:val="auto"/>
              </w:rPr>
            </w:pPr>
          </w:p>
        </w:tc>
        <w:tc>
          <w:tcPr>
            <w:tcW w:w="240" w:type="dxa"/>
            <w:tcBorders>
              <w:top w:val="nil"/>
              <w:bottom w:val="nil"/>
            </w:tcBorders>
            <w:shd w:val="clear" w:color="auto" w:fill="auto"/>
          </w:tcPr>
          <w:p w14:paraId="042DFF58" w14:textId="77777777" w:rsidR="006A2979" w:rsidRPr="003F32BB" w:rsidRDefault="006A2979">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auto"/>
            <w:vAlign w:val="center"/>
          </w:tcPr>
          <w:p w14:paraId="73A9902F" w14:textId="726BD867" w:rsidR="006A2979" w:rsidRPr="003F32BB" w:rsidRDefault="00D152A5">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Pr>
                <w:rFonts w:cs="Arial"/>
                <w:b/>
                <w:color w:val="auto"/>
                <w:szCs w:val="14"/>
              </w:rPr>
              <w:t>D</w:t>
            </w:r>
            <w:r w:rsidR="006A2979" w:rsidRPr="003021CF">
              <w:rPr>
                <w:rFonts w:cs="Arial"/>
                <w:b/>
                <w:color w:val="auto"/>
                <w:szCs w:val="14"/>
              </w:rPr>
              <w:t>e</w:t>
            </w:r>
            <w:r w:rsidR="00C858E0">
              <w:rPr>
                <w:rFonts w:cs="Arial"/>
                <w:b/>
                <w:color w:val="auto"/>
                <w:szCs w:val="14"/>
              </w:rPr>
              <w:t>c</w:t>
            </w:r>
            <w:proofErr w:type="spellEnd"/>
            <w:r w:rsidR="006A2979">
              <w:rPr>
                <w:rFonts w:cs="Arial"/>
                <w:b/>
                <w:color w:val="auto"/>
                <w:szCs w:val="14"/>
              </w:rPr>
              <w:t xml:space="preserve"> </w:t>
            </w:r>
            <w:r w:rsidR="006A2979" w:rsidRPr="003F32BB">
              <w:rPr>
                <w:rFonts w:cs="Arial"/>
                <w:b/>
                <w:color w:val="auto"/>
                <w:szCs w:val="14"/>
              </w:rPr>
              <w:t>3</w:t>
            </w:r>
            <w:r w:rsidR="00C858E0">
              <w:rPr>
                <w:rFonts w:cs="Arial"/>
                <w:b/>
                <w:color w:val="auto"/>
                <w:szCs w:val="14"/>
              </w:rPr>
              <w:t>1</w:t>
            </w:r>
            <w:r w:rsidR="006A2979" w:rsidRPr="003F32BB">
              <w:rPr>
                <w:rFonts w:cs="Arial"/>
                <w:b/>
                <w:color w:val="auto"/>
                <w:szCs w:val="14"/>
              </w:rPr>
              <w:t>, 2024</w:t>
            </w:r>
          </w:p>
        </w:tc>
        <w:tc>
          <w:tcPr>
            <w:tcW w:w="630" w:type="dxa"/>
            <w:tcBorders>
              <w:top w:val="single" w:sz="2" w:space="0" w:color="1F3864" w:themeColor="accent1" w:themeShade="80"/>
              <w:bottom w:val="nil"/>
            </w:tcBorders>
            <w:shd w:val="clear" w:color="auto" w:fill="auto"/>
            <w:vAlign w:val="center"/>
          </w:tcPr>
          <w:p w14:paraId="4B0D4446"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auto"/>
            <w:vAlign w:val="center"/>
          </w:tcPr>
          <w:p w14:paraId="57010C2B"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31, 2023</w:t>
            </w:r>
          </w:p>
        </w:tc>
        <w:tc>
          <w:tcPr>
            <w:tcW w:w="579" w:type="dxa"/>
            <w:tcBorders>
              <w:top w:val="single" w:sz="2" w:space="0" w:color="1F3864" w:themeColor="accent1" w:themeShade="80"/>
              <w:bottom w:val="nil"/>
            </w:tcBorders>
            <w:shd w:val="clear" w:color="auto" w:fill="auto"/>
            <w:vAlign w:val="center"/>
          </w:tcPr>
          <w:p w14:paraId="5E3CA62F"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auto"/>
            <w:vAlign w:val="center"/>
          </w:tcPr>
          <w:p w14:paraId="57C04DBD"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auto"/>
            <w:vAlign w:val="center"/>
          </w:tcPr>
          <w:p w14:paraId="07731E63" w14:textId="1FC50086" w:rsidR="006A2979" w:rsidRPr="003F32BB" w:rsidRDefault="00BF08FD">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sidRPr="00BF08FD">
              <w:rPr>
                <w:rFonts w:cs="Arial"/>
                <w:b/>
                <w:color w:val="auto"/>
                <w:szCs w:val="14"/>
              </w:rPr>
              <w:t>Dec</w:t>
            </w:r>
            <w:proofErr w:type="spellEnd"/>
            <w:r w:rsidRPr="00BF08FD">
              <w:rPr>
                <w:rFonts w:cs="Arial"/>
                <w:b/>
                <w:color w:val="auto"/>
                <w:szCs w:val="14"/>
              </w:rPr>
              <w:t xml:space="preserve"> 31, 2024</w:t>
            </w:r>
          </w:p>
        </w:tc>
        <w:tc>
          <w:tcPr>
            <w:tcW w:w="709" w:type="dxa"/>
            <w:tcBorders>
              <w:top w:val="single" w:sz="2" w:space="0" w:color="1F3864" w:themeColor="accent1" w:themeShade="80"/>
              <w:bottom w:val="nil"/>
            </w:tcBorders>
            <w:shd w:val="clear" w:color="auto" w:fill="auto"/>
            <w:vAlign w:val="center"/>
          </w:tcPr>
          <w:p w14:paraId="66615D75"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auto"/>
            <w:vAlign w:val="center"/>
          </w:tcPr>
          <w:p w14:paraId="404B32C3"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sidRPr="003F32BB">
              <w:rPr>
                <w:rFonts w:cs="Arial"/>
                <w:b/>
                <w:color w:val="auto"/>
                <w:szCs w:val="14"/>
              </w:rPr>
              <w:t>Dec</w:t>
            </w:r>
            <w:proofErr w:type="spellEnd"/>
            <w:r w:rsidRPr="003F32BB">
              <w:rPr>
                <w:rFonts w:cs="Arial"/>
                <w:b/>
                <w:color w:val="auto"/>
                <w:szCs w:val="14"/>
              </w:rPr>
              <w:t xml:space="preserve"> 31, 2023</w:t>
            </w:r>
          </w:p>
        </w:tc>
        <w:tc>
          <w:tcPr>
            <w:tcW w:w="567" w:type="dxa"/>
            <w:tcBorders>
              <w:top w:val="single" w:sz="2" w:space="0" w:color="1F3864" w:themeColor="accent1" w:themeShade="80"/>
              <w:bottom w:val="nil"/>
            </w:tcBorders>
            <w:shd w:val="clear" w:color="auto" w:fill="auto"/>
            <w:vAlign w:val="center"/>
          </w:tcPr>
          <w:p w14:paraId="1FE733D7" w14:textId="77777777" w:rsidR="006A2979" w:rsidRPr="003F32BB" w:rsidRDefault="006A2979">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6A2979" w:rsidRPr="003F32BB" w14:paraId="719F704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718CD864" w14:textId="77777777" w:rsidR="006A2979" w:rsidRPr="003F32BB" w:rsidRDefault="006A2979">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shd w:val="clear" w:color="auto" w:fill="auto"/>
            <w:vAlign w:val="center"/>
          </w:tcPr>
          <w:p w14:paraId="43566313" w14:textId="77777777" w:rsidR="006A2979" w:rsidRPr="003F32BB" w:rsidRDefault="006A2979">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shd w:val="clear" w:color="auto" w:fill="auto"/>
            <w:vAlign w:val="center"/>
          </w:tcPr>
          <w:p w14:paraId="6423955C" w14:textId="382A2341" w:rsidR="006A2979" w:rsidRPr="003F32BB" w:rsidRDefault="00BF08FD">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9</w:t>
            </w:r>
          </w:p>
        </w:tc>
        <w:tc>
          <w:tcPr>
            <w:tcW w:w="630" w:type="dxa"/>
            <w:tcBorders>
              <w:top w:val="nil"/>
              <w:bottom w:val="single" w:sz="2" w:space="0" w:color="1F3864" w:themeColor="accent1" w:themeShade="80"/>
            </w:tcBorders>
            <w:shd w:val="clear" w:color="auto" w:fill="auto"/>
            <w:vAlign w:val="center"/>
          </w:tcPr>
          <w:p w14:paraId="4425D2DF" w14:textId="776378BD" w:rsidR="006A2979" w:rsidRPr="003F32BB" w:rsidRDefault="004D402E">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1418" w:type="dxa"/>
            <w:tcBorders>
              <w:top w:val="nil"/>
              <w:bottom w:val="single" w:sz="2" w:space="0" w:color="1F3864" w:themeColor="accent1" w:themeShade="80"/>
            </w:tcBorders>
            <w:shd w:val="clear" w:color="auto" w:fill="auto"/>
            <w:vAlign w:val="center"/>
          </w:tcPr>
          <w:p w14:paraId="7A1796CA" w14:textId="77777777" w:rsidR="006A2979" w:rsidRPr="003F32BB" w:rsidRDefault="006A297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6</w:t>
            </w:r>
          </w:p>
        </w:tc>
        <w:tc>
          <w:tcPr>
            <w:tcW w:w="579" w:type="dxa"/>
            <w:tcBorders>
              <w:top w:val="nil"/>
              <w:bottom w:val="single" w:sz="2" w:space="0" w:color="1F3864" w:themeColor="accent1" w:themeShade="80"/>
            </w:tcBorders>
            <w:shd w:val="clear" w:color="auto" w:fill="auto"/>
            <w:vAlign w:val="center"/>
          </w:tcPr>
          <w:p w14:paraId="7600C528" w14:textId="77777777" w:rsidR="006A2979" w:rsidRPr="003F32BB" w:rsidRDefault="006A297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242" w:type="dxa"/>
            <w:tcBorders>
              <w:top w:val="nil"/>
              <w:bottom w:val="single" w:sz="2" w:space="0" w:color="1F3864" w:themeColor="accent1" w:themeShade="80"/>
            </w:tcBorders>
            <w:shd w:val="clear" w:color="auto" w:fill="auto"/>
            <w:vAlign w:val="center"/>
          </w:tcPr>
          <w:p w14:paraId="16988073" w14:textId="77777777" w:rsidR="006A2979" w:rsidRPr="003F32BB" w:rsidRDefault="006A297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shd w:val="clear" w:color="auto" w:fill="auto"/>
            <w:vAlign w:val="center"/>
          </w:tcPr>
          <w:p w14:paraId="73848B6C" w14:textId="37349581" w:rsidR="006A2979" w:rsidRPr="003F32BB" w:rsidRDefault="007B588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210</w:t>
            </w:r>
          </w:p>
        </w:tc>
        <w:tc>
          <w:tcPr>
            <w:tcW w:w="709" w:type="dxa"/>
            <w:tcBorders>
              <w:top w:val="nil"/>
              <w:bottom w:val="single" w:sz="2" w:space="0" w:color="1F3864" w:themeColor="accent1" w:themeShade="80"/>
            </w:tcBorders>
            <w:shd w:val="clear" w:color="auto" w:fill="auto"/>
            <w:vAlign w:val="center"/>
          </w:tcPr>
          <w:p w14:paraId="3EE5B1A9" w14:textId="77777777" w:rsidR="006A2979" w:rsidRPr="003F32BB" w:rsidRDefault="006A297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shd w:val="clear" w:color="auto" w:fill="auto"/>
            <w:vAlign w:val="center"/>
          </w:tcPr>
          <w:p w14:paraId="0CDD6AF4" w14:textId="77777777" w:rsidR="006A2979" w:rsidRPr="003F32BB" w:rsidRDefault="006A297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408</w:t>
            </w:r>
          </w:p>
        </w:tc>
        <w:tc>
          <w:tcPr>
            <w:tcW w:w="567" w:type="dxa"/>
            <w:tcBorders>
              <w:top w:val="nil"/>
              <w:bottom w:val="single" w:sz="2" w:space="0" w:color="1F3864" w:themeColor="accent1" w:themeShade="80"/>
            </w:tcBorders>
            <w:shd w:val="clear" w:color="auto" w:fill="auto"/>
            <w:vAlign w:val="center"/>
          </w:tcPr>
          <w:p w14:paraId="255CBBDA" w14:textId="77777777" w:rsidR="006A2979" w:rsidRPr="003F32BB" w:rsidRDefault="006A297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0.01</w:t>
            </w:r>
          </w:p>
        </w:tc>
      </w:tr>
    </w:tbl>
    <w:p w14:paraId="0CA39569" w14:textId="77777777" w:rsidR="006A2979" w:rsidRPr="003F32BB" w:rsidRDefault="006A2979" w:rsidP="006A2979">
      <w:pPr>
        <w:pStyle w:val="07-Legenda"/>
        <w:rPr>
          <w:rFonts w:cs="Arial"/>
          <w:lang w:val="en-US"/>
        </w:rPr>
      </w:pPr>
    </w:p>
    <w:p w14:paraId="7AA79E67" w14:textId="77777777" w:rsidR="006A2979" w:rsidRPr="003F32BB" w:rsidRDefault="006A2979" w:rsidP="00BE1C6F">
      <w:pPr>
        <w:pStyle w:val="05-Textonormal"/>
        <w:pageBreakBefore/>
        <w:rPr>
          <w:rFonts w:cs="Arial"/>
          <w:b/>
          <w:color w:val="1F3864" w:themeColor="accent1" w:themeShade="80"/>
          <w:lang w:val="en-US"/>
        </w:rPr>
      </w:pPr>
      <w:r w:rsidRPr="003F32BB">
        <w:rPr>
          <w:rFonts w:cs="Arial"/>
          <w:b/>
          <w:color w:val="1F3864" w:themeColor="accent1" w:themeShade="80"/>
          <w:lang w:val="en-US"/>
        </w:rPr>
        <w:lastRenderedPageBreak/>
        <w:t>Sensitivity analysis on market risk factors</w:t>
      </w:r>
    </w:p>
    <w:p w14:paraId="0B74DDA4" w14:textId="1A93C57E" w:rsidR="006A2979" w:rsidRPr="003F32BB" w:rsidRDefault="006A2979" w:rsidP="006A2979">
      <w:pPr>
        <w:pStyle w:val="05-Textonormal"/>
        <w:rPr>
          <w:rFonts w:cs="Arial"/>
          <w:lang w:val="en-US"/>
        </w:rPr>
      </w:pPr>
      <w:r w:rsidRPr="003F32BB">
        <w:rPr>
          <w:rFonts w:cs="Arial"/>
          <w:lang w:val="en-US"/>
        </w:rPr>
        <w:t xml:space="preserve">On </w:t>
      </w:r>
      <w:r w:rsidR="00936C5B">
        <w:rPr>
          <w:rFonts w:cs="Arial"/>
          <w:lang w:val="en-US"/>
        </w:rPr>
        <w:t>D</w:t>
      </w:r>
      <w:r>
        <w:rPr>
          <w:rFonts w:cs="Arial"/>
          <w:lang w:val="en-US"/>
        </w:rPr>
        <w:t>e</w:t>
      </w:r>
      <w:r w:rsidR="00A877F6">
        <w:rPr>
          <w:rFonts w:cs="Arial"/>
          <w:lang w:val="en-US"/>
        </w:rPr>
        <w:t>c</w:t>
      </w:r>
      <w:r>
        <w:rPr>
          <w:rFonts w:cs="Arial"/>
          <w:lang w:val="en-US"/>
        </w:rPr>
        <w:t>ember</w:t>
      </w:r>
      <w:r w:rsidRPr="00431280">
        <w:rPr>
          <w:rFonts w:cs="Arial"/>
          <w:lang w:val="en-US"/>
        </w:rPr>
        <w:t xml:space="preserve"> 3</w:t>
      </w:r>
      <w:r w:rsidR="00440BF5">
        <w:rPr>
          <w:rFonts w:cs="Arial"/>
          <w:lang w:val="en-US"/>
        </w:rPr>
        <w:t>1</w:t>
      </w:r>
      <w:r w:rsidRPr="003F32BB">
        <w:rPr>
          <w:rFonts w:cs="Arial"/>
          <w:lang w:val="en-US"/>
        </w:rPr>
        <w:t>, 2024, there were no derivative instruments in the Group's portfolio, which was entirely composed of post-fixed financial instruments linked to Selic rate. Based on the studies carried out, there is no relevant exposure to market risk factors.</w:t>
      </w:r>
    </w:p>
    <w:p w14:paraId="1D6798BF" w14:textId="77777777" w:rsidR="006A2979" w:rsidRPr="003F32BB" w:rsidRDefault="006A2979" w:rsidP="00FA7954">
      <w:pPr>
        <w:pStyle w:val="05-Textonormal"/>
        <w:keepNext/>
        <w:rPr>
          <w:rFonts w:cs="Arial"/>
          <w:b/>
          <w:color w:val="1F3864" w:themeColor="accent1" w:themeShade="80"/>
          <w:lang w:val="en-US"/>
        </w:rPr>
      </w:pPr>
      <w:r w:rsidRPr="003F32BB">
        <w:rPr>
          <w:rFonts w:cs="Arial"/>
          <w:b/>
          <w:color w:val="1F3864" w:themeColor="accent1" w:themeShade="80"/>
          <w:lang w:val="en-US"/>
        </w:rPr>
        <w:t>a.3) Credit Risk</w:t>
      </w:r>
    </w:p>
    <w:p w14:paraId="2A5BABC2" w14:textId="77777777" w:rsidR="006A2979" w:rsidRPr="003F32BB" w:rsidRDefault="006A2979" w:rsidP="006A2979">
      <w:pPr>
        <w:pStyle w:val="05-Textonormal"/>
        <w:rPr>
          <w:rFonts w:cs="Arial"/>
          <w:lang w:val="en-US"/>
        </w:rPr>
      </w:pPr>
      <w:r w:rsidRPr="003F32BB">
        <w:rPr>
          <w:rFonts w:cs="Arial"/>
          <w:lang w:val="en-US"/>
        </w:rPr>
        <w:t xml:space="preserve">The credit risk is defined by the Group as the possibility of negative impacts associated to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19D8F930" w14:textId="77777777" w:rsidR="006A2979" w:rsidRPr="003F32BB" w:rsidRDefault="006A2979" w:rsidP="006A2979">
      <w:pPr>
        <w:pStyle w:val="05-Textonormal"/>
        <w:rPr>
          <w:rFonts w:cs="Arial"/>
          <w:lang w:val="en-US"/>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w:t>
      </w:r>
      <w:proofErr w:type="spellStart"/>
      <w:r w:rsidRPr="003F32BB">
        <w:rPr>
          <w:rFonts w:cs="Arial"/>
          <w:lang w:val="en"/>
        </w:rPr>
        <w:t>Brasil</w:t>
      </w:r>
      <w:proofErr w:type="spellEnd"/>
      <w:r w:rsidRPr="003F32BB">
        <w:rPr>
          <w:rFonts w:cs="Arial"/>
          <w:lang w:val="en"/>
        </w:rPr>
        <w:t xml:space="preserve"> channel, whose brokerage is transferred automatically.</w:t>
      </w:r>
    </w:p>
    <w:p w14:paraId="33DC5365" w14:textId="77777777" w:rsidR="006A2979" w:rsidRPr="003F32BB" w:rsidRDefault="006A2979" w:rsidP="006A2979">
      <w:pPr>
        <w:pStyle w:val="05-Textonormal"/>
        <w:rPr>
          <w:rFonts w:cs="Arial"/>
          <w:b/>
          <w:color w:val="1F3864" w:themeColor="accent1" w:themeShade="80"/>
          <w:lang w:val="en-US"/>
        </w:rPr>
      </w:pPr>
      <w:r w:rsidRPr="003F32BB">
        <w:rPr>
          <w:rFonts w:cs="Arial"/>
          <w:b/>
          <w:color w:val="1F3864" w:themeColor="accent1" w:themeShade="80"/>
          <w:lang w:val="en-US"/>
        </w:rPr>
        <w:t>Credit risk exposure in investments in financial assets</w:t>
      </w:r>
    </w:p>
    <w:p w14:paraId="267822EF" w14:textId="77777777" w:rsidR="006A2979" w:rsidRPr="003F32BB" w:rsidRDefault="006A2979" w:rsidP="006A2979">
      <w:pPr>
        <w:pStyle w:val="06-Rmil"/>
        <w:rPr>
          <w:rFonts w:cs="Arial"/>
          <w:lang w:val="en-US"/>
        </w:rPr>
      </w:pPr>
      <w:r w:rsidRPr="003F32BB">
        <w:rPr>
          <w:rFonts w:cs="Arial"/>
          <w:lang w:val="en-US"/>
        </w:rPr>
        <w:t>R$ thousand</w:t>
      </w:r>
    </w:p>
    <w:tbl>
      <w:tblPr>
        <w:tblStyle w:val="TabeladeLista6Colorida-nfase51"/>
        <w:tblW w:w="9781" w:type="dxa"/>
        <w:jc w:val="center"/>
        <w:shd w:val="clear" w:color="auto" w:fill="FFFFFF" w:themeFill="background1"/>
        <w:tblLayout w:type="fixed"/>
        <w:tblLook w:val="04A0" w:firstRow="1" w:lastRow="0" w:firstColumn="1" w:lastColumn="0" w:noHBand="0" w:noVBand="1"/>
      </w:tblPr>
      <w:tblGrid>
        <w:gridCol w:w="1953"/>
        <w:gridCol w:w="1257"/>
        <w:gridCol w:w="699"/>
        <w:gridCol w:w="1117"/>
        <w:gridCol w:w="700"/>
        <w:gridCol w:w="283"/>
        <w:gridCol w:w="1256"/>
        <w:gridCol w:w="700"/>
        <w:gridCol w:w="1117"/>
        <w:gridCol w:w="699"/>
      </w:tblGrid>
      <w:tr w:rsidR="006A2979" w:rsidRPr="003F32BB" w14:paraId="1FEAA2A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2" w:space="0" w:color="1F3864" w:themeColor="accent1" w:themeShade="80"/>
            </w:tcBorders>
            <w:shd w:val="clear" w:color="auto" w:fill="FFFFFF" w:themeFill="background1"/>
            <w:vAlign w:val="center"/>
          </w:tcPr>
          <w:p w14:paraId="69E0EB1C" w14:textId="77777777" w:rsidR="006A2979" w:rsidRPr="003F32BB" w:rsidRDefault="006A2979">
            <w:pPr>
              <w:rPr>
                <w:rFonts w:ascii="Arial" w:eastAsiaTheme="minorHAnsi" w:hAnsi="Arial" w:cs="Arial"/>
                <w:sz w:val="14"/>
                <w:szCs w:val="14"/>
              </w:rPr>
            </w:pPr>
            <w:r w:rsidRPr="003F32BB">
              <w:rPr>
                <w:rFonts w:ascii="Arial" w:eastAsiaTheme="minorHAnsi" w:hAnsi="Arial" w:cs="Arial"/>
                <w:sz w:val="14"/>
                <w:szCs w:val="14"/>
              </w:rPr>
              <w:t xml:space="preserve">Financial </w:t>
            </w:r>
            <w:proofErr w:type="spellStart"/>
            <w:r w:rsidRPr="003F32BB">
              <w:rPr>
                <w:rFonts w:ascii="Arial" w:eastAsiaTheme="minorHAnsi" w:hAnsi="Arial" w:cs="Arial"/>
                <w:sz w:val="14"/>
                <w:szCs w:val="14"/>
              </w:rPr>
              <w:t>Assets</w:t>
            </w:r>
            <w:proofErr w:type="spellEnd"/>
            <w:r w:rsidRPr="003F32BB">
              <w:rPr>
                <w:rFonts w:ascii="Arial" w:eastAsiaTheme="minorHAnsi" w:hAnsi="Arial" w:cs="Arial"/>
                <w:sz w:val="14"/>
                <w:szCs w:val="14"/>
              </w:rPr>
              <w:t xml:space="preserve"> </w:t>
            </w:r>
            <w:r w:rsidRPr="003F32BB">
              <w:rPr>
                <w:rFonts w:ascii="Arial" w:eastAsiaTheme="minorHAnsi" w:hAnsi="Arial" w:cs="Arial"/>
                <w:sz w:val="14"/>
                <w:szCs w:val="14"/>
                <w:vertAlign w:val="superscript"/>
              </w:rPr>
              <w:t>(1)</w:t>
            </w:r>
          </w:p>
        </w:tc>
        <w:tc>
          <w:tcPr>
            <w:tcW w:w="3773"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74A88B87" w14:textId="77777777" w:rsidR="006A2979" w:rsidRPr="003F32BB" w:rsidRDefault="006A29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00FDABA3" w14:textId="77777777" w:rsidR="006A2979" w:rsidRPr="003F32BB" w:rsidRDefault="006A29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3772"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1EAE4DC8" w14:textId="77777777" w:rsidR="006A2979" w:rsidRPr="003F32BB" w:rsidRDefault="006A297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roofErr w:type="spellStart"/>
            <w:r w:rsidRPr="003F32BB">
              <w:rPr>
                <w:rFonts w:ascii="Arial" w:eastAsiaTheme="minorHAnsi" w:hAnsi="Arial" w:cs="Arial"/>
                <w:sz w:val="14"/>
                <w:szCs w:val="14"/>
              </w:rPr>
              <w:t>Consolidated</w:t>
            </w:r>
            <w:proofErr w:type="spellEnd"/>
          </w:p>
        </w:tc>
      </w:tr>
      <w:tr w:rsidR="006A2979" w:rsidRPr="003F32BB" w14:paraId="283A10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2" w:space="0" w:color="1F3864" w:themeColor="accent1" w:themeShade="80"/>
            </w:tcBorders>
            <w:shd w:val="clear" w:color="auto" w:fill="FFFFFF" w:themeFill="background1"/>
          </w:tcPr>
          <w:p w14:paraId="076F0ACC" w14:textId="77777777" w:rsidR="006A2979" w:rsidRPr="003F32BB" w:rsidRDefault="006A2979">
            <w:pPr>
              <w:keepNext/>
              <w:keepLines/>
              <w:spacing w:before="40" w:after="40"/>
              <w:rPr>
                <w:rFonts w:ascii="Arial" w:eastAsia="Times New Roman" w:hAnsi="Arial" w:cs="Arial"/>
                <w:b w:val="0"/>
                <w:spacing w:val="-2"/>
                <w:sz w:val="14"/>
                <w:szCs w:val="14"/>
                <w:lang w:eastAsia="pt-BR"/>
              </w:rPr>
            </w:pPr>
          </w:p>
        </w:tc>
        <w:tc>
          <w:tcPr>
            <w:tcW w:w="125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9FDE453" w14:textId="1B54BE9E" w:rsidR="006A2979" w:rsidRPr="003F32BB" w:rsidRDefault="008D7B4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8D7B42">
              <w:rPr>
                <w:rFonts w:ascii="Arial" w:eastAsia="Times New Roman" w:hAnsi="Arial" w:cs="Arial"/>
                <w:b/>
                <w:spacing w:val="-2"/>
                <w:sz w:val="14"/>
                <w:szCs w:val="14"/>
                <w:lang w:eastAsia="pt-BR"/>
              </w:rPr>
              <w:t>Dec</w:t>
            </w:r>
            <w:proofErr w:type="spellEnd"/>
            <w:r w:rsidRPr="008D7B42">
              <w:rPr>
                <w:rFonts w:ascii="Arial" w:eastAsia="Times New Roman" w:hAnsi="Arial" w:cs="Arial"/>
                <w:b/>
                <w:spacing w:val="-2"/>
                <w:sz w:val="14"/>
                <w:szCs w:val="14"/>
                <w:lang w:eastAsia="pt-BR"/>
              </w:rPr>
              <w:t xml:space="preserve"> 31, 2024</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C2D2CCB"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1C2171"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31, 2023</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E3BC0A5"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3" w:type="dxa"/>
            <w:tcBorders>
              <w:top w:val="nil"/>
              <w:bottom w:val="single" w:sz="2" w:space="0" w:color="1F3864" w:themeColor="accent1" w:themeShade="80"/>
            </w:tcBorders>
            <w:shd w:val="clear" w:color="auto" w:fill="FFFFFF" w:themeFill="background1"/>
            <w:vAlign w:val="center"/>
          </w:tcPr>
          <w:p w14:paraId="155A568E"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5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5B74C8B" w14:textId="3BD86E04" w:rsidR="006A2979" w:rsidRPr="003F32BB" w:rsidRDefault="0084411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844115">
              <w:rPr>
                <w:rFonts w:ascii="Arial" w:eastAsia="Times New Roman" w:hAnsi="Arial" w:cs="Arial"/>
                <w:b/>
                <w:spacing w:val="-2"/>
                <w:sz w:val="14"/>
                <w:szCs w:val="14"/>
                <w:lang w:eastAsia="pt-BR"/>
              </w:rPr>
              <w:t>Dec</w:t>
            </w:r>
            <w:proofErr w:type="spellEnd"/>
            <w:r w:rsidRPr="00844115">
              <w:rPr>
                <w:rFonts w:ascii="Arial" w:eastAsia="Times New Roman" w:hAnsi="Arial" w:cs="Arial"/>
                <w:b/>
                <w:spacing w:val="-2"/>
                <w:sz w:val="14"/>
                <w:szCs w:val="14"/>
                <w:lang w:eastAsia="pt-BR"/>
              </w:rPr>
              <w:t xml:space="preserve"> 31, 2024</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4004ADD"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A44B602"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31, 2023</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9074DA1" w14:textId="77777777" w:rsidR="006A2979" w:rsidRPr="003F32BB" w:rsidRDefault="006A2979">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D749ED" w:rsidRPr="00431280" w14:paraId="0099B7B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2" w:space="0" w:color="1F3864" w:themeColor="accent1" w:themeShade="80"/>
              <w:bottom w:val="nil"/>
            </w:tcBorders>
            <w:shd w:val="clear" w:color="auto" w:fill="FFFFFF" w:themeFill="background1"/>
            <w:vAlign w:val="center"/>
          </w:tcPr>
          <w:p w14:paraId="569F7C91" w14:textId="77777777" w:rsidR="00D749ED" w:rsidRPr="00431280" w:rsidRDefault="00D749ED" w:rsidP="00D749ED">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57" w:type="dxa"/>
            <w:tcBorders>
              <w:top w:val="single" w:sz="2" w:space="0" w:color="1F3864" w:themeColor="accent1" w:themeShade="80"/>
              <w:left w:val="nil"/>
              <w:bottom w:val="nil"/>
              <w:right w:val="nil"/>
            </w:tcBorders>
            <w:shd w:val="clear" w:color="auto" w:fill="FFFFFF" w:themeFill="background1"/>
            <w:vAlign w:val="center"/>
          </w:tcPr>
          <w:p w14:paraId="3F7AA2D7" w14:textId="14A7886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5502A">
              <w:rPr>
                <w:rFonts w:ascii="Arial" w:hAnsi="Arial" w:cs="Arial"/>
                <w:sz w:val="14"/>
                <w:szCs w:val="14"/>
              </w:rPr>
              <w:t>335</w:t>
            </w:r>
            <w:r>
              <w:rPr>
                <w:rFonts w:ascii="Arial" w:hAnsi="Arial" w:cs="Arial"/>
                <w:sz w:val="14"/>
                <w:szCs w:val="14"/>
              </w:rPr>
              <w:t>,</w:t>
            </w:r>
            <w:r w:rsidRPr="00B5502A">
              <w:rPr>
                <w:rFonts w:ascii="Arial" w:hAnsi="Arial" w:cs="Arial"/>
                <w:sz w:val="14"/>
                <w:szCs w:val="14"/>
              </w:rPr>
              <w:t>176</w:t>
            </w:r>
          </w:p>
        </w:tc>
        <w:tc>
          <w:tcPr>
            <w:tcW w:w="699" w:type="dxa"/>
            <w:tcBorders>
              <w:top w:val="single" w:sz="2" w:space="0" w:color="1F3864" w:themeColor="accent1" w:themeShade="80"/>
              <w:left w:val="nil"/>
              <w:bottom w:val="nil"/>
              <w:right w:val="nil"/>
            </w:tcBorders>
            <w:shd w:val="clear" w:color="auto" w:fill="FFFFFF" w:themeFill="background1"/>
            <w:vAlign w:val="center"/>
          </w:tcPr>
          <w:p w14:paraId="5EC5D59D"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sz w:val="14"/>
                <w:szCs w:val="14"/>
              </w:rPr>
              <w:t>100.</w:t>
            </w:r>
            <w:r w:rsidRPr="00431280">
              <w:rPr>
                <w:rFonts w:ascii="Arial" w:hAnsi="Arial" w:cs="Arial"/>
                <w:sz w:val="14"/>
                <w:szCs w:val="14"/>
              </w:rPr>
              <w:t>00</w:t>
            </w:r>
          </w:p>
        </w:tc>
        <w:tc>
          <w:tcPr>
            <w:tcW w:w="1117" w:type="dxa"/>
            <w:tcBorders>
              <w:top w:val="single" w:sz="2" w:space="0" w:color="1F3864" w:themeColor="accent1" w:themeShade="80"/>
              <w:left w:val="nil"/>
              <w:bottom w:val="nil"/>
              <w:right w:val="nil"/>
            </w:tcBorders>
            <w:shd w:val="clear" w:color="auto" w:fill="FFFFFF" w:themeFill="background1"/>
            <w:vAlign w:val="center"/>
          </w:tcPr>
          <w:p w14:paraId="66A0DB1F"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644,606</w:t>
            </w:r>
          </w:p>
        </w:tc>
        <w:tc>
          <w:tcPr>
            <w:tcW w:w="700" w:type="dxa"/>
            <w:tcBorders>
              <w:top w:val="single" w:sz="2" w:space="0" w:color="1F3864" w:themeColor="accent1" w:themeShade="80"/>
              <w:left w:val="nil"/>
              <w:bottom w:val="nil"/>
              <w:right w:val="nil"/>
            </w:tcBorders>
            <w:shd w:val="clear" w:color="auto" w:fill="FFFFFF" w:themeFill="background1"/>
            <w:vAlign w:val="center"/>
          </w:tcPr>
          <w:p w14:paraId="44033477"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100.00</w:t>
            </w:r>
          </w:p>
        </w:tc>
        <w:tc>
          <w:tcPr>
            <w:tcW w:w="283" w:type="dxa"/>
            <w:tcBorders>
              <w:top w:val="single" w:sz="2" w:space="0" w:color="1F3864" w:themeColor="accent1" w:themeShade="80"/>
              <w:bottom w:val="nil"/>
            </w:tcBorders>
            <w:shd w:val="clear" w:color="auto" w:fill="FFFFFF" w:themeFill="background1"/>
            <w:vAlign w:val="center"/>
          </w:tcPr>
          <w:p w14:paraId="4A008AE7"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56" w:type="dxa"/>
            <w:tcBorders>
              <w:top w:val="single" w:sz="2" w:space="0" w:color="1F3864" w:themeColor="accent1" w:themeShade="80"/>
              <w:bottom w:val="nil"/>
            </w:tcBorders>
            <w:shd w:val="clear" w:color="auto" w:fill="FFFFFF" w:themeFill="background1"/>
            <w:vAlign w:val="center"/>
          </w:tcPr>
          <w:p w14:paraId="11DD9950" w14:textId="0FAF324B" w:rsidR="00D749ED" w:rsidRPr="002E6B3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7</w:t>
            </w:r>
            <w:r w:rsidR="00EA6916">
              <w:rPr>
                <w:rFonts w:ascii="Arial" w:hAnsi="Arial" w:cs="Arial"/>
                <w:sz w:val="14"/>
                <w:szCs w:val="14"/>
              </w:rPr>
              <w:t>,</w:t>
            </w:r>
            <w:r w:rsidRPr="000C7C94">
              <w:rPr>
                <w:rFonts w:ascii="Arial" w:hAnsi="Arial" w:cs="Arial"/>
                <w:sz w:val="14"/>
                <w:szCs w:val="14"/>
              </w:rPr>
              <w:t>784</w:t>
            </w:r>
            <w:r w:rsidR="00EA6916">
              <w:rPr>
                <w:rFonts w:ascii="Arial" w:hAnsi="Arial" w:cs="Arial"/>
                <w:sz w:val="14"/>
                <w:szCs w:val="14"/>
              </w:rPr>
              <w:t>,</w:t>
            </w:r>
            <w:r w:rsidRPr="000C7C94">
              <w:rPr>
                <w:rFonts w:ascii="Arial" w:hAnsi="Arial" w:cs="Arial"/>
                <w:sz w:val="14"/>
                <w:szCs w:val="14"/>
              </w:rPr>
              <w:t>574</w:t>
            </w:r>
          </w:p>
        </w:tc>
        <w:tc>
          <w:tcPr>
            <w:tcW w:w="700" w:type="dxa"/>
            <w:tcBorders>
              <w:top w:val="single" w:sz="2" w:space="0" w:color="1F3864" w:themeColor="accent1" w:themeShade="80"/>
              <w:bottom w:val="nil"/>
            </w:tcBorders>
            <w:shd w:val="clear" w:color="auto" w:fill="FFFFFF" w:themeFill="background1"/>
            <w:vAlign w:val="center"/>
          </w:tcPr>
          <w:p w14:paraId="7D4F39EC" w14:textId="2F52F23B" w:rsidR="00D749ED" w:rsidRPr="002E6B3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63</w:t>
            </w:r>
            <w:r w:rsidR="005E356B">
              <w:rPr>
                <w:rFonts w:ascii="Arial" w:hAnsi="Arial" w:cs="Arial"/>
                <w:sz w:val="14"/>
                <w:szCs w:val="14"/>
              </w:rPr>
              <w:t>.</w:t>
            </w:r>
            <w:r w:rsidRPr="000C7C94">
              <w:rPr>
                <w:rFonts w:ascii="Arial" w:hAnsi="Arial" w:cs="Arial"/>
                <w:sz w:val="14"/>
                <w:szCs w:val="14"/>
              </w:rPr>
              <w:t>71</w:t>
            </w:r>
          </w:p>
        </w:tc>
        <w:tc>
          <w:tcPr>
            <w:tcW w:w="1117" w:type="dxa"/>
            <w:tcBorders>
              <w:top w:val="single" w:sz="2" w:space="0" w:color="1F3864" w:themeColor="accent1" w:themeShade="80"/>
              <w:bottom w:val="nil"/>
            </w:tcBorders>
            <w:shd w:val="clear" w:color="auto" w:fill="FFFFFF" w:themeFill="background1"/>
            <w:vAlign w:val="center"/>
          </w:tcPr>
          <w:p w14:paraId="636E04D9" w14:textId="4DF58C12" w:rsidR="00D749ED" w:rsidRPr="002E6B3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4</w:t>
            </w:r>
            <w:r w:rsidR="00EA6916">
              <w:rPr>
                <w:rFonts w:ascii="Arial" w:hAnsi="Arial" w:cs="Arial"/>
                <w:sz w:val="14"/>
                <w:szCs w:val="14"/>
              </w:rPr>
              <w:t>,</w:t>
            </w:r>
            <w:r w:rsidRPr="000C7C94">
              <w:rPr>
                <w:rFonts w:ascii="Arial" w:hAnsi="Arial" w:cs="Arial"/>
                <w:sz w:val="14"/>
                <w:szCs w:val="14"/>
              </w:rPr>
              <w:t>747</w:t>
            </w:r>
            <w:r w:rsidR="00EA6916">
              <w:rPr>
                <w:rFonts w:ascii="Arial" w:hAnsi="Arial" w:cs="Arial"/>
                <w:sz w:val="14"/>
                <w:szCs w:val="14"/>
              </w:rPr>
              <w:t>,</w:t>
            </w:r>
            <w:r w:rsidRPr="000C7C94">
              <w:rPr>
                <w:rFonts w:ascii="Arial" w:hAnsi="Arial" w:cs="Arial"/>
                <w:sz w:val="14"/>
                <w:szCs w:val="14"/>
              </w:rPr>
              <w:t>084</w:t>
            </w:r>
          </w:p>
        </w:tc>
        <w:tc>
          <w:tcPr>
            <w:tcW w:w="699" w:type="dxa"/>
            <w:tcBorders>
              <w:top w:val="single" w:sz="2" w:space="0" w:color="1F3864" w:themeColor="accent1" w:themeShade="80"/>
              <w:bottom w:val="nil"/>
            </w:tcBorders>
            <w:shd w:val="clear" w:color="auto" w:fill="FFFFFF" w:themeFill="background1"/>
            <w:vAlign w:val="center"/>
          </w:tcPr>
          <w:p w14:paraId="0EBCEB40" w14:textId="7FC2C67E" w:rsidR="00D749ED" w:rsidRPr="002E6B3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55</w:t>
            </w:r>
            <w:r w:rsidR="005E356B">
              <w:rPr>
                <w:rFonts w:ascii="Arial" w:hAnsi="Arial" w:cs="Arial"/>
                <w:sz w:val="14"/>
                <w:szCs w:val="14"/>
              </w:rPr>
              <w:t>.</w:t>
            </w:r>
            <w:r w:rsidRPr="000C7C94">
              <w:rPr>
                <w:rFonts w:ascii="Arial" w:hAnsi="Arial" w:cs="Arial"/>
                <w:sz w:val="14"/>
                <w:szCs w:val="14"/>
              </w:rPr>
              <w:t>79</w:t>
            </w:r>
          </w:p>
        </w:tc>
      </w:tr>
      <w:tr w:rsidR="00D749ED" w:rsidRPr="00431280" w14:paraId="311BB97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242A9E0F" w14:textId="77777777" w:rsidR="00D749ED" w:rsidRPr="00431280" w:rsidRDefault="00D749ED" w:rsidP="00D749ED">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57" w:type="dxa"/>
            <w:tcBorders>
              <w:top w:val="nil"/>
              <w:left w:val="nil"/>
              <w:bottom w:val="nil"/>
              <w:right w:val="nil"/>
            </w:tcBorders>
            <w:shd w:val="clear" w:color="auto" w:fill="FFFFFF" w:themeFill="background1"/>
            <w:vAlign w:val="center"/>
          </w:tcPr>
          <w:p w14:paraId="11FE7B79"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6AD37DA6"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4E8843B3"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5C9A0BF5"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1CC99F5B"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7DF3285E" w14:textId="007DCE29" w:rsidR="00D749ED" w:rsidRPr="002E6B36"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w:t>
            </w:r>
            <w:r w:rsidR="00EA6916">
              <w:rPr>
                <w:rFonts w:ascii="Arial" w:hAnsi="Arial" w:cs="Arial"/>
                <w:sz w:val="14"/>
                <w:szCs w:val="14"/>
              </w:rPr>
              <w:t>,</w:t>
            </w:r>
            <w:r w:rsidRPr="000C7C94">
              <w:rPr>
                <w:rFonts w:ascii="Arial" w:hAnsi="Arial" w:cs="Arial"/>
                <w:sz w:val="14"/>
                <w:szCs w:val="14"/>
              </w:rPr>
              <w:t>759</w:t>
            </w:r>
            <w:r w:rsidR="00EA6916">
              <w:rPr>
                <w:rFonts w:ascii="Arial" w:hAnsi="Arial" w:cs="Arial"/>
                <w:sz w:val="14"/>
                <w:szCs w:val="14"/>
              </w:rPr>
              <w:t>,</w:t>
            </w:r>
            <w:r w:rsidRPr="000C7C94">
              <w:rPr>
                <w:rFonts w:ascii="Arial" w:hAnsi="Arial" w:cs="Arial"/>
                <w:sz w:val="14"/>
                <w:szCs w:val="14"/>
              </w:rPr>
              <w:t>011</w:t>
            </w:r>
          </w:p>
        </w:tc>
        <w:tc>
          <w:tcPr>
            <w:tcW w:w="700" w:type="dxa"/>
            <w:tcBorders>
              <w:top w:val="nil"/>
              <w:bottom w:val="nil"/>
            </w:tcBorders>
            <w:shd w:val="clear" w:color="auto" w:fill="FFFFFF" w:themeFill="background1"/>
            <w:vAlign w:val="center"/>
          </w:tcPr>
          <w:p w14:paraId="746094D5" w14:textId="1AAFD922" w:rsidR="00D749ED" w:rsidRPr="002E6B36"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14</w:t>
            </w:r>
            <w:r w:rsidR="005E356B">
              <w:rPr>
                <w:rFonts w:ascii="Arial" w:hAnsi="Arial" w:cs="Arial"/>
                <w:sz w:val="14"/>
                <w:szCs w:val="14"/>
              </w:rPr>
              <w:t>.</w:t>
            </w:r>
            <w:r w:rsidRPr="000C7C94">
              <w:rPr>
                <w:rFonts w:ascii="Arial" w:hAnsi="Arial" w:cs="Arial"/>
                <w:sz w:val="14"/>
                <w:szCs w:val="14"/>
              </w:rPr>
              <w:t>40</w:t>
            </w:r>
          </w:p>
        </w:tc>
        <w:tc>
          <w:tcPr>
            <w:tcW w:w="1117" w:type="dxa"/>
            <w:tcBorders>
              <w:top w:val="nil"/>
              <w:bottom w:val="nil"/>
            </w:tcBorders>
            <w:shd w:val="clear" w:color="auto" w:fill="FFFFFF" w:themeFill="background1"/>
            <w:vAlign w:val="center"/>
          </w:tcPr>
          <w:p w14:paraId="383AA4CB" w14:textId="3BE95661" w:rsidR="00D749ED" w:rsidRPr="002E6B36"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w:t>
            </w:r>
            <w:r w:rsidR="00EA6916">
              <w:rPr>
                <w:rFonts w:ascii="Arial" w:hAnsi="Arial" w:cs="Arial"/>
                <w:sz w:val="14"/>
                <w:szCs w:val="14"/>
              </w:rPr>
              <w:t>,</w:t>
            </w:r>
            <w:r w:rsidRPr="000C7C94">
              <w:rPr>
                <w:rFonts w:ascii="Arial" w:hAnsi="Arial" w:cs="Arial"/>
                <w:sz w:val="14"/>
                <w:szCs w:val="14"/>
              </w:rPr>
              <w:t>586</w:t>
            </w:r>
            <w:r w:rsidR="00EA6916">
              <w:rPr>
                <w:rFonts w:ascii="Arial" w:hAnsi="Arial" w:cs="Arial"/>
                <w:sz w:val="14"/>
                <w:szCs w:val="14"/>
              </w:rPr>
              <w:t>,</w:t>
            </w:r>
            <w:r w:rsidRPr="000C7C94">
              <w:rPr>
                <w:rFonts w:ascii="Arial" w:hAnsi="Arial" w:cs="Arial"/>
                <w:sz w:val="14"/>
                <w:szCs w:val="14"/>
              </w:rPr>
              <w:t>371</w:t>
            </w:r>
          </w:p>
        </w:tc>
        <w:tc>
          <w:tcPr>
            <w:tcW w:w="699" w:type="dxa"/>
            <w:tcBorders>
              <w:top w:val="nil"/>
              <w:bottom w:val="nil"/>
            </w:tcBorders>
            <w:shd w:val="clear" w:color="auto" w:fill="FFFFFF" w:themeFill="background1"/>
            <w:vAlign w:val="center"/>
          </w:tcPr>
          <w:p w14:paraId="3CD0CB80" w14:textId="053A732A" w:rsidR="00D749ED" w:rsidRPr="002E6B36"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18</w:t>
            </w:r>
            <w:r w:rsidR="005E356B">
              <w:rPr>
                <w:rFonts w:ascii="Arial" w:hAnsi="Arial" w:cs="Arial"/>
                <w:sz w:val="14"/>
                <w:szCs w:val="14"/>
              </w:rPr>
              <w:t>.</w:t>
            </w:r>
            <w:r w:rsidRPr="000C7C94">
              <w:rPr>
                <w:rFonts w:ascii="Arial" w:hAnsi="Arial" w:cs="Arial"/>
                <w:sz w:val="14"/>
                <w:szCs w:val="14"/>
              </w:rPr>
              <w:t>64</w:t>
            </w:r>
          </w:p>
        </w:tc>
      </w:tr>
      <w:tr w:rsidR="00D749ED" w:rsidRPr="00431280" w14:paraId="1AEC3A7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0FA75E35" w14:textId="0F23CEC6" w:rsidR="00D749ED" w:rsidRPr="00DF0022" w:rsidRDefault="00D749ED" w:rsidP="00D749ED">
            <w:pPr>
              <w:keepLines/>
              <w:tabs>
                <w:tab w:val="left" w:pos="284"/>
              </w:tabs>
              <w:spacing w:before="40"/>
              <w:rPr>
                <w:rFonts w:ascii="Arial" w:eastAsia="Times New Roman" w:hAnsi="Arial" w:cs="Arial"/>
                <w:b w:val="0"/>
                <w:spacing w:val="-2"/>
                <w:sz w:val="14"/>
                <w:szCs w:val="14"/>
                <w:lang w:val="en-US" w:eastAsia="pt-BR"/>
              </w:rPr>
            </w:pPr>
            <w:r w:rsidRPr="00DF0022">
              <w:rPr>
                <w:rFonts w:ascii="Arial" w:eastAsia="Times New Roman" w:hAnsi="Arial" w:cs="Arial"/>
                <w:b w:val="0"/>
                <w:spacing w:val="-2"/>
                <w:sz w:val="14"/>
                <w:szCs w:val="14"/>
                <w:lang w:val="en-US" w:eastAsia="pt-BR"/>
              </w:rPr>
              <w:t>Commissions receivable (up to 1 year)</w:t>
            </w:r>
          </w:p>
        </w:tc>
        <w:tc>
          <w:tcPr>
            <w:tcW w:w="1257" w:type="dxa"/>
            <w:tcBorders>
              <w:top w:val="nil"/>
              <w:left w:val="nil"/>
              <w:bottom w:val="nil"/>
              <w:right w:val="nil"/>
            </w:tcBorders>
            <w:shd w:val="clear" w:color="auto" w:fill="FFFFFF" w:themeFill="background1"/>
            <w:vAlign w:val="center"/>
          </w:tcPr>
          <w:p w14:paraId="22D5C569"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7E0322C9"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595A6A76"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7CB30B01"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7BBA12E8"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2C743DB3" w14:textId="16E50F10"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1</w:t>
            </w:r>
            <w:r w:rsidR="00EA6916">
              <w:rPr>
                <w:rFonts w:ascii="Arial" w:hAnsi="Arial" w:cs="Arial"/>
                <w:sz w:val="14"/>
                <w:szCs w:val="14"/>
              </w:rPr>
              <w:t>,</w:t>
            </w:r>
            <w:r w:rsidRPr="000C7C94">
              <w:rPr>
                <w:rFonts w:ascii="Arial" w:hAnsi="Arial" w:cs="Arial"/>
                <w:sz w:val="14"/>
                <w:szCs w:val="14"/>
              </w:rPr>
              <w:t>287</w:t>
            </w:r>
            <w:r w:rsidR="00EA6916">
              <w:rPr>
                <w:rFonts w:ascii="Arial" w:hAnsi="Arial" w:cs="Arial"/>
                <w:sz w:val="14"/>
                <w:szCs w:val="14"/>
              </w:rPr>
              <w:t>,</w:t>
            </w:r>
            <w:r w:rsidRPr="000C7C94">
              <w:rPr>
                <w:rFonts w:ascii="Arial" w:hAnsi="Arial" w:cs="Arial"/>
                <w:sz w:val="14"/>
                <w:szCs w:val="14"/>
              </w:rPr>
              <w:t>117</w:t>
            </w:r>
          </w:p>
        </w:tc>
        <w:tc>
          <w:tcPr>
            <w:tcW w:w="700" w:type="dxa"/>
            <w:tcBorders>
              <w:top w:val="nil"/>
              <w:bottom w:val="nil"/>
            </w:tcBorders>
            <w:shd w:val="clear" w:color="auto" w:fill="FFFFFF" w:themeFill="background1"/>
            <w:vAlign w:val="center"/>
          </w:tcPr>
          <w:p w14:paraId="026FD9C4" w14:textId="45927997" w:rsidR="00D749ED"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10</w:t>
            </w:r>
            <w:r w:rsidR="005E356B">
              <w:rPr>
                <w:rFonts w:ascii="Arial" w:hAnsi="Arial" w:cs="Arial"/>
                <w:sz w:val="14"/>
                <w:szCs w:val="14"/>
              </w:rPr>
              <w:t>.</w:t>
            </w:r>
            <w:r w:rsidRPr="000C7C94">
              <w:rPr>
                <w:rFonts w:ascii="Arial" w:hAnsi="Arial" w:cs="Arial"/>
                <w:sz w:val="14"/>
                <w:szCs w:val="14"/>
              </w:rPr>
              <w:t>53</w:t>
            </w:r>
          </w:p>
        </w:tc>
        <w:tc>
          <w:tcPr>
            <w:tcW w:w="1117" w:type="dxa"/>
            <w:tcBorders>
              <w:top w:val="nil"/>
              <w:bottom w:val="nil"/>
            </w:tcBorders>
            <w:shd w:val="clear" w:color="auto" w:fill="FFFFFF" w:themeFill="background1"/>
            <w:vAlign w:val="center"/>
          </w:tcPr>
          <w:p w14:paraId="1801F099" w14:textId="0C9AB6BF"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1</w:t>
            </w:r>
            <w:r w:rsidR="00EA6916">
              <w:rPr>
                <w:rFonts w:ascii="Arial" w:hAnsi="Arial" w:cs="Arial"/>
                <w:sz w:val="14"/>
                <w:szCs w:val="14"/>
              </w:rPr>
              <w:t>,</w:t>
            </w:r>
            <w:r w:rsidRPr="000C7C94">
              <w:rPr>
                <w:rFonts w:ascii="Arial" w:hAnsi="Arial" w:cs="Arial"/>
                <w:sz w:val="14"/>
                <w:szCs w:val="14"/>
              </w:rPr>
              <w:t>128</w:t>
            </w:r>
            <w:r w:rsidR="00EA6916">
              <w:rPr>
                <w:rFonts w:ascii="Arial" w:hAnsi="Arial" w:cs="Arial"/>
                <w:sz w:val="14"/>
                <w:szCs w:val="14"/>
              </w:rPr>
              <w:t>,</w:t>
            </w:r>
            <w:r w:rsidRPr="000C7C94">
              <w:rPr>
                <w:rFonts w:ascii="Arial" w:hAnsi="Arial" w:cs="Arial"/>
                <w:sz w:val="14"/>
                <w:szCs w:val="14"/>
              </w:rPr>
              <w:t>077</w:t>
            </w:r>
          </w:p>
        </w:tc>
        <w:tc>
          <w:tcPr>
            <w:tcW w:w="699" w:type="dxa"/>
            <w:tcBorders>
              <w:top w:val="nil"/>
              <w:bottom w:val="nil"/>
            </w:tcBorders>
            <w:shd w:val="clear" w:color="auto" w:fill="FFFFFF" w:themeFill="background1"/>
            <w:vAlign w:val="center"/>
          </w:tcPr>
          <w:p w14:paraId="1D77E07F" w14:textId="4F89263F"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13</w:t>
            </w:r>
            <w:r w:rsidR="005E356B">
              <w:rPr>
                <w:rFonts w:ascii="Arial" w:hAnsi="Arial" w:cs="Arial"/>
                <w:sz w:val="14"/>
                <w:szCs w:val="14"/>
              </w:rPr>
              <w:t>.</w:t>
            </w:r>
            <w:r w:rsidRPr="000C7C94">
              <w:rPr>
                <w:rFonts w:ascii="Arial" w:hAnsi="Arial" w:cs="Arial"/>
                <w:sz w:val="14"/>
                <w:szCs w:val="14"/>
              </w:rPr>
              <w:t>26</w:t>
            </w:r>
          </w:p>
        </w:tc>
      </w:tr>
      <w:tr w:rsidR="00D749ED" w:rsidRPr="00431280" w14:paraId="411A197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738C726C" w14:textId="28E62098" w:rsidR="00D749ED" w:rsidRPr="00A5619A" w:rsidRDefault="00D749ED" w:rsidP="00D749ED">
            <w:pPr>
              <w:keepLines/>
              <w:tabs>
                <w:tab w:val="left" w:pos="284"/>
              </w:tabs>
              <w:spacing w:before="40"/>
              <w:rPr>
                <w:rFonts w:ascii="Arial" w:eastAsia="Times New Roman" w:hAnsi="Arial" w:cs="Arial"/>
                <w:b w:val="0"/>
                <w:spacing w:val="-2"/>
                <w:sz w:val="14"/>
                <w:szCs w:val="14"/>
                <w:lang w:val="en-US" w:eastAsia="pt-BR"/>
              </w:rPr>
            </w:pPr>
            <w:r w:rsidRPr="00A5619A">
              <w:rPr>
                <w:rFonts w:ascii="Arial" w:eastAsia="Times New Roman" w:hAnsi="Arial" w:cs="Arial"/>
                <w:b w:val="0"/>
                <w:spacing w:val="-2"/>
                <w:sz w:val="14"/>
                <w:szCs w:val="14"/>
                <w:lang w:val="en-US" w:eastAsia="pt-BR"/>
              </w:rPr>
              <w:t>Commissions receivable (more than 1 year)</w:t>
            </w:r>
          </w:p>
        </w:tc>
        <w:tc>
          <w:tcPr>
            <w:tcW w:w="1257" w:type="dxa"/>
            <w:tcBorders>
              <w:top w:val="nil"/>
              <w:left w:val="nil"/>
              <w:bottom w:val="nil"/>
              <w:right w:val="nil"/>
            </w:tcBorders>
            <w:shd w:val="clear" w:color="auto" w:fill="FFFFFF" w:themeFill="background1"/>
            <w:vAlign w:val="center"/>
          </w:tcPr>
          <w:p w14:paraId="6E0E8F18"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3F948148"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3F3080D9"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42CBC891"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1EDA444F" w14:textId="77777777"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367B582D" w14:textId="5970A2D1"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w:t>
            </w:r>
            <w:r w:rsidR="00EA6916">
              <w:rPr>
                <w:rFonts w:ascii="Arial" w:hAnsi="Arial" w:cs="Arial"/>
                <w:sz w:val="14"/>
                <w:szCs w:val="14"/>
              </w:rPr>
              <w:t>,</w:t>
            </w:r>
            <w:r w:rsidRPr="000C7C94">
              <w:rPr>
                <w:rFonts w:ascii="Arial" w:hAnsi="Arial" w:cs="Arial"/>
                <w:sz w:val="14"/>
                <w:szCs w:val="14"/>
              </w:rPr>
              <w:t>387</w:t>
            </w:r>
            <w:r w:rsidR="00EA6916">
              <w:rPr>
                <w:rFonts w:ascii="Arial" w:hAnsi="Arial" w:cs="Arial"/>
                <w:sz w:val="14"/>
                <w:szCs w:val="14"/>
              </w:rPr>
              <w:t>,</w:t>
            </w:r>
            <w:r w:rsidRPr="000C7C94">
              <w:rPr>
                <w:rFonts w:ascii="Arial" w:hAnsi="Arial" w:cs="Arial"/>
                <w:sz w:val="14"/>
                <w:szCs w:val="14"/>
              </w:rPr>
              <w:t>299</w:t>
            </w:r>
          </w:p>
        </w:tc>
        <w:tc>
          <w:tcPr>
            <w:tcW w:w="700" w:type="dxa"/>
            <w:tcBorders>
              <w:top w:val="nil"/>
              <w:bottom w:val="nil"/>
            </w:tcBorders>
            <w:shd w:val="clear" w:color="auto" w:fill="FFFFFF" w:themeFill="background1"/>
            <w:vAlign w:val="center"/>
          </w:tcPr>
          <w:p w14:paraId="34F28925" w14:textId="44717D5D" w:rsidR="00D749ED"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11</w:t>
            </w:r>
            <w:r w:rsidR="005E356B">
              <w:rPr>
                <w:rFonts w:ascii="Arial" w:hAnsi="Arial" w:cs="Arial"/>
                <w:sz w:val="14"/>
                <w:szCs w:val="14"/>
              </w:rPr>
              <w:t>.</w:t>
            </w:r>
            <w:r w:rsidRPr="000C7C94">
              <w:rPr>
                <w:rFonts w:ascii="Arial" w:hAnsi="Arial" w:cs="Arial"/>
                <w:sz w:val="14"/>
                <w:szCs w:val="14"/>
              </w:rPr>
              <w:t>36</w:t>
            </w:r>
          </w:p>
        </w:tc>
        <w:tc>
          <w:tcPr>
            <w:tcW w:w="1117" w:type="dxa"/>
            <w:tcBorders>
              <w:top w:val="nil"/>
              <w:bottom w:val="nil"/>
            </w:tcBorders>
            <w:shd w:val="clear" w:color="auto" w:fill="FFFFFF" w:themeFill="background1"/>
            <w:vAlign w:val="center"/>
          </w:tcPr>
          <w:p w14:paraId="57841F44" w14:textId="6583BC65"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w:t>
            </w:r>
            <w:r w:rsidR="00EA6916">
              <w:rPr>
                <w:rFonts w:ascii="Arial" w:hAnsi="Arial" w:cs="Arial"/>
                <w:sz w:val="14"/>
                <w:szCs w:val="14"/>
              </w:rPr>
              <w:t>,</w:t>
            </w:r>
            <w:r w:rsidRPr="000C7C94">
              <w:rPr>
                <w:rFonts w:ascii="Arial" w:hAnsi="Arial" w:cs="Arial"/>
                <w:sz w:val="14"/>
                <w:szCs w:val="14"/>
              </w:rPr>
              <w:t>046</w:t>
            </w:r>
            <w:r w:rsidR="00EA6916">
              <w:rPr>
                <w:rFonts w:ascii="Arial" w:hAnsi="Arial" w:cs="Arial"/>
                <w:sz w:val="14"/>
                <w:szCs w:val="14"/>
              </w:rPr>
              <w:t>,</w:t>
            </w:r>
            <w:r w:rsidRPr="000C7C94">
              <w:rPr>
                <w:rFonts w:ascii="Arial" w:hAnsi="Arial" w:cs="Arial"/>
                <w:sz w:val="14"/>
                <w:szCs w:val="14"/>
              </w:rPr>
              <w:t>897</w:t>
            </w:r>
          </w:p>
        </w:tc>
        <w:tc>
          <w:tcPr>
            <w:tcW w:w="699" w:type="dxa"/>
            <w:tcBorders>
              <w:top w:val="nil"/>
              <w:bottom w:val="nil"/>
            </w:tcBorders>
            <w:shd w:val="clear" w:color="auto" w:fill="FFFFFF" w:themeFill="background1"/>
            <w:vAlign w:val="center"/>
          </w:tcPr>
          <w:p w14:paraId="02B050D8" w14:textId="50D793C6" w:rsidR="00D749ED" w:rsidRPr="00431280" w:rsidRDefault="00D749ED" w:rsidP="00D749ED">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12</w:t>
            </w:r>
            <w:r w:rsidR="005E356B">
              <w:rPr>
                <w:rFonts w:ascii="Arial" w:hAnsi="Arial" w:cs="Arial"/>
                <w:sz w:val="14"/>
                <w:szCs w:val="14"/>
              </w:rPr>
              <w:t>.</w:t>
            </w:r>
            <w:r w:rsidRPr="000C7C94">
              <w:rPr>
                <w:rFonts w:ascii="Arial" w:hAnsi="Arial" w:cs="Arial"/>
                <w:sz w:val="14"/>
                <w:szCs w:val="14"/>
              </w:rPr>
              <w:t>31</w:t>
            </w:r>
          </w:p>
        </w:tc>
      </w:tr>
      <w:tr w:rsidR="00D749ED" w:rsidRPr="00431280" w14:paraId="3296E8B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single" w:sz="2" w:space="0" w:color="1F3864" w:themeColor="accent1" w:themeShade="80"/>
            </w:tcBorders>
            <w:shd w:val="clear" w:color="auto" w:fill="FFFFFF" w:themeFill="background1"/>
            <w:vAlign w:val="center"/>
          </w:tcPr>
          <w:p w14:paraId="21504134" w14:textId="77777777" w:rsidR="00D749ED" w:rsidRPr="00431280" w:rsidRDefault="00D749ED" w:rsidP="00D749ED">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57" w:type="dxa"/>
            <w:tcBorders>
              <w:top w:val="nil"/>
              <w:left w:val="nil"/>
              <w:bottom w:val="single" w:sz="2" w:space="0" w:color="1F3864" w:themeColor="accent1" w:themeShade="80"/>
              <w:right w:val="nil"/>
            </w:tcBorders>
            <w:shd w:val="clear" w:color="auto" w:fill="FFFFFF" w:themeFill="background1"/>
            <w:vAlign w:val="center"/>
          </w:tcPr>
          <w:p w14:paraId="1EE2373E" w14:textId="4ED876D1"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5502A">
              <w:rPr>
                <w:rFonts w:ascii="Arial" w:hAnsi="Arial" w:cs="Arial"/>
                <w:b/>
                <w:sz w:val="14"/>
                <w:szCs w:val="14"/>
              </w:rPr>
              <w:t>335</w:t>
            </w:r>
            <w:r>
              <w:rPr>
                <w:rFonts w:ascii="Arial" w:hAnsi="Arial" w:cs="Arial"/>
                <w:b/>
                <w:sz w:val="14"/>
                <w:szCs w:val="14"/>
              </w:rPr>
              <w:t>,</w:t>
            </w:r>
            <w:r w:rsidRPr="00B5502A">
              <w:rPr>
                <w:rFonts w:ascii="Arial" w:hAnsi="Arial" w:cs="Arial"/>
                <w:b/>
                <w:sz w:val="14"/>
                <w:szCs w:val="14"/>
              </w:rPr>
              <w:t>176</w:t>
            </w:r>
          </w:p>
        </w:tc>
        <w:tc>
          <w:tcPr>
            <w:tcW w:w="699" w:type="dxa"/>
            <w:tcBorders>
              <w:top w:val="nil"/>
              <w:left w:val="nil"/>
              <w:bottom w:val="single" w:sz="2" w:space="0" w:color="1F3864" w:themeColor="accent1" w:themeShade="80"/>
              <w:right w:val="nil"/>
            </w:tcBorders>
            <w:shd w:val="clear" w:color="auto" w:fill="FFFFFF" w:themeFill="background1"/>
            <w:vAlign w:val="center"/>
          </w:tcPr>
          <w:p w14:paraId="676E06B5"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sz w:val="14"/>
                <w:szCs w:val="14"/>
              </w:rPr>
              <w:t>100.</w:t>
            </w:r>
            <w:r w:rsidRPr="00431280">
              <w:rPr>
                <w:rFonts w:ascii="Arial" w:hAnsi="Arial" w:cs="Arial"/>
                <w:b/>
                <w:sz w:val="14"/>
                <w:szCs w:val="14"/>
              </w:rPr>
              <w:t>00</w:t>
            </w:r>
          </w:p>
        </w:tc>
        <w:tc>
          <w:tcPr>
            <w:tcW w:w="1117" w:type="dxa"/>
            <w:tcBorders>
              <w:top w:val="nil"/>
              <w:left w:val="nil"/>
              <w:bottom w:val="single" w:sz="2" w:space="0" w:color="1F3864" w:themeColor="accent1" w:themeShade="80"/>
              <w:right w:val="nil"/>
            </w:tcBorders>
            <w:shd w:val="clear" w:color="auto" w:fill="FFFFFF" w:themeFill="background1"/>
            <w:vAlign w:val="center"/>
          </w:tcPr>
          <w:p w14:paraId="03044F02"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31280">
              <w:rPr>
                <w:rFonts w:ascii="Arial" w:hAnsi="Arial" w:cs="Arial"/>
                <w:b/>
                <w:sz w:val="14"/>
                <w:szCs w:val="14"/>
              </w:rPr>
              <w:t>644,606</w:t>
            </w:r>
          </w:p>
        </w:tc>
        <w:tc>
          <w:tcPr>
            <w:tcW w:w="700" w:type="dxa"/>
            <w:tcBorders>
              <w:top w:val="nil"/>
              <w:left w:val="nil"/>
              <w:bottom w:val="single" w:sz="2" w:space="0" w:color="1F3864" w:themeColor="accent1" w:themeShade="80"/>
              <w:right w:val="nil"/>
            </w:tcBorders>
            <w:shd w:val="clear" w:color="auto" w:fill="FFFFFF" w:themeFill="background1"/>
            <w:vAlign w:val="center"/>
          </w:tcPr>
          <w:p w14:paraId="5757BFDD"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31280">
              <w:rPr>
                <w:rFonts w:ascii="Arial" w:hAnsi="Arial" w:cs="Arial"/>
                <w:b/>
                <w:sz w:val="14"/>
                <w:szCs w:val="14"/>
              </w:rPr>
              <w:t>100.00</w:t>
            </w:r>
          </w:p>
        </w:tc>
        <w:tc>
          <w:tcPr>
            <w:tcW w:w="283" w:type="dxa"/>
            <w:tcBorders>
              <w:top w:val="nil"/>
              <w:bottom w:val="single" w:sz="2" w:space="0" w:color="1F3864" w:themeColor="accent1" w:themeShade="80"/>
            </w:tcBorders>
            <w:shd w:val="clear" w:color="auto" w:fill="FFFFFF" w:themeFill="background1"/>
            <w:vAlign w:val="center"/>
          </w:tcPr>
          <w:p w14:paraId="5C686DB5" w14:textId="77777777" w:rsidR="00D749ED" w:rsidRPr="00431280"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56" w:type="dxa"/>
            <w:tcBorders>
              <w:top w:val="nil"/>
              <w:bottom w:val="single" w:sz="2" w:space="0" w:color="1F3864" w:themeColor="accent1" w:themeShade="80"/>
            </w:tcBorders>
            <w:shd w:val="clear" w:color="auto" w:fill="FFFFFF" w:themeFill="background1"/>
            <w:vAlign w:val="center"/>
          </w:tcPr>
          <w:p w14:paraId="2D45A33A" w14:textId="3E41A905" w:rsidR="00D749ED" w:rsidRPr="00EA691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12</w:t>
            </w:r>
            <w:r w:rsidR="00EA6916">
              <w:rPr>
                <w:rFonts w:ascii="Arial" w:hAnsi="Arial" w:cs="Arial"/>
                <w:b/>
                <w:bCs/>
                <w:sz w:val="14"/>
                <w:szCs w:val="14"/>
              </w:rPr>
              <w:t>,</w:t>
            </w:r>
            <w:r w:rsidRPr="00EA6916">
              <w:rPr>
                <w:rFonts w:ascii="Arial" w:hAnsi="Arial" w:cs="Arial"/>
                <w:b/>
                <w:bCs/>
                <w:sz w:val="14"/>
                <w:szCs w:val="14"/>
              </w:rPr>
              <w:t>218</w:t>
            </w:r>
            <w:r w:rsidR="00EA6916">
              <w:rPr>
                <w:rFonts w:ascii="Arial" w:hAnsi="Arial" w:cs="Arial"/>
                <w:b/>
                <w:bCs/>
                <w:sz w:val="14"/>
                <w:szCs w:val="14"/>
              </w:rPr>
              <w:t>,</w:t>
            </w:r>
            <w:r w:rsidRPr="00EA6916">
              <w:rPr>
                <w:rFonts w:ascii="Arial" w:hAnsi="Arial" w:cs="Arial"/>
                <w:b/>
                <w:bCs/>
                <w:sz w:val="14"/>
                <w:szCs w:val="14"/>
              </w:rPr>
              <w:t>001</w:t>
            </w:r>
          </w:p>
        </w:tc>
        <w:tc>
          <w:tcPr>
            <w:tcW w:w="700" w:type="dxa"/>
            <w:tcBorders>
              <w:top w:val="nil"/>
              <w:bottom w:val="single" w:sz="2" w:space="0" w:color="1F3864" w:themeColor="accent1" w:themeShade="80"/>
            </w:tcBorders>
            <w:shd w:val="clear" w:color="auto" w:fill="FFFFFF" w:themeFill="background1"/>
            <w:vAlign w:val="center"/>
          </w:tcPr>
          <w:p w14:paraId="6393C62E" w14:textId="36FA5738" w:rsidR="00D749ED" w:rsidRPr="00EA691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100</w:t>
            </w:r>
            <w:r w:rsidR="005E356B">
              <w:rPr>
                <w:rFonts w:ascii="Arial" w:hAnsi="Arial" w:cs="Arial"/>
                <w:b/>
                <w:bCs/>
                <w:sz w:val="14"/>
                <w:szCs w:val="14"/>
              </w:rPr>
              <w:t>.</w:t>
            </w:r>
            <w:r w:rsidRPr="00EA6916">
              <w:rPr>
                <w:rFonts w:ascii="Arial" w:hAnsi="Arial" w:cs="Arial"/>
                <w:b/>
                <w:bCs/>
                <w:sz w:val="14"/>
                <w:szCs w:val="14"/>
              </w:rPr>
              <w:t>00</w:t>
            </w:r>
          </w:p>
        </w:tc>
        <w:tc>
          <w:tcPr>
            <w:tcW w:w="1117" w:type="dxa"/>
            <w:tcBorders>
              <w:top w:val="nil"/>
              <w:bottom w:val="single" w:sz="2" w:space="0" w:color="1F3864" w:themeColor="accent1" w:themeShade="80"/>
            </w:tcBorders>
            <w:shd w:val="clear" w:color="auto" w:fill="FFFFFF" w:themeFill="background1"/>
            <w:vAlign w:val="center"/>
          </w:tcPr>
          <w:p w14:paraId="3726B1F2" w14:textId="05BE2BFA" w:rsidR="00D749ED" w:rsidRPr="00EA691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8</w:t>
            </w:r>
            <w:r w:rsidR="00EA6916">
              <w:rPr>
                <w:rFonts w:ascii="Arial" w:hAnsi="Arial" w:cs="Arial"/>
                <w:b/>
                <w:bCs/>
                <w:sz w:val="14"/>
                <w:szCs w:val="14"/>
              </w:rPr>
              <w:t>,</w:t>
            </w:r>
            <w:r w:rsidRPr="00EA6916">
              <w:rPr>
                <w:rFonts w:ascii="Arial" w:hAnsi="Arial" w:cs="Arial"/>
                <w:b/>
                <w:bCs/>
                <w:sz w:val="14"/>
                <w:szCs w:val="14"/>
              </w:rPr>
              <w:t>508</w:t>
            </w:r>
            <w:r w:rsidR="00EA6916">
              <w:rPr>
                <w:rFonts w:ascii="Arial" w:hAnsi="Arial" w:cs="Arial"/>
                <w:b/>
                <w:bCs/>
                <w:sz w:val="14"/>
                <w:szCs w:val="14"/>
              </w:rPr>
              <w:t>,</w:t>
            </w:r>
            <w:r w:rsidRPr="00EA6916">
              <w:rPr>
                <w:rFonts w:ascii="Arial" w:hAnsi="Arial" w:cs="Arial"/>
                <w:b/>
                <w:bCs/>
                <w:sz w:val="14"/>
                <w:szCs w:val="14"/>
              </w:rPr>
              <w:t>429</w:t>
            </w:r>
          </w:p>
        </w:tc>
        <w:tc>
          <w:tcPr>
            <w:tcW w:w="699" w:type="dxa"/>
            <w:tcBorders>
              <w:top w:val="nil"/>
              <w:bottom w:val="single" w:sz="2" w:space="0" w:color="1F3864" w:themeColor="accent1" w:themeShade="80"/>
            </w:tcBorders>
            <w:shd w:val="clear" w:color="auto" w:fill="FFFFFF" w:themeFill="background1"/>
            <w:vAlign w:val="center"/>
          </w:tcPr>
          <w:p w14:paraId="62856595" w14:textId="180A08E5" w:rsidR="00D749ED" w:rsidRPr="00EA6916" w:rsidRDefault="00D749ED" w:rsidP="00D749ED">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100</w:t>
            </w:r>
            <w:r w:rsidR="005E356B">
              <w:rPr>
                <w:rFonts w:ascii="Arial" w:hAnsi="Arial" w:cs="Arial"/>
                <w:b/>
                <w:bCs/>
                <w:sz w:val="14"/>
                <w:szCs w:val="14"/>
              </w:rPr>
              <w:t>.</w:t>
            </w:r>
            <w:r w:rsidRPr="00EA6916">
              <w:rPr>
                <w:rFonts w:ascii="Arial" w:hAnsi="Arial" w:cs="Arial"/>
                <w:b/>
                <w:bCs/>
                <w:sz w:val="14"/>
                <w:szCs w:val="14"/>
              </w:rPr>
              <w:t>00</w:t>
            </w:r>
          </w:p>
        </w:tc>
      </w:tr>
    </w:tbl>
    <w:p w14:paraId="626A50F4" w14:textId="4B9857A4" w:rsidR="006A2979" w:rsidRPr="003F32BB" w:rsidRDefault="006A2979" w:rsidP="005F2CF4">
      <w:pPr>
        <w:pStyle w:val="07-Legenda1"/>
        <w:numPr>
          <w:ilvl w:val="0"/>
          <w:numId w:val="44"/>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Pr="00F7610B">
        <w:rPr>
          <w:lang w:val="en-US"/>
        </w:rPr>
        <w:t>2</w:t>
      </w:r>
      <w:r w:rsidR="0000296C" w:rsidRPr="008C37EC">
        <w:rPr>
          <w:lang w:val="en-US"/>
        </w:rPr>
        <w:t>8</w:t>
      </w:r>
      <w:r w:rsidR="008C37EC">
        <w:rPr>
          <w:lang w:val="en-US"/>
        </w:rPr>
        <w:t>,</w:t>
      </w:r>
      <w:r w:rsidR="0000296C" w:rsidRPr="008C37EC">
        <w:rPr>
          <w:lang w:val="en-US"/>
        </w:rPr>
        <w:t>783</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sidR="005E356B">
        <w:rPr>
          <w:rFonts w:ascii="Arial" w:hAnsi="Arial" w:cs="Arial"/>
          <w:szCs w:val="14"/>
          <w:lang w:val="en"/>
        </w:rPr>
        <w:t>D</w:t>
      </w:r>
      <w:r w:rsidRPr="00B106B3">
        <w:rPr>
          <w:rFonts w:ascii="Arial" w:hAnsi="Arial" w:cs="Arial"/>
          <w:szCs w:val="14"/>
          <w:lang w:val="en"/>
        </w:rPr>
        <w:t>e</w:t>
      </w:r>
      <w:r w:rsidR="005B14C4">
        <w:rPr>
          <w:rFonts w:ascii="Arial" w:hAnsi="Arial" w:cs="Arial"/>
          <w:szCs w:val="14"/>
          <w:lang w:val="en"/>
        </w:rPr>
        <w:t>c</w:t>
      </w:r>
      <w:r w:rsidRPr="00B106B3">
        <w:rPr>
          <w:rFonts w:ascii="Arial" w:hAnsi="Arial" w:cs="Arial"/>
          <w:szCs w:val="14"/>
          <w:lang w:val="en"/>
        </w:rPr>
        <w:t xml:space="preserve"> </w:t>
      </w:r>
      <w:r w:rsidRPr="003F32BB">
        <w:rPr>
          <w:rFonts w:ascii="Arial" w:hAnsi="Arial" w:cs="Arial"/>
          <w:szCs w:val="14"/>
          <w:lang w:val="en"/>
        </w:rPr>
        <w:t>3</w:t>
      </w:r>
      <w:r w:rsidR="005B14C4">
        <w:rPr>
          <w:rFonts w:ascii="Arial" w:hAnsi="Arial" w:cs="Arial"/>
          <w:szCs w:val="14"/>
          <w:lang w:val="en"/>
        </w:rPr>
        <w:t>1</w:t>
      </w:r>
      <w:r w:rsidRPr="003F32BB">
        <w:rPr>
          <w:rFonts w:ascii="Arial" w:hAnsi="Arial" w:cs="Arial"/>
          <w:szCs w:val="14"/>
          <w:lang w:val="en"/>
        </w:rPr>
        <w:t>, 2024 (R$ 2</w:t>
      </w:r>
      <w:r w:rsidRPr="003F32BB">
        <w:rPr>
          <w:rFonts w:ascii="Arial" w:hAnsi="Arial" w:cs="Arial"/>
          <w:color w:val="000000" w:themeColor="text1"/>
          <w:szCs w:val="14"/>
          <w:lang w:val="en-US"/>
        </w:rPr>
        <w:t xml:space="preserve">1,020 </w:t>
      </w:r>
      <w:r w:rsidRPr="003F32BB">
        <w:rPr>
          <w:rFonts w:ascii="Arial" w:hAnsi="Arial" w:cs="Arial"/>
          <w:szCs w:val="14"/>
          <w:lang w:val="en"/>
        </w:rPr>
        <w:t>on Dec 31, 2023)</w:t>
      </w:r>
      <w:r w:rsidRPr="003F32BB">
        <w:rPr>
          <w:rFonts w:ascii="Arial" w:hAnsi="Arial" w:cs="Arial"/>
          <w:color w:val="000000" w:themeColor="text1"/>
          <w:szCs w:val="14"/>
          <w:lang w:val="en-US"/>
        </w:rPr>
        <w:t>.</w:t>
      </w:r>
    </w:p>
    <w:p w14:paraId="23B07B61" w14:textId="77777777" w:rsidR="006A2979" w:rsidRPr="003F32BB" w:rsidRDefault="006A2979" w:rsidP="006A2979">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447A10CE" w14:textId="77777777" w:rsidR="006A2979" w:rsidRPr="003F32BB" w:rsidRDefault="006A2979" w:rsidP="006A2979">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19E37D23" w14:textId="77777777" w:rsidR="006A2979" w:rsidRPr="003F32BB" w:rsidRDefault="006A2979" w:rsidP="006A2979">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47447A70" w14:textId="77777777" w:rsidR="006A2979" w:rsidRPr="003F32BB" w:rsidRDefault="006A2979" w:rsidP="006A2979">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2919E28C" w14:textId="77777777" w:rsidR="006A2979" w:rsidRPr="003F32BB" w:rsidRDefault="006A2979" w:rsidP="006A2979">
      <w:pPr>
        <w:pStyle w:val="05-Textonormal"/>
        <w:rPr>
          <w:rFonts w:cs="Arial"/>
          <w:lang w:val="en-US" w:eastAsia="en-US"/>
        </w:rPr>
      </w:pPr>
      <w:r w:rsidRPr="003F32BB">
        <w:rPr>
          <w:rFonts w:cs="Arial"/>
          <w:lang w:val="en-US"/>
        </w:rPr>
        <w:t xml:space="preserve">The BB </w:t>
      </w:r>
      <w:proofErr w:type="spellStart"/>
      <w:r w:rsidRPr="003F32BB">
        <w:rPr>
          <w:rFonts w:cs="Arial"/>
          <w:lang w:val="en-US"/>
        </w:rPr>
        <w:t>Seguridade</w:t>
      </w:r>
      <w:proofErr w:type="spellEnd"/>
      <w:r w:rsidRPr="003F32BB">
        <w:rPr>
          <w:rFonts w:cs="Arial"/>
          <w:lang w:val="en-US"/>
        </w:rPr>
        <w:t xml:space="preserve"> and its subsidiaries main liabilities refer to administrative costs, payment of taxes and dividends, as presented below</w:t>
      </w:r>
      <w:r w:rsidRPr="003F32BB">
        <w:rPr>
          <w:rFonts w:cs="Arial"/>
          <w:lang w:val="en-US" w:eastAsia="en-US"/>
        </w:rPr>
        <w:t>.</w:t>
      </w:r>
      <w:bookmarkStart w:id="38" w:name="_Hlk109394925"/>
    </w:p>
    <w:p w14:paraId="6114CFC0" w14:textId="77777777" w:rsidR="006A2979" w:rsidRPr="003F32BB" w:rsidRDefault="006A2979" w:rsidP="006A2979">
      <w:pPr>
        <w:pStyle w:val="06-Rmil"/>
        <w:rPr>
          <w:rFonts w:cs="Arial"/>
          <w:lang w:val="en-US"/>
        </w:rPr>
      </w:pPr>
      <w:r>
        <w:rPr>
          <w:rFonts w:cs="Arial"/>
          <w:lang w:val="en-US"/>
        </w:rPr>
        <w:t xml:space="preserve"> </w:t>
      </w:r>
      <w:r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117"/>
        <w:gridCol w:w="718"/>
        <w:gridCol w:w="993"/>
        <w:gridCol w:w="1275"/>
        <w:gridCol w:w="1418"/>
        <w:gridCol w:w="283"/>
        <w:gridCol w:w="1134"/>
        <w:gridCol w:w="1701"/>
      </w:tblGrid>
      <w:tr w:rsidR="006A2979" w:rsidRPr="003F32BB" w14:paraId="657D595A"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auto"/>
            <w:vAlign w:val="center"/>
          </w:tcPr>
          <w:p w14:paraId="7672F01C" w14:textId="77777777" w:rsidR="006A2979" w:rsidRPr="003F32BB" w:rsidRDefault="006A2979">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auto"/>
            <w:vAlign w:val="center"/>
          </w:tcPr>
          <w:p w14:paraId="32724993" w14:textId="77777777" w:rsidR="006A2979" w:rsidRPr="003F32BB" w:rsidRDefault="006A297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6A2979" w:rsidRPr="003F32BB" w14:paraId="4E2115F2"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shd w:val="clear" w:color="auto" w:fill="auto"/>
            <w:vAlign w:val="center"/>
          </w:tcPr>
          <w:p w14:paraId="14D9C071" w14:textId="77777777" w:rsidR="006A2979" w:rsidRPr="003F32BB" w:rsidRDefault="006A2979">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shd w:val="clear" w:color="auto" w:fill="auto"/>
            <w:vAlign w:val="center"/>
          </w:tcPr>
          <w:p w14:paraId="00B8745D" w14:textId="77777777" w:rsidR="006A2979" w:rsidRPr="003F32BB" w:rsidRDefault="006A2979">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3F54C7F0" w14:textId="23246F5F" w:rsidR="006A2979" w:rsidRPr="003F32BB" w:rsidRDefault="000067CB">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0067CB">
              <w:rPr>
                <w:rFonts w:ascii="Arial" w:eastAsia="Times New Roman" w:hAnsi="Arial" w:cs="Arial"/>
                <w:b/>
                <w:spacing w:val="-2"/>
                <w:sz w:val="14"/>
                <w:szCs w:val="18"/>
                <w:lang w:eastAsia="pt-BR"/>
              </w:rPr>
              <w:t>Dec</w:t>
            </w:r>
            <w:proofErr w:type="spellEnd"/>
            <w:r w:rsidRPr="000067CB">
              <w:rPr>
                <w:rFonts w:ascii="Arial" w:eastAsia="Times New Roman" w:hAnsi="Arial" w:cs="Arial"/>
                <w:b/>
                <w:spacing w:val="-2"/>
                <w:sz w:val="14"/>
                <w:szCs w:val="18"/>
                <w:lang w:eastAsia="pt-BR"/>
              </w:rPr>
              <w:t xml:space="preserve"> 31, 2024</w:t>
            </w:r>
          </w:p>
        </w:tc>
        <w:tc>
          <w:tcPr>
            <w:tcW w:w="283" w:type="dxa"/>
            <w:tcBorders>
              <w:top w:val="single" w:sz="2" w:space="0" w:color="1F3864" w:themeColor="accent1" w:themeShade="80"/>
              <w:bottom w:val="nil"/>
            </w:tcBorders>
            <w:shd w:val="clear" w:color="auto" w:fill="auto"/>
            <w:vAlign w:val="center"/>
          </w:tcPr>
          <w:p w14:paraId="328705DA" w14:textId="77777777" w:rsidR="006A2979" w:rsidRPr="003F32BB" w:rsidRDefault="006A2979">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00F83BF7" w14:textId="77777777" w:rsidR="006A2979" w:rsidRPr="003F32BB" w:rsidRDefault="006A2979">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31, 2023</w:t>
            </w:r>
          </w:p>
        </w:tc>
      </w:tr>
      <w:tr w:rsidR="006A2979" w:rsidRPr="003F32BB" w14:paraId="2881E18A"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auto"/>
          </w:tcPr>
          <w:p w14:paraId="6653CCFD" w14:textId="77777777" w:rsidR="006A2979" w:rsidRPr="003F32BB" w:rsidRDefault="006A2979">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auto"/>
            <w:vAlign w:val="center"/>
          </w:tcPr>
          <w:p w14:paraId="37EBF6AE" w14:textId="77777777" w:rsidR="006A2979" w:rsidRPr="003F32BB" w:rsidRDefault="006A2979" w:rsidP="00A912E2">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726332D8"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2A28D2A"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auto"/>
            <w:vAlign w:val="center"/>
          </w:tcPr>
          <w:p w14:paraId="110E787A"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330893A"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auto"/>
            <w:vAlign w:val="center"/>
          </w:tcPr>
          <w:p w14:paraId="280D7D05"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6A2979" w:rsidRPr="003F32BB" w14:paraId="37DDEFF6"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shd w:val="clear" w:color="auto" w:fill="auto"/>
            <w:vAlign w:val="center"/>
          </w:tcPr>
          <w:p w14:paraId="19B631DE" w14:textId="77777777" w:rsidR="006A2979" w:rsidRPr="005D57A4" w:rsidRDefault="006A2979">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shd w:val="clear" w:color="auto" w:fill="auto"/>
            <w:vAlign w:val="center"/>
          </w:tcPr>
          <w:p w14:paraId="7DA3D71B" w14:textId="77777777" w:rsidR="006A2979" w:rsidRPr="005D57A4" w:rsidRDefault="006A2979" w:rsidP="00A912E2">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shd w:val="clear" w:color="auto" w:fill="auto"/>
            <w:vAlign w:val="center"/>
          </w:tcPr>
          <w:p w14:paraId="11800F43"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78D638E8"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shd w:val="clear" w:color="auto" w:fill="auto"/>
            <w:vAlign w:val="center"/>
          </w:tcPr>
          <w:p w14:paraId="4D5205A1"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5EAEDA50"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shd w:val="clear" w:color="auto" w:fill="auto"/>
            <w:vAlign w:val="center"/>
          </w:tcPr>
          <w:p w14:paraId="74FA0D52"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8C6D08" w:rsidRPr="003F32BB" w14:paraId="4E62A271"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84B7CDE" w14:textId="77777777" w:rsidR="008C6D08" w:rsidRPr="005D57A4" w:rsidRDefault="008C6D08" w:rsidP="008C6D08">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auto"/>
            <w:vAlign w:val="center"/>
          </w:tcPr>
          <w:p w14:paraId="63023BF2"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auto"/>
            <w:vAlign w:val="center"/>
          </w:tcPr>
          <w:p w14:paraId="67C290F2" w14:textId="0111FD8A"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335</w:t>
            </w:r>
            <w:r w:rsidR="00FD1C0F">
              <w:t>,</w:t>
            </w:r>
            <w:r w:rsidRPr="00F871A8">
              <w:t>647</w:t>
            </w:r>
          </w:p>
        </w:tc>
        <w:tc>
          <w:tcPr>
            <w:tcW w:w="1418" w:type="dxa"/>
            <w:tcBorders>
              <w:top w:val="nil"/>
              <w:bottom w:val="nil"/>
            </w:tcBorders>
            <w:shd w:val="clear" w:color="auto" w:fill="auto"/>
            <w:vAlign w:val="center"/>
          </w:tcPr>
          <w:p w14:paraId="2E3F928B" w14:textId="05CF7351"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c>
          <w:tcPr>
            <w:tcW w:w="283" w:type="dxa"/>
            <w:tcBorders>
              <w:top w:val="nil"/>
              <w:bottom w:val="nil"/>
            </w:tcBorders>
            <w:shd w:val="clear" w:color="auto" w:fill="auto"/>
            <w:vAlign w:val="center"/>
          </w:tcPr>
          <w:p w14:paraId="57E5B749"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2B54EBA"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645,070</w:t>
            </w:r>
          </w:p>
        </w:tc>
        <w:tc>
          <w:tcPr>
            <w:tcW w:w="1701" w:type="dxa"/>
            <w:tcBorders>
              <w:top w:val="nil"/>
              <w:bottom w:val="nil"/>
            </w:tcBorders>
            <w:shd w:val="clear" w:color="auto" w:fill="auto"/>
            <w:vAlign w:val="center"/>
          </w:tcPr>
          <w:p w14:paraId="2099FBEE"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8C6D08" w:rsidRPr="003F32BB" w14:paraId="471E27BE"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8FE9FBE" w14:textId="77777777" w:rsidR="008C6D08" w:rsidRPr="00405D16" w:rsidRDefault="008C6D08" w:rsidP="008C6D08">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shd w:val="clear" w:color="auto" w:fill="auto"/>
            <w:vAlign w:val="center"/>
          </w:tcPr>
          <w:p w14:paraId="1B431BEF"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shd w:val="clear" w:color="auto" w:fill="auto"/>
            <w:vAlign w:val="center"/>
          </w:tcPr>
          <w:p w14:paraId="7893667A" w14:textId="26BEC43B"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w:t>
            </w:r>
          </w:p>
        </w:tc>
        <w:tc>
          <w:tcPr>
            <w:tcW w:w="1418" w:type="dxa"/>
            <w:tcBorders>
              <w:top w:val="nil"/>
              <w:bottom w:val="nil"/>
            </w:tcBorders>
            <w:shd w:val="clear" w:color="auto" w:fill="auto"/>
            <w:vAlign w:val="center"/>
          </w:tcPr>
          <w:p w14:paraId="49CF6189" w14:textId="4C7375C4"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28</w:t>
            </w:r>
            <w:r w:rsidR="00FD1C0F">
              <w:t>,</w:t>
            </w:r>
            <w:r w:rsidRPr="00F871A8">
              <w:t>783</w:t>
            </w:r>
          </w:p>
        </w:tc>
        <w:tc>
          <w:tcPr>
            <w:tcW w:w="283" w:type="dxa"/>
            <w:tcBorders>
              <w:top w:val="nil"/>
              <w:bottom w:val="nil"/>
            </w:tcBorders>
            <w:shd w:val="clear" w:color="auto" w:fill="auto"/>
            <w:vAlign w:val="center"/>
          </w:tcPr>
          <w:p w14:paraId="33DDB17E"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AEEF7C1"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c>
          <w:tcPr>
            <w:tcW w:w="1701" w:type="dxa"/>
            <w:tcBorders>
              <w:top w:val="nil"/>
              <w:bottom w:val="nil"/>
            </w:tcBorders>
            <w:shd w:val="clear" w:color="auto" w:fill="auto"/>
            <w:vAlign w:val="center"/>
          </w:tcPr>
          <w:p w14:paraId="1CA37DCF"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21,020</w:t>
            </w:r>
          </w:p>
        </w:tc>
      </w:tr>
      <w:tr w:rsidR="008C6D08" w:rsidRPr="003F32BB" w14:paraId="02BE25BE"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AE7910B" w14:textId="77777777" w:rsidR="008C6D08" w:rsidRPr="00405D16" w:rsidRDefault="008C6D08" w:rsidP="008C6D08">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auto"/>
            <w:vAlign w:val="center"/>
          </w:tcPr>
          <w:p w14:paraId="50B437D9"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auto"/>
            <w:vAlign w:val="center"/>
          </w:tcPr>
          <w:p w14:paraId="2CCF6C8E" w14:textId="030599A4"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4</w:t>
            </w:r>
            <w:r w:rsidR="00FD1C0F">
              <w:t>,</w:t>
            </w:r>
            <w:r w:rsidRPr="00F871A8">
              <w:t>145</w:t>
            </w:r>
            <w:r w:rsidR="00FD1C0F">
              <w:t>,</w:t>
            </w:r>
            <w:r w:rsidRPr="00F871A8">
              <w:t>40</w:t>
            </w:r>
            <w:r>
              <w:t>2</w:t>
            </w:r>
          </w:p>
        </w:tc>
        <w:tc>
          <w:tcPr>
            <w:tcW w:w="1418" w:type="dxa"/>
            <w:tcBorders>
              <w:top w:val="nil"/>
              <w:bottom w:val="nil"/>
            </w:tcBorders>
            <w:shd w:val="clear" w:color="auto" w:fill="auto"/>
            <w:vAlign w:val="center"/>
          </w:tcPr>
          <w:p w14:paraId="2C844C91" w14:textId="6DF635C2"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c>
          <w:tcPr>
            <w:tcW w:w="283" w:type="dxa"/>
            <w:tcBorders>
              <w:top w:val="nil"/>
              <w:bottom w:val="nil"/>
            </w:tcBorders>
            <w:shd w:val="clear" w:color="auto" w:fill="auto"/>
            <w:vAlign w:val="center"/>
          </w:tcPr>
          <w:p w14:paraId="6A7A2D5E"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6C2B4F0E"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2,362,126</w:t>
            </w:r>
          </w:p>
        </w:tc>
        <w:tc>
          <w:tcPr>
            <w:tcW w:w="1701" w:type="dxa"/>
            <w:tcBorders>
              <w:top w:val="nil"/>
              <w:bottom w:val="nil"/>
            </w:tcBorders>
            <w:shd w:val="clear" w:color="auto" w:fill="auto"/>
            <w:vAlign w:val="center"/>
          </w:tcPr>
          <w:p w14:paraId="5484B91B"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8C6D08" w:rsidRPr="003F32BB" w14:paraId="5422AD2E"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3BA90D6" w14:textId="77777777" w:rsidR="008C6D08" w:rsidRPr="005D57A4" w:rsidRDefault="008C6D08" w:rsidP="008C6D08">
            <w:pPr>
              <w:pStyle w:val="08-Tabelageral"/>
              <w:keepLines w:val="0"/>
              <w:jc w:val="left"/>
              <w:rPr>
                <w:rFonts w:cs="Arial"/>
                <w:b w:val="0"/>
                <w:szCs w:val="14"/>
              </w:rPr>
            </w:pPr>
          </w:p>
        </w:tc>
        <w:tc>
          <w:tcPr>
            <w:tcW w:w="993" w:type="dxa"/>
            <w:tcBorders>
              <w:top w:val="nil"/>
              <w:bottom w:val="nil"/>
            </w:tcBorders>
            <w:shd w:val="clear" w:color="auto" w:fill="auto"/>
            <w:vAlign w:val="center"/>
          </w:tcPr>
          <w:p w14:paraId="37533F08"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0FA5E5DC"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A6FD521"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5F503345"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2CBC791"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7EB3D5EC"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8C6D08" w:rsidRPr="003F32BB" w14:paraId="228DF520"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15A8DA9" w14:textId="77777777" w:rsidR="008C6D08" w:rsidRPr="005D57A4" w:rsidRDefault="008C6D08" w:rsidP="008C6D08">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auto"/>
            <w:vAlign w:val="center"/>
          </w:tcPr>
          <w:p w14:paraId="19F95EF8"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0EBD0A04"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0535FE98"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0374B71C"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FA14EE4"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5A5C50A0"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8C6D08" w:rsidRPr="003F32BB" w14:paraId="15CEEF3F"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B018ECA" w14:textId="77777777" w:rsidR="008C6D08" w:rsidRPr="005D57A4" w:rsidRDefault="008C6D08" w:rsidP="008C6D08">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45CF9DC5" w14:textId="77777777" w:rsidR="008C6D08" w:rsidRPr="005D57A4" w:rsidRDefault="008C6D08" w:rsidP="008C6D08">
            <w:pPr>
              <w:pStyle w:val="08-Tabelageral"/>
              <w:keepLines w:val="0"/>
              <w:jc w:val="left"/>
              <w:rPr>
                <w:rFonts w:cs="Arial"/>
                <w:b w:val="0"/>
                <w:szCs w:val="14"/>
              </w:rPr>
            </w:pPr>
          </w:p>
        </w:tc>
        <w:tc>
          <w:tcPr>
            <w:tcW w:w="993" w:type="dxa"/>
            <w:tcBorders>
              <w:top w:val="nil"/>
              <w:bottom w:val="nil"/>
            </w:tcBorders>
            <w:shd w:val="clear" w:color="auto" w:fill="auto"/>
            <w:vAlign w:val="center"/>
          </w:tcPr>
          <w:p w14:paraId="48E465DC"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shd w:val="clear" w:color="auto" w:fill="auto"/>
            <w:vAlign w:val="center"/>
          </w:tcPr>
          <w:p w14:paraId="7D2473D9" w14:textId="1AF78590"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B3642">
              <w:t>4</w:t>
            </w:r>
            <w:r w:rsidR="00FD1C0F">
              <w:t>,</w:t>
            </w:r>
            <w:r w:rsidRPr="000B3642">
              <w:t>411</w:t>
            </w:r>
            <w:r w:rsidR="00FD1C0F">
              <w:t>,</w:t>
            </w:r>
            <w:r w:rsidRPr="000B3642">
              <w:t>346</w:t>
            </w:r>
          </w:p>
        </w:tc>
        <w:tc>
          <w:tcPr>
            <w:tcW w:w="1418" w:type="dxa"/>
            <w:tcBorders>
              <w:top w:val="nil"/>
              <w:bottom w:val="nil"/>
            </w:tcBorders>
            <w:shd w:val="clear" w:color="auto" w:fill="auto"/>
            <w:vAlign w:val="center"/>
          </w:tcPr>
          <w:p w14:paraId="7A7D3E3F" w14:textId="1364EEEF"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283" w:type="dxa"/>
            <w:tcBorders>
              <w:top w:val="nil"/>
              <w:bottom w:val="nil"/>
            </w:tcBorders>
            <w:shd w:val="clear" w:color="auto" w:fill="auto"/>
            <w:vAlign w:val="center"/>
          </w:tcPr>
          <w:p w14:paraId="31C9DED0"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875A901"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2,455,309</w:t>
            </w:r>
          </w:p>
        </w:tc>
        <w:tc>
          <w:tcPr>
            <w:tcW w:w="1701" w:type="dxa"/>
            <w:tcBorders>
              <w:top w:val="nil"/>
              <w:bottom w:val="nil"/>
            </w:tcBorders>
            <w:shd w:val="clear" w:color="auto" w:fill="auto"/>
            <w:vAlign w:val="center"/>
          </w:tcPr>
          <w:p w14:paraId="44E1643A"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r>
      <w:tr w:rsidR="008C6D08" w:rsidRPr="003F32BB" w14:paraId="1024BF69"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EBD0620" w14:textId="77777777" w:rsidR="008C6D08" w:rsidRPr="005D57A4" w:rsidRDefault="008C6D08" w:rsidP="008C6D08">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auto"/>
            <w:vAlign w:val="center"/>
          </w:tcPr>
          <w:p w14:paraId="74A0C2FA"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auto"/>
            <w:vAlign w:val="center"/>
          </w:tcPr>
          <w:p w14:paraId="5664EA5A" w14:textId="0056415D"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B3642">
              <w:t>602</w:t>
            </w:r>
          </w:p>
        </w:tc>
        <w:tc>
          <w:tcPr>
            <w:tcW w:w="1418" w:type="dxa"/>
            <w:tcBorders>
              <w:top w:val="nil"/>
              <w:bottom w:val="nil"/>
            </w:tcBorders>
            <w:shd w:val="clear" w:color="auto" w:fill="auto"/>
            <w:vAlign w:val="center"/>
          </w:tcPr>
          <w:p w14:paraId="787F7082" w14:textId="576D0A5E"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c>
          <w:tcPr>
            <w:tcW w:w="283" w:type="dxa"/>
            <w:tcBorders>
              <w:top w:val="nil"/>
              <w:bottom w:val="nil"/>
            </w:tcBorders>
            <w:shd w:val="clear" w:color="auto" w:fill="auto"/>
            <w:vAlign w:val="center"/>
          </w:tcPr>
          <w:p w14:paraId="4C0C280F"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969929B"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689</w:t>
            </w:r>
          </w:p>
        </w:tc>
        <w:tc>
          <w:tcPr>
            <w:tcW w:w="1701" w:type="dxa"/>
            <w:tcBorders>
              <w:top w:val="nil"/>
              <w:bottom w:val="nil"/>
            </w:tcBorders>
            <w:shd w:val="clear" w:color="auto" w:fill="auto"/>
            <w:vAlign w:val="center"/>
          </w:tcPr>
          <w:p w14:paraId="3229FEE7" w14:textId="77777777" w:rsidR="008C6D08" w:rsidRPr="005D57A4" w:rsidRDefault="008C6D08" w:rsidP="008C6D08">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F32BB">
              <w:rPr>
                <w:rFonts w:cs="Arial"/>
                <w:szCs w:val="14"/>
              </w:rPr>
              <w:t>--</w:t>
            </w:r>
          </w:p>
        </w:tc>
      </w:tr>
      <w:tr w:rsidR="008C6D08" w:rsidRPr="003F32BB" w14:paraId="4F43790A"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shd w:val="clear" w:color="auto" w:fill="auto"/>
            <w:vAlign w:val="center"/>
          </w:tcPr>
          <w:p w14:paraId="6CCFCA4D" w14:textId="77777777" w:rsidR="008C6D08" w:rsidRPr="005D57A4" w:rsidRDefault="008C6D08" w:rsidP="008C6D08">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shd w:val="clear" w:color="auto" w:fill="auto"/>
            <w:vAlign w:val="center"/>
          </w:tcPr>
          <w:p w14:paraId="7A90DDC9"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shd w:val="clear" w:color="auto" w:fill="auto"/>
            <w:vAlign w:val="center"/>
          </w:tcPr>
          <w:p w14:paraId="229964ED" w14:textId="3371BAE2"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B3642">
              <w:t>12</w:t>
            </w:r>
            <w:r w:rsidR="00FD1C0F">
              <w:t>,</w:t>
            </w:r>
            <w:r w:rsidRPr="000B3642">
              <w:t>829</w:t>
            </w:r>
          </w:p>
        </w:tc>
        <w:tc>
          <w:tcPr>
            <w:tcW w:w="1418" w:type="dxa"/>
            <w:tcBorders>
              <w:top w:val="nil"/>
              <w:bottom w:val="single" w:sz="2" w:space="0" w:color="1F3864" w:themeColor="accent1" w:themeShade="80"/>
            </w:tcBorders>
            <w:shd w:val="clear" w:color="auto" w:fill="auto"/>
            <w:vAlign w:val="center"/>
          </w:tcPr>
          <w:p w14:paraId="71C1AA24" w14:textId="7CD1D99C"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283" w:type="dxa"/>
            <w:tcBorders>
              <w:top w:val="nil"/>
              <w:bottom w:val="single" w:sz="2" w:space="0" w:color="1F3864" w:themeColor="accent1" w:themeShade="80"/>
            </w:tcBorders>
            <w:shd w:val="clear" w:color="auto" w:fill="auto"/>
            <w:vAlign w:val="center"/>
          </w:tcPr>
          <w:p w14:paraId="2DA92350"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shd w:val="clear" w:color="auto" w:fill="auto"/>
            <w:vAlign w:val="center"/>
          </w:tcPr>
          <w:p w14:paraId="4CBC6DD5"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13,488</w:t>
            </w:r>
          </w:p>
        </w:tc>
        <w:tc>
          <w:tcPr>
            <w:tcW w:w="1701" w:type="dxa"/>
            <w:tcBorders>
              <w:top w:val="nil"/>
              <w:bottom w:val="single" w:sz="2" w:space="0" w:color="1F3864" w:themeColor="accent1" w:themeShade="80"/>
            </w:tcBorders>
            <w:shd w:val="clear" w:color="auto" w:fill="auto"/>
            <w:vAlign w:val="center"/>
          </w:tcPr>
          <w:p w14:paraId="73CE5FF0" w14:textId="77777777" w:rsidR="008C6D08" w:rsidRPr="005D57A4" w:rsidRDefault="008C6D08" w:rsidP="008C6D08">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3F32BB">
              <w:rPr>
                <w:rFonts w:cs="Arial"/>
                <w:szCs w:val="14"/>
              </w:rPr>
              <w:t>--</w:t>
            </w:r>
          </w:p>
        </w:tc>
      </w:tr>
    </w:tbl>
    <w:p w14:paraId="6A876267" w14:textId="77777777" w:rsidR="006A2979" w:rsidRPr="003F32BB" w:rsidRDefault="006A2979" w:rsidP="006A2979">
      <w:pPr>
        <w:pStyle w:val="05-Textonormal"/>
        <w:rPr>
          <w:rFonts w:cs="Arial"/>
        </w:rPr>
      </w:pPr>
    </w:p>
    <w:p w14:paraId="66D6E73A" w14:textId="77777777" w:rsidR="006A2979" w:rsidRPr="003F32BB" w:rsidRDefault="006A2979" w:rsidP="006A2979">
      <w:pPr>
        <w:pStyle w:val="06-Rmil"/>
        <w:rPr>
          <w:rFonts w:cs="Arial"/>
          <w:lang w:val="en-US"/>
        </w:rPr>
      </w:pPr>
      <w:r w:rsidRPr="003F32BB">
        <w:rPr>
          <w:rFonts w:cs="Arial"/>
          <w:lang w:val="en-US"/>
        </w:rPr>
        <w:lastRenderedPageBreak/>
        <w:t>R$ thousand</w:t>
      </w:r>
    </w:p>
    <w:tbl>
      <w:tblPr>
        <w:tblStyle w:val="TabeladeLista6Colorida-nfase5"/>
        <w:tblW w:w="9639" w:type="dxa"/>
        <w:jc w:val="center"/>
        <w:tblLayout w:type="fixed"/>
        <w:tblLook w:val="04A0" w:firstRow="1" w:lastRow="0" w:firstColumn="1" w:lastColumn="0" w:noHBand="0" w:noVBand="1"/>
      </w:tblPr>
      <w:tblGrid>
        <w:gridCol w:w="2074"/>
        <w:gridCol w:w="1187"/>
        <w:gridCol w:w="708"/>
        <w:gridCol w:w="1418"/>
        <w:gridCol w:w="1417"/>
        <w:gridCol w:w="284"/>
        <w:gridCol w:w="1134"/>
        <w:gridCol w:w="1417"/>
      </w:tblGrid>
      <w:tr w:rsidR="006A2979" w:rsidRPr="003F32BB" w14:paraId="501DD6A3"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5D7185CB" w14:textId="77777777" w:rsidR="006A2979" w:rsidRPr="003F32BB" w:rsidRDefault="006A2979">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6726A1E6" w14:textId="77777777" w:rsidR="006A2979" w:rsidRPr="003F32BB" w:rsidRDefault="006A297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6A2979" w:rsidRPr="003F32BB" w14:paraId="4FD4B0F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23BFFC24" w14:textId="77777777" w:rsidR="006A2979" w:rsidRPr="003F32BB" w:rsidRDefault="006A2979">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shd w:val="clear" w:color="auto" w:fill="auto"/>
            <w:vAlign w:val="center"/>
          </w:tcPr>
          <w:p w14:paraId="1738AB26" w14:textId="77777777" w:rsidR="006A2979" w:rsidRPr="003F32BB" w:rsidRDefault="006A297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740AA1E0" w14:textId="57FAAA1A" w:rsidR="006A2979" w:rsidRPr="003F32BB" w:rsidRDefault="007E6120">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7E6120">
              <w:rPr>
                <w:rFonts w:ascii="Arial" w:eastAsia="Times New Roman" w:hAnsi="Arial" w:cs="Arial"/>
                <w:b/>
                <w:spacing w:val="-2"/>
                <w:sz w:val="14"/>
                <w:szCs w:val="18"/>
                <w:lang w:eastAsia="pt-BR"/>
              </w:rPr>
              <w:t>Dec</w:t>
            </w:r>
            <w:proofErr w:type="spellEnd"/>
            <w:r w:rsidRPr="007E6120">
              <w:rPr>
                <w:rFonts w:ascii="Arial" w:eastAsia="Times New Roman" w:hAnsi="Arial" w:cs="Arial"/>
                <w:b/>
                <w:spacing w:val="-2"/>
                <w:sz w:val="14"/>
                <w:szCs w:val="18"/>
                <w:lang w:eastAsia="pt-BR"/>
              </w:rPr>
              <w:t xml:space="preserve"> 31, 2024</w:t>
            </w:r>
          </w:p>
        </w:tc>
        <w:tc>
          <w:tcPr>
            <w:tcW w:w="284" w:type="dxa"/>
            <w:tcBorders>
              <w:top w:val="single" w:sz="2" w:space="0" w:color="1F3864" w:themeColor="accent1" w:themeShade="80"/>
              <w:bottom w:val="nil"/>
            </w:tcBorders>
            <w:shd w:val="clear" w:color="auto" w:fill="auto"/>
            <w:vAlign w:val="center"/>
          </w:tcPr>
          <w:p w14:paraId="56F0FCBE" w14:textId="77777777" w:rsidR="006A2979" w:rsidRPr="003F32BB" w:rsidRDefault="006A2979">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761CF44A" w14:textId="77777777" w:rsidR="006A2979" w:rsidRPr="003F32BB" w:rsidRDefault="006A2979">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31, 2023</w:t>
            </w:r>
          </w:p>
        </w:tc>
      </w:tr>
      <w:tr w:rsidR="006A2979" w:rsidRPr="003F32BB" w14:paraId="02F8A5ED"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auto"/>
          </w:tcPr>
          <w:p w14:paraId="2D95FE20" w14:textId="77777777" w:rsidR="006A2979" w:rsidRPr="003F32BB" w:rsidRDefault="006A2979">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auto"/>
            <w:vAlign w:val="center"/>
          </w:tcPr>
          <w:p w14:paraId="6E42D7E8" w14:textId="77777777" w:rsidR="006A2979" w:rsidRPr="005D57A4" w:rsidRDefault="006A2979" w:rsidP="00A912E2">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561C7A9"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33552EB"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auto"/>
            <w:vAlign w:val="center"/>
          </w:tcPr>
          <w:p w14:paraId="0FBAE7E0"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105E4270"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B276FCC" w14:textId="77777777" w:rsidR="006A2979" w:rsidRPr="003F32BB" w:rsidRDefault="006A2979">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6A2979" w:rsidRPr="003F32BB" w14:paraId="06814F0E"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shd w:val="clear" w:color="auto" w:fill="auto"/>
            <w:vAlign w:val="center"/>
          </w:tcPr>
          <w:p w14:paraId="18022D26" w14:textId="77777777" w:rsidR="006A2979" w:rsidRPr="003F32BB" w:rsidRDefault="006A2979">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shd w:val="clear" w:color="auto" w:fill="auto"/>
            <w:vAlign w:val="center"/>
          </w:tcPr>
          <w:p w14:paraId="268AB931" w14:textId="77777777" w:rsidR="006A2979" w:rsidRPr="003F32BB" w:rsidRDefault="006A2979" w:rsidP="00A912E2">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32EF41A0"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1FB57324"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shd w:val="clear" w:color="auto" w:fill="auto"/>
            <w:vAlign w:val="center"/>
          </w:tcPr>
          <w:p w14:paraId="0F0EE1A8"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48F398A3"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44337E4E" w14:textId="77777777" w:rsidR="006A2979" w:rsidRPr="003F32BB" w:rsidRDefault="006A2979">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BE00AE" w:rsidRPr="003F32BB" w14:paraId="0637B1C3"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9C281F6" w14:textId="77777777" w:rsidR="00BE00AE" w:rsidRPr="003F32BB" w:rsidRDefault="00BE00AE" w:rsidP="00BE00AE">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auto"/>
            <w:vAlign w:val="center"/>
          </w:tcPr>
          <w:p w14:paraId="260084D9" w14:textId="77777777" w:rsidR="00BE00AE" w:rsidRPr="005D57A4"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auto"/>
            <w:vAlign w:val="center"/>
          </w:tcPr>
          <w:p w14:paraId="7CF5416F" w14:textId="4EA95CE1"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A61BB">
              <w:t>7</w:t>
            </w:r>
            <w:r>
              <w:t>,</w:t>
            </w:r>
            <w:r w:rsidRPr="003A61BB">
              <w:t>789</w:t>
            </w:r>
            <w:r>
              <w:t>,</w:t>
            </w:r>
            <w:r w:rsidRPr="003A61BB">
              <w:t>875</w:t>
            </w:r>
          </w:p>
        </w:tc>
        <w:tc>
          <w:tcPr>
            <w:tcW w:w="1417" w:type="dxa"/>
            <w:tcBorders>
              <w:top w:val="nil"/>
              <w:bottom w:val="nil"/>
            </w:tcBorders>
            <w:shd w:val="clear" w:color="auto" w:fill="auto"/>
            <w:vAlign w:val="center"/>
          </w:tcPr>
          <w:p w14:paraId="67DC3FE6" w14:textId="5194E9DC"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A61BB">
              <w:t>--</w:t>
            </w:r>
          </w:p>
        </w:tc>
        <w:tc>
          <w:tcPr>
            <w:tcW w:w="284" w:type="dxa"/>
            <w:tcBorders>
              <w:top w:val="nil"/>
              <w:bottom w:val="nil"/>
            </w:tcBorders>
            <w:shd w:val="clear" w:color="auto" w:fill="auto"/>
            <w:vAlign w:val="center"/>
          </w:tcPr>
          <w:p w14:paraId="078C4F12"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CC22A53"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4,752,742</w:t>
            </w:r>
          </w:p>
        </w:tc>
        <w:tc>
          <w:tcPr>
            <w:tcW w:w="1417" w:type="dxa"/>
            <w:tcBorders>
              <w:top w:val="nil"/>
              <w:bottom w:val="nil"/>
            </w:tcBorders>
            <w:shd w:val="clear" w:color="auto" w:fill="auto"/>
            <w:vAlign w:val="center"/>
          </w:tcPr>
          <w:p w14:paraId="2FDE8241"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BE00AE" w:rsidRPr="003F32BB" w14:paraId="79FA13C9"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1AB3785" w14:textId="77777777" w:rsidR="00BE00AE" w:rsidRPr="003F32BB" w:rsidRDefault="00BE00AE" w:rsidP="00BE00AE">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shd w:val="clear" w:color="auto" w:fill="auto"/>
            <w:vAlign w:val="center"/>
          </w:tcPr>
          <w:p w14:paraId="407DAD34" w14:textId="77777777" w:rsidR="00BE00AE" w:rsidRPr="005D57A4"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shd w:val="clear" w:color="auto" w:fill="auto"/>
            <w:vAlign w:val="center"/>
          </w:tcPr>
          <w:p w14:paraId="306A6D19" w14:textId="1CDEC75A"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A61BB">
              <w:t>--</w:t>
            </w:r>
          </w:p>
        </w:tc>
        <w:tc>
          <w:tcPr>
            <w:tcW w:w="1417" w:type="dxa"/>
            <w:tcBorders>
              <w:top w:val="nil"/>
              <w:bottom w:val="nil"/>
            </w:tcBorders>
            <w:shd w:val="clear" w:color="auto" w:fill="auto"/>
            <w:vAlign w:val="center"/>
          </w:tcPr>
          <w:p w14:paraId="7DE81D50" w14:textId="56367464"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A61BB">
              <w:t>28</w:t>
            </w:r>
            <w:r>
              <w:t>,</w:t>
            </w:r>
            <w:r w:rsidRPr="003A61BB">
              <w:t>783</w:t>
            </w:r>
          </w:p>
        </w:tc>
        <w:tc>
          <w:tcPr>
            <w:tcW w:w="284" w:type="dxa"/>
            <w:tcBorders>
              <w:top w:val="nil"/>
              <w:bottom w:val="nil"/>
            </w:tcBorders>
            <w:shd w:val="clear" w:color="auto" w:fill="auto"/>
            <w:vAlign w:val="center"/>
          </w:tcPr>
          <w:p w14:paraId="4CB97FF8"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36F3B51"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c>
          <w:tcPr>
            <w:tcW w:w="1417" w:type="dxa"/>
            <w:tcBorders>
              <w:top w:val="nil"/>
              <w:bottom w:val="nil"/>
            </w:tcBorders>
            <w:shd w:val="clear" w:color="auto" w:fill="auto"/>
            <w:vAlign w:val="center"/>
          </w:tcPr>
          <w:p w14:paraId="5D434D51"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1,607,391</w:t>
            </w:r>
          </w:p>
        </w:tc>
      </w:tr>
      <w:tr w:rsidR="00BE00AE" w:rsidRPr="003F32BB" w14:paraId="71EA4024"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09D5ED6D" w14:textId="77777777" w:rsidR="00BE00AE" w:rsidRPr="003F32BB" w:rsidRDefault="00BE00AE" w:rsidP="00BE00AE">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auto"/>
            <w:vAlign w:val="center"/>
          </w:tcPr>
          <w:p w14:paraId="6F02152F" w14:textId="77777777" w:rsidR="00BE00AE" w:rsidRPr="005D57A4"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auto"/>
            <w:vAlign w:val="center"/>
          </w:tcPr>
          <w:p w14:paraId="3DF39AD2" w14:textId="084A5EEC"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A61BB">
              <w:t>719</w:t>
            </w:r>
            <w:r>
              <w:t>,</w:t>
            </w:r>
            <w:r w:rsidRPr="003A61BB">
              <w:t>101</w:t>
            </w:r>
          </w:p>
        </w:tc>
        <w:tc>
          <w:tcPr>
            <w:tcW w:w="1417" w:type="dxa"/>
            <w:tcBorders>
              <w:top w:val="nil"/>
              <w:bottom w:val="nil"/>
            </w:tcBorders>
            <w:shd w:val="clear" w:color="auto" w:fill="auto"/>
            <w:vAlign w:val="center"/>
          </w:tcPr>
          <w:p w14:paraId="45872FBF" w14:textId="6EF7E4CE"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3A61BB">
              <w:t>1</w:t>
            </w:r>
            <w:r>
              <w:t>,</w:t>
            </w:r>
            <w:r w:rsidRPr="003A61BB">
              <w:t>039</w:t>
            </w:r>
            <w:r>
              <w:t>,</w:t>
            </w:r>
            <w:r w:rsidRPr="003A61BB">
              <w:t>910</w:t>
            </w:r>
          </w:p>
        </w:tc>
        <w:tc>
          <w:tcPr>
            <w:tcW w:w="284" w:type="dxa"/>
            <w:tcBorders>
              <w:top w:val="nil"/>
              <w:bottom w:val="nil"/>
            </w:tcBorders>
            <w:shd w:val="clear" w:color="auto" w:fill="auto"/>
            <w:vAlign w:val="center"/>
          </w:tcPr>
          <w:p w14:paraId="6E3F9AD6"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1923E587"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bCs/>
                <w:szCs w:val="14"/>
              </w:rPr>
              <w:t>--</w:t>
            </w:r>
          </w:p>
        </w:tc>
        <w:tc>
          <w:tcPr>
            <w:tcW w:w="1417" w:type="dxa"/>
            <w:tcBorders>
              <w:top w:val="nil"/>
              <w:bottom w:val="nil"/>
            </w:tcBorders>
            <w:shd w:val="clear" w:color="auto" w:fill="auto"/>
            <w:vAlign w:val="center"/>
          </w:tcPr>
          <w:p w14:paraId="1129212C"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BE00AE" w:rsidRPr="003F32BB" w14:paraId="698181AF"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42AB96E5" w14:textId="77777777" w:rsidR="00BE00AE" w:rsidRPr="003F32BB" w:rsidRDefault="00BE00AE" w:rsidP="00BE00AE">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4BC8A5BC" w14:textId="77777777" w:rsidR="00BE00AE" w:rsidRPr="003F32BB" w:rsidRDefault="00BE00AE" w:rsidP="00BE00AE">
            <w:pPr>
              <w:pStyle w:val="08-Tabelageral"/>
              <w:keepLines w:val="0"/>
              <w:jc w:val="left"/>
              <w:rPr>
                <w:rFonts w:cs="Arial"/>
                <w:b w:val="0"/>
              </w:rPr>
            </w:pPr>
          </w:p>
        </w:tc>
        <w:tc>
          <w:tcPr>
            <w:tcW w:w="708" w:type="dxa"/>
            <w:tcBorders>
              <w:top w:val="nil"/>
              <w:bottom w:val="nil"/>
            </w:tcBorders>
            <w:shd w:val="clear" w:color="auto" w:fill="auto"/>
            <w:vAlign w:val="center"/>
          </w:tcPr>
          <w:p w14:paraId="6B8AEF44" w14:textId="77777777" w:rsidR="00BE00AE" w:rsidRPr="005D57A4"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shd w:val="clear" w:color="auto" w:fill="auto"/>
            <w:vAlign w:val="center"/>
          </w:tcPr>
          <w:p w14:paraId="4C09F8F7" w14:textId="27B8B3E0"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A61BB">
              <w:t>1</w:t>
            </w:r>
            <w:r>
              <w:t>,</w:t>
            </w:r>
            <w:r w:rsidRPr="003A61BB">
              <w:t>287</w:t>
            </w:r>
            <w:r>
              <w:t>,</w:t>
            </w:r>
            <w:r w:rsidRPr="003A61BB">
              <w:t>117</w:t>
            </w:r>
          </w:p>
        </w:tc>
        <w:tc>
          <w:tcPr>
            <w:tcW w:w="1417" w:type="dxa"/>
            <w:tcBorders>
              <w:top w:val="nil"/>
              <w:bottom w:val="nil"/>
            </w:tcBorders>
            <w:shd w:val="clear" w:color="auto" w:fill="auto"/>
            <w:vAlign w:val="center"/>
          </w:tcPr>
          <w:p w14:paraId="35A0FFE9" w14:textId="427CDFA2"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A61BB">
              <w:t>1</w:t>
            </w:r>
            <w:r>
              <w:t>,</w:t>
            </w:r>
            <w:r w:rsidRPr="003A61BB">
              <w:t>387</w:t>
            </w:r>
            <w:r>
              <w:t>,</w:t>
            </w:r>
            <w:r w:rsidRPr="003A61BB">
              <w:t>299</w:t>
            </w:r>
          </w:p>
        </w:tc>
        <w:tc>
          <w:tcPr>
            <w:tcW w:w="284" w:type="dxa"/>
            <w:tcBorders>
              <w:top w:val="nil"/>
              <w:bottom w:val="nil"/>
            </w:tcBorders>
            <w:shd w:val="clear" w:color="auto" w:fill="auto"/>
            <w:vAlign w:val="center"/>
          </w:tcPr>
          <w:p w14:paraId="7C8661DC"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A653B6B"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1,128,077</w:t>
            </w:r>
          </w:p>
        </w:tc>
        <w:tc>
          <w:tcPr>
            <w:tcW w:w="1417" w:type="dxa"/>
            <w:tcBorders>
              <w:top w:val="nil"/>
              <w:bottom w:val="nil"/>
            </w:tcBorders>
            <w:shd w:val="clear" w:color="auto" w:fill="auto"/>
            <w:vAlign w:val="center"/>
          </w:tcPr>
          <w:p w14:paraId="28A55383"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1,046,897</w:t>
            </w:r>
          </w:p>
        </w:tc>
      </w:tr>
      <w:tr w:rsidR="00BE00AE" w:rsidRPr="003F32BB" w14:paraId="407900F9"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8590026" w14:textId="77777777" w:rsidR="00BE00AE" w:rsidRPr="003F32BB" w:rsidRDefault="00BE00AE" w:rsidP="00BE00AE">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auto"/>
            <w:vAlign w:val="center"/>
          </w:tcPr>
          <w:p w14:paraId="79678905" w14:textId="77777777" w:rsidR="00BE00AE" w:rsidRPr="005D57A4"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auto"/>
            <w:vAlign w:val="center"/>
          </w:tcPr>
          <w:p w14:paraId="14006F25" w14:textId="63356333"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A61BB">
              <w:t>--</w:t>
            </w:r>
          </w:p>
        </w:tc>
        <w:tc>
          <w:tcPr>
            <w:tcW w:w="1417" w:type="dxa"/>
            <w:tcBorders>
              <w:top w:val="nil"/>
              <w:bottom w:val="nil"/>
            </w:tcBorders>
            <w:shd w:val="clear" w:color="auto" w:fill="auto"/>
            <w:vAlign w:val="center"/>
          </w:tcPr>
          <w:p w14:paraId="6FB48853" w14:textId="296A7B80"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A61BB">
              <w:t>--</w:t>
            </w:r>
          </w:p>
        </w:tc>
        <w:tc>
          <w:tcPr>
            <w:tcW w:w="284" w:type="dxa"/>
            <w:tcBorders>
              <w:top w:val="nil"/>
              <w:bottom w:val="nil"/>
            </w:tcBorders>
            <w:shd w:val="clear" w:color="auto" w:fill="auto"/>
            <w:vAlign w:val="center"/>
          </w:tcPr>
          <w:p w14:paraId="7BDEC698"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C75AB88"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444</w:t>
            </w:r>
          </w:p>
        </w:tc>
        <w:tc>
          <w:tcPr>
            <w:tcW w:w="1417" w:type="dxa"/>
            <w:tcBorders>
              <w:top w:val="nil"/>
              <w:bottom w:val="nil"/>
            </w:tcBorders>
            <w:shd w:val="clear" w:color="auto" w:fill="auto"/>
            <w:vAlign w:val="center"/>
          </w:tcPr>
          <w:p w14:paraId="3942530E"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BE00AE" w:rsidRPr="003F32BB" w14:paraId="2DA21FCD"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D2735D5" w14:textId="77777777" w:rsidR="00BE00AE" w:rsidRPr="003F32BB" w:rsidRDefault="00BE00AE" w:rsidP="00BE00AE">
            <w:pPr>
              <w:pStyle w:val="08-Tabelageral"/>
              <w:keepLines w:val="0"/>
              <w:jc w:val="left"/>
              <w:rPr>
                <w:rFonts w:cs="Arial"/>
                <w:b w:val="0"/>
              </w:rPr>
            </w:pPr>
          </w:p>
        </w:tc>
        <w:tc>
          <w:tcPr>
            <w:tcW w:w="708" w:type="dxa"/>
            <w:tcBorders>
              <w:top w:val="nil"/>
              <w:bottom w:val="nil"/>
            </w:tcBorders>
            <w:shd w:val="clear" w:color="auto" w:fill="auto"/>
            <w:vAlign w:val="center"/>
          </w:tcPr>
          <w:p w14:paraId="6449235D" w14:textId="77777777" w:rsidR="00BE00AE" w:rsidRPr="005D57A4"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4DE91B5"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4988AE4F"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shd w:val="clear" w:color="auto" w:fill="auto"/>
            <w:vAlign w:val="center"/>
          </w:tcPr>
          <w:p w14:paraId="1B93F993"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16DA2CF5"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4AFB8174"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BE00AE" w:rsidRPr="003F32BB" w14:paraId="2358F1E2"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3FAABB16" w14:textId="77777777" w:rsidR="00BE00AE" w:rsidRPr="003F32BB" w:rsidRDefault="00BE00AE" w:rsidP="00BE00AE">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auto"/>
            <w:vAlign w:val="center"/>
          </w:tcPr>
          <w:p w14:paraId="13D81D00" w14:textId="77777777" w:rsidR="00BE00AE" w:rsidRPr="005D57A4"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4DD52F4"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19C43F32"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auto"/>
            <w:vAlign w:val="center"/>
          </w:tcPr>
          <w:p w14:paraId="18B931DD"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13BAB6D1"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7D0426FF"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BE00AE" w:rsidRPr="003F32BB" w14:paraId="44BF612D"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6443EA6" w14:textId="77777777" w:rsidR="00BE00AE" w:rsidRPr="003F32BB" w:rsidRDefault="00BE00AE" w:rsidP="00BE00AE">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23242E17" w14:textId="77777777" w:rsidR="00BE00AE" w:rsidRPr="003F32BB" w:rsidRDefault="00BE00AE" w:rsidP="00BE00AE">
            <w:pPr>
              <w:pStyle w:val="08-Tabelageral"/>
              <w:keepLines w:val="0"/>
              <w:jc w:val="left"/>
              <w:rPr>
                <w:rFonts w:cs="Arial"/>
                <w:b w:val="0"/>
              </w:rPr>
            </w:pPr>
          </w:p>
        </w:tc>
        <w:tc>
          <w:tcPr>
            <w:tcW w:w="708" w:type="dxa"/>
            <w:tcBorders>
              <w:top w:val="nil"/>
              <w:bottom w:val="nil"/>
            </w:tcBorders>
            <w:shd w:val="clear" w:color="auto" w:fill="auto"/>
            <w:vAlign w:val="center"/>
          </w:tcPr>
          <w:p w14:paraId="3E08DC48" w14:textId="77777777" w:rsidR="00BE00AE" w:rsidRPr="005D57A4"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shd w:val="clear" w:color="auto" w:fill="auto"/>
            <w:vAlign w:val="center"/>
          </w:tcPr>
          <w:p w14:paraId="74F78B46" w14:textId="25DAFFCF"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92827">
              <w:t>4</w:t>
            </w:r>
            <w:r>
              <w:t>,</w:t>
            </w:r>
            <w:r w:rsidRPr="00D92827">
              <w:t>411</w:t>
            </w:r>
            <w:r>
              <w:t>,</w:t>
            </w:r>
            <w:r w:rsidRPr="00D92827">
              <w:t>346</w:t>
            </w:r>
          </w:p>
        </w:tc>
        <w:tc>
          <w:tcPr>
            <w:tcW w:w="1417" w:type="dxa"/>
            <w:tcBorders>
              <w:top w:val="nil"/>
              <w:bottom w:val="nil"/>
            </w:tcBorders>
            <w:shd w:val="clear" w:color="auto" w:fill="auto"/>
            <w:vAlign w:val="center"/>
          </w:tcPr>
          <w:p w14:paraId="57A6E374" w14:textId="5ED47043"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92827">
              <w:t>--</w:t>
            </w:r>
          </w:p>
        </w:tc>
        <w:tc>
          <w:tcPr>
            <w:tcW w:w="284" w:type="dxa"/>
            <w:tcBorders>
              <w:top w:val="nil"/>
              <w:bottom w:val="nil"/>
            </w:tcBorders>
            <w:shd w:val="clear" w:color="auto" w:fill="auto"/>
            <w:vAlign w:val="center"/>
          </w:tcPr>
          <w:p w14:paraId="3870D00D"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5AEA66AD"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2,455,309</w:t>
            </w:r>
          </w:p>
        </w:tc>
        <w:tc>
          <w:tcPr>
            <w:tcW w:w="1417" w:type="dxa"/>
            <w:tcBorders>
              <w:top w:val="nil"/>
              <w:bottom w:val="nil"/>
            </w:tcBorders>
            <w:shd w:val="clear" w:color="auto" w:fill="auto"/>
            <w:vAlign w:val="center"/>
          </w:tcPr>
          <w:p w14:paraId="6D71E086"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w:t>
            </w:r>
          </w:p>
        </w:tc>
      </w:tr>
      <w:tr w:rsidR="00BE00AE" w:rsidRPr="003F32BB" w14:paraId="45A41EC8"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CFFD5C8" w14:textId="77777777" w:rsidR="00BE00AE" w:rsidRPr="003F32BB" w:rsidRDefault="00BE00AE" w:rsidP="00BE00AE">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auto"/>
            <w:vAlign w:val="center"/>
          </w:tcPr>
          <w:p w14:paraId="7DB96312" w14:textId="77777777" w:rsidR="00BE00AE" w:rsidRPr="005D57A4"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auto"/>
            <w:vAlign w:val="center"/>
          </w:tcPr>
          <w:p w14:paraId="4C1AAED6" w14:textId="2B098329"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92827">
              <w:t>1</w:t>
            </w:r>
            <w:r>
              <w:t>,</w:t>
            </w:r>
            <w:r w:rsidRPr="00D92827">
              <w:t>117</w:t>
            </w:r>
            <w:r>
              <w:t>,</w:t>
            </w:r>
            <w:r w:rsidRPr="00D92827">
              <w:t>805</w:t>
            </w:r>
          </w:p>
        </w:tc>
        <w:tc>
          <w:tcPr>
            <w:tcW w:w="1417" w:type="dxa"/>
            <w:tcBorders>
              <w:top w:val="nil"/>
              <w:bottom w:val="nil"/>
            </w:tcBorders>
            <w:shd w:val="clear" w:color="auto" w:fill="auto"/>
            <w:vAlign w:val="center"/>
          </w:tcPr>
          <w:p w14:paraId="36B226FA" w14:textId="1065FB74"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92827">
              <w:t>--</w:t>
            </w:r>
          </w:p>
        </w:tc>
        <w:tc>
          <w:tcPr>
            <w:tcW w:w="284" w:type="dxa"/>
            <w:tcBorders>
              <w:top w:val="nil"/>
              <w:bottom w:val="nil"/>
            </w:tcBorders>
            <w:shd w:val="clear" w:color="auto" w:fill="auto"/>
            <w:vAlign w:val="center"/>
          </w:tcPr>
          <w:p w14:paraId="6B8E197D"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574B3FD"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950,663</w:t>
            </w:r>
          </w:p>
        </w:tc>
        <w:tc>
          <w:tcPr>
            <w:tcW w:w="1417" w:type="dxa"/>
            <w:tcBorders>
              <w:top w:val="nil"/>
              <w:bottom w:val="nil"/>
            </w:tcBorders>
            <w:shd w:val="clear" w:color="auto" w:fill="auto"/>
            <w:vAlign w:val="center"/>
          </w:tcPr>
          <w:p w14:paraId="2929DA30"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r w:rsidR="00BE00AE" w:rsidRPr="003F32BB" w14:paraId="674D4840" w14:textId="77777777" w:rsidTr="00A912E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443DB31A" w14:textId="77777777" w:rsidR="00BE00AE" w:rsidRPr="003F32BB" w:rsidRDefault="00BE00AE" w:rsidP="00BE00AE">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shd w:val="clear" w:color="auto" w:fill="auto"/>
            <w:vAlign w:val="center"/>
          </w:tcPr>
          <w:p w14:paraId="0E0CBB20" w14:textId="77777777" w:rsidR="00BE00AE" w:rsidRPr="005D57A4"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shd w:val="clear" w:color="auto" w:fill="auto"/>
            <w:vAlign w:val="center"/>
          </w:tcPr>
          <w:p w14:paraId="19736377" w14:textId="2A74263A"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92827">
              <w:t>2</w:t>
            </w:r>
            <w:r>
              <w:t>,</w:t>
            </w:r>
            <w:r w:rsidRPr="00D92827">
              <w:t>627</w:t>
            </w:r>
            <w:r>
              <w:t>,</w:t>
            </w:r>
            <w:r w:rsidRPr="00D92827">
              <w:t>914</w:t>
            </w:r>
          </w:p>
        </w:tc>
        <w:tc>
          <w:tcPr>
            <w:tcW w:w="1417" w:type="dxa"/>
            <w:tcBorders>
              <w:top w:val="nil"/>
              <w:bottom w:val="nil"/>
            </w:tcBorders>
            <w:shd w:val="clear" w:color="auto" w:fill="auto"/>
            <w:vAlign w:val="center"/>
          </w:tcPr>
          <w:p w14:paraId="7ABB7F7A" w14:textId="732B5BAB"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D92827">
              <w:t>3</w:t>
            </w:r>
            <w:r>
              <w:t>,</w:t>
            </w:r>
            <w:r w:rsidRPr="00D92827">
              <w:t>391</w:t>
            </w:r>
            <w:r>
              <w:t>,</w:t>
            </w:r>
            <w:r w:rsidRPr="00D92827">
              <w:t>326</w:t>
            </w:r>
          </w:p>
        </w:tc>
        <w:tc>
          <w:tcPr>
            <w:tcW w:w="284" w:type="dxa"/>
            <w:tcBorders>
              <w:top w:val="nil"/>
              <w:bottom w:val="nil"/>
            </w:tcBorders>
            <w:shd w:val="clear" w:color="auto" w:fill="auto"/>
            <w:vAlign w:val="center"/>
          </w:tcPr>
          <w:p w14:paraId="061674D1"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268C3564"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1,952,798</w:t>
            </w:r>
          </w:p>
        </w:tc>
        <w:tc>
          <w:tcPr>
            <w:tcW w:w="1417" w:type="dxa"/>
            <w:tcBorders>
              <w:top w:val="nil"/>
              <w:bottom w:val="nil"/>
            </w:tcBorders>
            <w:shd w:val="clear" w:color="auto" w:fill="auto"/>
            <w:vAlign w:val="center"/>
          </w:tcPr>
          <w:p w14:paraId="6BE91165" w14:textId="77777777" w:rsidR="00BE00AE" w:rsidRPr="003F32BB" w:rsidRDefault="00BE00AE" w:rsidP="00BE00AE">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3F32BB">
              <w:rPr>
                <w:rFonts w:cs="Arial"/>
                <w:szCs w:val="14"/>
              </w:rPr>
              <w:t>2,735,359</w:t>
            </w:r>
          </w:p>
        </w:tc>
      </w:tr>
      <w:tr w:rsidR="00BE00AE" w:rsidRPr="003F32BB" w14:paraId="3F54F965" w14:textId="77777777" w:rsidTr="00A912E2">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auto"/>
            <w:vAlign w:val="center"/>
          </w:tcPr>
          <w:p w14:paraId="1AD9A322" w14:textId="77777777" w:rsidR="00BE00AE" w:rsidRPr="003F32BB" w:rsidRDefault="00BE00AE" w:rsidP="00BE00AE">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auto"/>
            <w:vAlign w:val="center"/>
          </w:tcPr>
          <w:p w14:paraId="2A5407B3" w14:textId="77777777" w:rsidR="00BE00AE" w:rsidRPr="005D57A4"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auto"/>
            <w:vAlign w:val="center"/>
          </w:tcPr>
          <w:p w14:paraId="74B82847" w14:textId="078DFB51"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92827">
              <w:t>92</w:t>
            </w:r>
            <w:r>
              <w:t>,</w:t>
            </w:r>
            <w:r w:rsidRPr="00D92827">
              <w:t>781</w:t>
            </w:r>
          </w:p>
        </w:tc>
        <w:tc>
          <w:tcPr>
            <w:tcW w:w="1417" w:type="dxa"/>
            <w:tcBorders>
              <w:top w:val="nil"/>
              <w:bottom w:val="single" w:sz="2" w:space="0" w:color="1F3864" w:themeColor="accent1" w:themeShade="80"/>
            </w:tcBorders>
            <w:shd w:val="clear" w:color="auto" w:fill="auto"/>
            <w:vAlign w:val="center"/>
          </w:tcPr>
          <w:p w14:paraId="57EE2C38" w14:textId="6BD46F21"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D92827">
              <w:t>--</w:t>
            </w:r>
          </w:p>
        </w:tc>
        <w:tc>
          <w:tcPr>
            <w:tcW w:w="284" w:type="dxa"/>
            <w:tcBorders>
              <w:top w:val="nil"/>
              <w:bottom w:val="single" w:sz="2" w:space="0" w:color="1F3864" w:themeColor="accent1" w:themeShade="80"/>
            </w:tcBorders>
            <w:shd w:val="clear" w:color="auto" w:fill="auto"/>
            <w:vAlign w:val="center"/>
          </w:tcPr>
          <w:p w14:paraId="67234712"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auto"/>
            <w:vAlign w:val="center"/>
          </w:tcPr>
          <w:p w14:paraId="4F6A5880"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bCs/>
                <w:szCs w:val="14"/>
              </w:rPr>
              <w:t>103,447</w:t>
            </w:r>
          </w:p>
        </w:tc>
        <w:tc>
          <w:tcPr>
            <w:tcW w:w="1417" w:type="dxa"/>
            <w:tcBorders>
              <w:top w:val="nil"/>
              <w:bottom w:val="single" w:sz="2" w:space="0" w:color="1F3864" w:themeColor="accent1" w:themeShade="80"/>
            </w:tcBorders>
            <w:shd w:val="clear" w:color="auto" w:fill="auto"/>
            <w:vAlign w:val="center"/>
          </w:tcPr>
          <w:p w14:paraId="3DD213F8" w14:textId="77777777" w:rsidR="00BE00AE" w:rsidRPr="003F32BB" w:rsidRDefault="00BE00AE" w:rsidP="00BE00AE">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3F32BB">
              <w:rPr>
                <w:rFonts w:cs="Arial"/>
                <w:szCs w:val="14"/>
              </w:rPr>
              <w:t>--</w:t>
            </w:r>
          </w:p>
        </w:tc>
      </w:tr>
    </w:tbl>
    <w:p w14:paraId="39F06B89" w14:textId="77777777" w:rsidR="006A2979" w:rsidRDefault="006A2979" w:rsidP="006A2979">
      <w:pPr>
        <w:pStyle w:val="07-Legenda1"/>
        <w:spacing w:line="240" w:lineRule="auto"/>
        <w:rPr>
          <w:rFonts w:ascii="Arial" w:hAnsi="Arial" w:cs="Arial"/>
          <w:lang w:val="en"/>
        </w:rPr>
      </w:pPr>
      <w:r w:rsidRPr="003F32BB">
        <w:rPr>
          <w:rFonts w:ascii="Arial" w:hAnsi="Arial" w:cs="Arial"/>
          <w:lang w:val="en"/>
        </w:rPr>
        <w:t>(1)</w:t>
      </w:r>
      <w:r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38"/>
    <w:p w14:paraId="575A4A6C" w14:textId="77777777" w:rsidR="006A2979" w:rsidRPr="003F32BB" w:rsidRDefault="006A2979" w:rsidP="006A2979">
      <w:pPr>
        <w:pStyle w:val="07-Legenda1"/>
        <w:spacing w:line="240" w:lineRule="auto"/>
        <w:rPr>
          <w:rFonts w:ascii="Arial" w:hAnsi="Arial" w:cs="Arial"/>
          <w:sz w:val="18"/>
          <w:szCs w:val="18"/>
          <w:lang w:val="en-US"/>
        </w:rPr>
      </w:pPr>
    </w:p>
    <w:p w14:paraId="3DE60167" w14:textId="77777777" w:rsidR="006A2979" w:rsidRPr="003F32BB" w:rsidRDefault="006A2979" w:rsidP="006A2979">
      <w:pPr>
        <w:pStyle w:val="05-Textonormal"/>
        <w:rPr>
          <w:rFonts w:cs="Arial"/>
          <w:b/>
          <w:color w:val="1F3864" w:themeColor="accent1" w:themeShade="80"/>
          <w:lang w:val="en-US"/>
        </w:rPr>
      </w:pPr>
      <w:r w:rsidRPr="003F32BB">
        <w:rPr>
          <w:rFonts w:cs="Arial"/>
          <w:b/>
          <w:color w:val="1F3864" w:themeColor="accent1" w:themeShade="80"/>
          <w:lang w:val="en-US"/>
        </w:rPr>
        <w:t>b) Risk Governance applied to Affiliated Companies</w:t>
      </w:r>
    </w:p>
    <w:p w14:paraId="3BD0A309" w14:textId="77777777" w:rsidR="006A2979" w:rsidRPr="003F32BB" w:rsidRDefault="006A2979" w:rsidP="006A2979">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4E0B6935" w14:textId="77777777" w:rsidR="006A2979" w:rsidRPr="003F32BB" w:rsidRDefault="006A2979" w:rsidP="006A2979">
      <w:pPr>
        <w:pStyle w:val="05-Textonormal"/>
        <w:rPr>
          <w:rFonts w:cs="Arial"/>
          <w:lang w:val="en"/>
        </w:rPr>
      </w:pPr>
      <w:r w:rsidRPr="003F32BB">
        <w:rPr>
          <w:rFonts w:cs="Arial"/>
          <w:lang w:val="en-US"/>
        </w:rPr>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26D00766" w14:textId="77777777" w:rsidR="006A2979" w:rsidRPr="003F32BB" w:rsidRDefault="006A2979" w:rsidP="006A2979">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15B8922C" w14:textId="77777777" w:rsidR="006A2979" w:rsidRPr="003F32BB" w:rsidRDefault="006A2979" w:rsidP="006A2979">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64CC6BB6" w14:textId="77777777" w:rsidR="006A2979" w:rsidRPr="003F32BB" w:rsidRDefault="006A2979" w:rsidP="00C70C6D">
      <w:pPr>
        <w:pStyle w:val="05-Textonormal"/>
        <w:keepNext/>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114D1B22" w14:textId="77777777" w:rsidR="006A2979" w:rsidRPr="003F32BB" w:rsidRDefault="006A2979" w:rsidP="006A2979">
      <w:pPr>
        <w:pStyle w:val="05-Textonormal"/>
        <w:rPr>
          <w:rFonts w:cs="Arial"/>
          <w:lang w:val="en-US"/>
        </w:rPr>
      </w:pPr>
      <w:r w:rsidRPr="003F32BB">
        <w:rPr>
          <w:rFonts w:cs="Arial"/>
          <w:lang w:val="en-US"/>
        </w:rPr>
        <w:t xml:space="preserve">In the capital management of affiliated companies supervised by </w:t>
      </w:r>
      <w:proofErr w:type="spellStart"/>
      <w:r w:rsidRPr="003F32BB">
        <w:rPr>
          <w:rFonts w:cs="Arial"/>
          <w:lang w:val="en-US"/>
        </w:rPr>
        <w:t>Susep</w:t>
      </w:r>
      <w:proofErr w:type="spellEnd"/>
      <w:r w:rsidRPr="003F32BB">
        <w:rPr>
          <w:rFonts w:cs="Arial"/>
          <w:lang w:val="en-US"/>
        </w:rPr>
        <w:t>,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56169E0C" w14:textId="77777777" w:rsidR="006A2979" w:rsidRPr="003F32BB" w:rsidRDefault="006A2979" w:rsidP="006A2979">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3CBA2321" w14:textId="77777777" w:rsidR="006A2979" w:rsidRPr="003F32BB" w:rsidRDefault="006A2979" w:rsidP="006A2979">
      <w:pPr>
        <w:pStyle w:val="05-Textonormal"/>
        <w:rPr>
          <w:rFonts w:cs="Arial"/>
          <w:lang w:val="en-US"/>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4BE26AA0" w14:textId="77777777" w:rsidR="006A2979" w:rsidRPr="003F32BB" w:rsidRDefault="006A2979" w:rsidP="006A2979">
      <w:pPr>
        <w:pStyle w:val="05-Textonormal"/>
        <w:rPr>
          <w:rStyle w:val="hps"/>
          <w:rFonts w:cs="Arial"/>
          <w:lang w:val="en-US"/>
        </w:rPr>
      </w:pPr>
      <w:r w:rsidRPr="003F32BB">
        <w:rPr>
          <w:rFonts w:cs="Arial"/>
          <w:lang w:val="en-US"/>
        </w:rPr>
        <w:t xml:space="preserve">For companies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48215A76" w14:textId="77777777" w:rsidR="006A2979" w:rsidRPr="003F32BB" w:rsidRDefault="006A2979" w:rsidP="006A2979">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454DEB90" w14:textId="7DAAAE41" w:rsidR="006A2979" w:rsidRPr="006A2979" w:rsidRDefault="006A2979" w:rsidP="00D6023F">
      <w:pPr>
        <w:pStyle w:val="05-Textonormal"/>
        <w:rPr>
          <w:lang w:val="en-US"/>
        </w:rPr>
      </w:pPr>
      <w:r w:rsidRPr="003F32BB">
        <w:rPr>
          <w:lang w:val="en-US"/>
        </w:rPr>
        <w:t xml:space="preserve">On </w:t>
      </w:r>
      <w:r w:rsidR="002A39B9">
        <w:rPr>
          <w:lang w:val="en-US"/>
        </w:rPr>
        <w:t>D</w:t>
      </w:r>
      <w:r>
        <w:rPr>
          <w:lang w:val="en-US"/>
        </w:rPr>
        <w:t>e</w:t>
      </w:r>
      <w:r w:rsidR="00D3273F">
        <w:rPr>
          <w:lang w:val="en-US"/>
        </w:rPr>
        <w:t>c</w:t>
      </w:r>
      <w:r>
        <w:rPr>
          <w:lang w:val="en-US"/>
        </w:rPr>
        <w:t>ember</w:t>
      </w:r>
      <w:r w:rsidRPr="00FD574D">
        <w:rPr>
          <w:lang w:val="en-US"/>
        </w:rPr>
        <w:t xml:space="preserve"> </w:t>
      </w:r>
      <w:r w:rsidRPr="003F32BB">
        <w:rPr>
          <w:lang w:val="en-US"/>
        </w:rPr>
        <w:t>3</w:t>
      </w:r>
      <w:r w:rsidR="00D3273F">
        <w:rPr>
          <w:lang w:val="en-US"/>
        </w:rPr>
        <w:t>1</w:t>
      </w:r>
      <w:r w:rsidRPr="003F32BB">
        <w:rPr>
          <w:lang w:val="en-US"/>
        </w:rPr>
        <w:t xml:space="preserve">, 2024, considering the data provided by each investee, all companies in which BB </w:t>
      </w:r>
      <w:proofErr w:type="spellStart"/>
      <w:r w:rsidRPr="003F32BB">
        <w:rPr>
          <w:lang w:val="en-US"/>
        </w:rPr>
        <w:t>Seguridade</w:t>
      </w:r>
      <w:proofErr w:type="spellEnd"/>
      <w:r w:rsidRPr="003F32BB">
        <w:rPr>
          <w:lang w:val="en-US"/>
        </w:rPr>
        <w:t xml:space="preserve"> holds interests and that are subject to regulatory capital requirements, had sufficient capital, solvency, and coverage of technical provisions, in accordance with current legislation applicable</w:t>
      </w:r>
    </w:p>
    <w:p w14:paraId="4AEE6949" w14:textId="77777777" w:rsidR="00F660A7" w:rsidRDefault="007D4AB0" w:rsidP="00F660A7">
      <w:pPr>
        <w:pStyle w:val="Ttulo1"/>
        <w:spacing w:line="259" w:lineRule="auto"/>
        <w:jc w:val="both"/>
        <w:rPr>
          <w:rFonts w:ascii="Arial" w:hAnsi="Arial" w:cs="Arial"/>
          <w:b/>
          <w:color w:val="1F3864" w:themeColor="accent1" w:themeShade="80"/>
          <w:sz w:val="20"/>
          <w:lang w:val="en-US"/>
        </w:rPr>
      </w:pPr>
      <w:bookmarkStart w:id="39" w:name="_Toc157446719"/>
      <w:bookmarkStart w:id="40" w:name="_Toc190680627"/>
      <w:r w:rsidRPr="00432934">
        <w:rPr>
          <w:rFonts w:ascii="Arial" w:hAnsi="Arial" w:cs="Arial"/>
          <w:b/>
          <w:color w:val="1F3864" w:themeColor="accent1" w:themeShade="80"/>
          <w:sz w:val="20"/>
          <w:lang w:val="en-US"/>
        </w:rPr>
        <w:lastRenderedPageBreak/>
        <w:t xml:space="preserve">6 – </w:t>
      </w:r>
      <w:r w:rsidR="004725AE" w:rsidRPr="00432934">
        <w:rPr>
          <w:rFonts w:ascii="Arial" w:hAnsi="Arial" w:cs="Arial"/>
          <w:b/>
          <w:color w:val="1F3864" w:themeColor="accent1" w:themeShade="80"/>
          <w:sz w:val="20"/>
          <w:lang w:val="en-US"/>
        </w:rPr>
        <w:t>SEGMENT INFORMATION</w:t>
      </w:r>
      <w:bookmarkStart w:id="41" w:name="_Toc149573392"/>
      <w:bookmarkEnd w:id="37"/>
      <w:bookmarkEnd w:id="39"/>
      <w:bookmarkEnd w:id="40"/>
    </w:p>
    <w:p w14:paraId="7970AD66" w14:textId="77777777" w:rsidR="007B2D6A" w:rsidRPr="00691BE2" w:rsidRDefault="007B2D6A" w:rsidP="007B2D6A">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72B92A6C" w14:textId="77777777" w:rsidR="007B2D6A" w:rsidRPr="00691BE2" w:rsidRDefault="007B2D6A" w:rsidP="007B2D6A">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which includes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449D618D" w14:textId="77777777" w:rsidR="007B2D6A" w:rsidRPr="00691BE2" w:rsidRDefault="007B2D6A" w:rsidP="007B2D6A">
      <w:pPr>
        <w:pStyle w:val="01-TtulodeNota"/>
        <w:rPr>
          <w:color w:val="1F3864" w:themeColor="accent1" w:themeShade="80"/>
          <w:sz w:val="18"/>
          <w:lang w:val="en-US"/>
        </w:rPr>
      </w:pPr>
      <w:r w:rsidRPr="00691BE2">
        <w:rPr>
          <w:b w:val="0"/>
          <w:sz w:val="18"/>
          <w:szCs w:val="18"/>
          <w:lang w:val="en-US"/>
        </w:rPr>
        <w:t xml:space="preserve"> </w:t>
      </w:r>
      <w:r w:rsidRPr="00691BE2">
        <w:rPr>
          <w:color w:val="1F3864" w:themeColor="accent1" w:themeShade="80"/>
          <w:sz w:val="18"/>
          <w:lang w:val="en-US"/>
        </w:rPr>
        <w:t>a) Insurance</w:t>
      </w:r>
    </w:p>
    <w:p w14:paraId="64B442D9" w14:textId="77777777" w:rsidR="007B2D6A" w:rsidRPr="00691BE2" w:rsidRDefault="007B2D6A" w:rsidP="007B2D6A">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72757CDC" w14:textId="77777777" w:rsidR="007B2D6A" w:rsidRDefault="007B2D6A" w:rsidP="007B2D6A">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2043F1B2" w14:textId="77777777" w:rsidR="007B2D6A" w:rsidRPr="00691BE2" w:rsidRDefault="007B2D6A" w:rsidP="007B2D6A">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699BF12F" w14:textId="77777777" w:rsidR="007B2D6A" w:rsidRPr="00320430" w:rsidRDefault="007B2D6A" w:rsidP="007B2D6A">
      <w:pPr>
        <w:pStyle w:val="01-TtulodeNota"/>
        <w:rPr>
          <w:color w:val="1F3864" w:themeColor="accent1" w:themeShade="80"/>
          <w:sz w:val="18"/>
          <w:lang w:val="en-US"/>
        </w:rPr>
      </w:pPr>
      <w:r w:rsidRPr="00320430">
        <w:rPr>
          <w:color w:val="1F3864" w:themeColor="accent1" w:themeShade="80"/>
          <w:sz w:val="18"/>
          <w:lang w:val="en-US"/>
        </w:rPr>
        <w:t>b) Brokerage</w:t>
      </w:r>
    </w:p>
    <w:p w14:paraId="49530513" w14:textId="292B8013" w:rsidR="007B2D6A" w:rsidRPr="00691BE2" w:rsidRDefault="007B2D6A" w:rsidP="007B2D6A">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w:t>
      </w:r>
      <w:proofErr w:type="spellStart"/>
      <w:r w:rsidRPr="00691BE2">
        <w:rPr>
          <w:lang w:val="en-US"/>
        </w:rPr>
        <w:t>Corretora</w:t>
      </w:r>
      <w:proofErr w:type="spellEnd"/>
      <w:r w:rsidRPr="00691BE2">
        <w:rPr>
          <w:lang w:val="en-US"/>
        </w:rPr>
        <w:t xml:space="preserve"> and its investee </w:t>
      </w:r>
      <w:proofErr w:type="spellStart"/>
      <w:r w:rsidRPr="00691BE2">
        <w:rPr>
          <w:lang w:val="en-US"/>
        </w:rPr>
        <w:t>Ciclic</w:t>
      </w:r>
      <w:proofErr w:type="spellEnd"/>
      <w:r>
        <w:rPr>
          <w:lang w:val="en-US"/>
        </w:rPr>
        <w:t>.</w:t>
      </w:r>
    </w:p>
    <w:p w14:paraId="2827CC14" w14:textId="1AE64C37" w:rsidR="00900157" w:rsidRDefault="007B2D6A" w:rsidP="00AB19F2">
      <w:pPr>
        <w:pStyle w:val="01-TtulodeNota"/>
        <w:keepNext/>
        <w:rPr>
          <w:rFonts w:cs="Arial"/>
          <w:b w:val="0"/>
          <w:sz w:val="14"/>
          <w:lang w:val="en-US"/>
        </w:rPr>
      </w:pPr>
      <w:r w:rsidRPr="00691BE2">
        <w:rPr>
          <w:color w:val="1F3864" w:themeColor="accent1" w:themeShade="80"/>
          <w:sz w:val="18"/>
          <w:lang w:val="en-US"/>
        </w:rPr>
        <w:t>c) Financial Information by Reportable Segment</w:t>
      </w:r>
    </w:p>
    <w:p w14:paraId="0E5FA99B" w14:textId="77777777" w:rsidR="00900157" w:rsidRDefault="00900157" w:rsidP="00AB19F2">
      <w:pPr>
        <w:keepNext/>
        <w:spacing w:after="0"/>
        <w:ind w:right="284"/>
        <w:jc w:val="right"/>
        <w:rPr>
          <w:rFonts w:ascii="Arial" w:hAnsi="Arial" w:cs="Arial"/>
          <w:b/>
          <w:sz w:val="14"/>
          <w:lang w:val="en-US" w:eastAsia="pt-BR"/>
        </w:rPr>
      </w:pPr>
    </w:p>
    <w:p w14:paraId="0E41E842" w14:textId="1C735935" w:rsidR="007B2D6A" w:rsidRPr="00755C95" w:rsidRDefault="00634CE4" w:rsidP="003760F5">
      <w:pPr>
        <w:keepNext/>
        <w:tabs>
          <w:tab w:val="left" w:pos="8505"/>
        </w:tabs>
        <w:spacing w:after="0"/>
        <w:jc w:val="right"/>
        <w:rPr>
          <w:rFonts w:ascii="Arial" w:hAnsi="Arial" w:cs="Arial"/>
          <w:b/>
          <w:sz w:val="14"/>
          <w:lang w:eastAsia="pt-BR"/>
        </w:rPr>
      </w:pPr>
      <w:r w:rsidRPr="002F1514">
        <w:rPr>
          <w:rFonts w:ascii="Arial" w:hAnsi="Arial" w:cs="Arial"/>
          <w:b/>
          <w:sz w:val="14"/>
          <w:lang w:val="en-US" w:eastAsia="pt-BR"/>
        </w:rPr>
        <w:t xml:space="preserve">    </w:t>
      </w:r>
      <w:r w:rsidR="00D63927" w:rsidRPr="00781F9F">
        <w:rPr>
          <w:rFonts w:ascii="Arial" w:hAnsi="Arial" w:cs="Arial"/>
          <w:b/>
          <w:sz w:val="14"/>
          <w:lang w:val="en-US" w:eastAsia="pt-BR"/>
        </w:rPr>
        <w:t xml:space="preserve">  </w:t>
      </w:r>
      <w:r w:rsidR="007B2D6A" w:rsidRPr="009928AA">
        <w:rPr>
          <w:rFonts w:ascii="Arial" w:hAnsi="Arial" w:cs="Arial"/>
          <w:b/>
          <w:sz w:val="14"/>
          <w:lang w:eastAsia="pt-BR"/>
        </w:rPr>
        <w:t xml:space="preserve">R$ </w:t>
      </w:r>
      <w:proofErr w:type="spellStart"/>
      <w:r w:rsidR="007B2D6A" w:rsidRPr="000252B8">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324"/>
        <w:gridCol w:w="1328"/>
        <w:gridCol w:w="1726"/>
        <w:gridCol w:w="2261"/>
      </w:tblGrid>
      <w:tr w:rsidR="007B2D6A" w:rsidRPr="001D6BE8" w14:paraId="5A4DC125" w14:textId="77777777" w:rsidTr="00634CE4">
        <w:trPr>
          <w:trHeight w:hRule="exact" w:val="238"/>
          <w:jc w:val="center"/>
        </w:trPr>
        <w:tc>
          <w:tcPr>
            <w:tcW w:w="4324" w:type="dxa"/>
            <w:tcBorders>
              <w:top w:val="single" w:sz="4" w:space="0" w:color="auto"/>
            </w:tcBorders>
            <w:shd w:val="clear" w:color="auto" w:fill="auto"/>
          </w:tcPr>
          <w:p w14:paraId="1177D304" w14:textId="77777777" w:rsidR="007B2D6A" w:rsidRPr="001D6BE8" w:rsidRDefault="007B2D6A">
            <w:pPr>
              <w:pStyle w:val="08-Tabelageral"/>
              <w:jc w:val="left"/>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3CE70C48" w14:textId="77777777" w:rsidR="007B2D6A" w:rsidRPr="00A24524" w:rsidRDefault="007B2D6A">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06CEF91B" w14:textId="77777777" w:rsidR="007B2D6A" w:rsidRPr="00A24524" w:rsidRDefault="007B2D6A">
            <w:pPr>
              <w:pStyle w:val="08-Tabelageral"/>
              <w:jc w:val="center"/>
              <w:rPr>
                <w:rFonts w:cs="Arial"/>
                <w:b/>
              </w:rPr>
            </w:pPr>
            <w:r>
              <w:rPr>
                <w:rFonts w:cs="Arial"/>
                <w:b/>
              </w:rPr>
              <w:t>2024</w:t>
            </w:r>
          </w:p>
        </w:tc>
        <w:tc>
          <w:tcPr>
            <w:tcW w:w="2261" w:type="dxa"/>
            <w:tcBorders>
              <w:top w:val="single" w:sz="2" w:space="0" w:color="1F3864" w:themeColor="accent1" w:themeShade="80"/>
              <w:bottom w:val="single" w:sz="2" w:space="0" w:color="1F3864" w:themeColor="accent1" w:themeShade="80"/>
            </w:tcBorders>
            <w:shd w:val="clear" w:color="auto" w:fill="auto"/>
            <w:vAlign w:val="center"/>
          </w:tcPr>
          <w:p w14:paraId="4D373735" w14:textId="77777777" w:rsidR="007B2D6A" w:rsidRPr="00A24524" w:rsidRDefault="007B2D6A">
            <w:pPr>
              <w:pStyle w:val="08-Tabelageral"/>
              <w:jc w:val="center"/>
              <w:rPr>
                <w:rFonts w:cs="Arial"/>
                <w:b/>
              </w:rPr>
            </w:pPr>
          </w:p>
        </w:tc>
      </w:tr>
      <w:tr w:rsidR="007B2D6A" w:rsidRPr="001D6BE8" w14:paraId="1512032A" w14:textId="77777777" w:rsidTr="00634CE4">
        <w:trPr>
          <w:trHeight w:hRule="exact" w:val="436"/>
          <w:jc w:val="center"/>
        </w:trPr>
        <w:tc>
          <w:tcPr>
            <w:tcW w:w="4324" w:type="dxa"/>
            <w:tcBorders>
              <w:bottom w:val="single" w:sz="4" w:space="0" w:color="auto"/>
            </w:tcBorders>
            <w:shd w:val="clear" w:color="auto" w:fill="auto"/>
          </w:tcPr>
          <w:p w14:paraId="73F7A0EC" w14:textId="77777777" w:rsidR="007B2D6A" w:rsidRPr="001D6BE8" w:rsidRDefault="007B2D6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7DE580EE" w14:textId="77777777" w:rsidR="007B2D6A" w:rsidRPr="00A24524" w:rsidRDefault="007B2D6A">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68902CC2" w14:textId="77777777" w:rsidR="007B2D6A" w:rsidRPr="00A24524" w:rsidRDefault="007B2D6A">
            <w:pPr>
              <w:pStyle w:val="08-Tabelageral"/>
              <w:rPr>
                <w:rFonts w:cs="Arial"/>
                <w:b/>
              </w:rPr>
            </w:pPr>
            <w:r w:rsidRPr="00A24524">
              <w:rPr>
                <w:rFonts w:cs="Arial"/>
                <w:b/>
              </w:rPr>
              <w:t>Corretagem</w:t>
            </w:r>
          </w:p>
        </w:tc>
        <w:tc>
          <w:tcPr>
            <w:tcW w:w="2261" w:type="dxa"/>
            <w:tcBorders>
              <w:top w:val="single" w:sz="2" w:space="0" w:color="1F3864" w:themeColor="accent1" w:themeShade="80"/>
              <w:bottom w:val="single" w:sz="2" w:space="0" w:color="1F3864" w:themeColor="accent1" w:themeShade="80"/>
            </w:tcBorders>
            <w:shd w:val="clear" w:color="auto" w:fill="auto"/>
            <w:vAlign w:val="center"/>
          </w:tcPr>
          <w:p w14:paraId="7E1209E1" w14:textId="77777777" w:rsidR="007B2D6A" w:rsidRPr="00A24524" w:rsidRDefault="007B2D6A" w:rsidP="007267D3">
            <w:pPr>
              <w:pStyle w:val="08-Tabelageral"/>
              <w:rPr>
                <w:rFonts w:cs="Arial"/>
                <w:b/>
              </w:rPr>
            </w:pPr>
            <w:r w:rsidRPr="00A24524">
              <w:rPr>
                <w:rFonts w:cs="Arial"/>
                <w:b/>
              </w:rPr>
              <w:t>Total</w:t>
            </w:r>
          </w:p>
        </w:tc>
      </w:tr>
      <w:tr w:rsidR="007B2D6A" w:rsidRPr="00CF3BC4" w14:paraId="14884FE1" w14:textId="77777777" w:rsidTr="00634CE4">
        <w:trPr>
          <w:trHeight w:val="238"/>
          <w:jc w:val="center"/>
        </w:trPr>
        <w:tc>
          <w:tcPr>
            <w:tcW w:w="4324" w:type="dxa"/>
            <w:tcBorders>
              <w:top w:val="single" w:sz="4" w:space="0" w:color="auto"/>
            </w:tcBorders>
            <w:shd w:val="clear" w:color="auto" w:fill="auto"/>
          </w:tcPr>
          <w:p w14:paraId="6F1010A3" w14:textId="77777777" w:rsidR="007B2D6A" w:rsidRPr="00CF3BC4" w:rsidRDefault="007B2D6A">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shd w:val="clear" w:color="auto" w:fill="auto"/>
            <w:vAlign w:val="bottom"/>
          </w:tcPr>
          <w:p w14:paraId="565B27C3" w14:textId="77777777" w:rsidR="007B2D6A" w:rsidRPr="00CF3BC4" w:rsidRDefault="007B2D6A">
            <w:pPr>
              <w:pStyle w:val="08-Tabelageral"/>
              <w:rPr>
                <w:b/>
              </w:rPr>
            </w:pPr>
            <w:r>
              <w:rPr>
                <w:b/>
              </w:rPr>
              <w:t>5,304,528</w:t>
            </w:r>
          </w:p>
        </w:tc>
        <w:tc>
          <w:tcPr>
            <w:tcW w:w="1726" w:type="dxa"/>
            <w:tcBorders>
              <w:top w:val="single" w:sz="2" w:space="0" w:color="1F3864" w:themeColor="accent1" w:themeShade="80"/>
            </w:tcBorders>
            <w:shd w:val="clear" w:color="auto" w:fill="auto"/>
            <w:vAlign w:val="bottom"/>
          </w:tcPr>
          <w:p w14:paraId="02114912" w14:textId="77777777" w:rsidR="007B2D6A" w:rsidRPr="00CF3BC4" w:rsidRDefault="007B2D6A">
            <w:pPr>
              <w:pStyle w:val="08-Tabelageral"/>
              <w:rPr>
                <w:b/>
              </w:rPr>
            </w:pPr>
            <w:r>
              <w:rPr>
                <w:b/>
              </w:rPr>
              <w:t>4,875,488</w:t>
            </w:r>
          </w:p>
        </w:tc>
        <w:tc>
          <w:tcPr>
            <w:tcW w:w="2261" w:type="dxa"/>
            <w:tcBorders>
              <w:top w:val="single" w:sz="2" w:space="0" w:color="1F3864" w:themeColor="accent1" w:themeShade="80"/>
            </w:tcBorders>
            <w:shd w:val="clear" w:color="auto" w:fill="auto"/>
            <w:vAlign w:val="bottom"/>
          </w:tcPr>
          <w:p w14:paraId="6C2CFA39" w14:textId="77777777" w:rsidR="007B2D6A" w:rsidRPr="00CF3BC4" w:rsidRDefault="007B2D6A" w:rsidP="007267D3">
            <w:pPr>
              <w:pStyle w:val="08-Tabelageral"/>
              <w:rPr>
                <w:b/>
              </w:rPr>
            </w:pPr>
            <w:r>
              <w:rPr>
                <w:b/>
              </w:rPr>
              <w:t>10,180,016</w:t>
            </w:r>
          </w:p>
        </w:tc>
      </w:tr>
      <w:tr w:rsidR="007B2D6A" w:rsidRPr="001D6BE8" w14:paraId="1093E147" w14:textId="77777777" w:rsidTr="00634CE4">
        <w:trPr>
          <w:trHeight w:val="238"/>
          <w:jc w:val="center"/>
        </w:trPr>
        <w:tc>
          <w:tcPr>
            <w:tcW w:w="4324" w:type="dxa"/>
            <w:shd w:val="clear" w:color="auto" w:fill="auto"/>
          </w:tcPr>
          <w:p w14:paraId="4C6D15D2" w14:textId="77777777" w:rsidR="007B2D6A" w:rsidRPr="00C806B0" w:rsidRDefault="007B2D6A">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shd w:val="clear" w:color="auto" w:fill="auto"/>
            <w:vAlign w:val="bottom"/>
          </w:tcPr>
          <w:p w14:paraId="0FEB0424" w14:textId="77777777" w:rsidR="007B2D6A" w:rsidRPr="00651800" w:rsidRDefault="007B2D6A">
            <w:pPr>
              <w:pStyle w:val="08-Tabelageral"/>
            </w:pPr>
            <w:r>
              <w:t>5,304,528</w:t>
            </w:r>
          </w:p>
        </w:tc>
        <w:tc>
          <w:tcPr>
            <w:tcW w:w="1726" w:type="dxa"/>
            <w:shd w:val="clear" w:color="auto" w:fill="auto"/>
            <w:vAlign w:val="bottom"/>
          </w:tcPr>
          <w:p w14:paraId="460A8D4E" w14:textId="77777777" w:rsidR="007B2D6A" w:rsidRPr="00651800" w:rsidRDefault="007B2D6A">
            <w:pPr>
              <w:pStyle w:val="08-Tabelageral"/>
            </w:pPr>
            <w:r>
              <w:t>7,436</w:t>
            </w:r>
          </w:p>
        </w:tc>
        <w:tc>
          <w:tcPr>
            <w:tcW w:w="2261" w:type="dxa"/>
            <w:shd w:val="clear" w:color="auto" w:fill="auto"/>
            <w:vAlign w:val="bottom"/>
          </w:tcPr>
          <w:p w14:paraId="1DDBB3F8" w14:textId="77777777" w:rsidR="007B2D6A" w:rsidRPr="00651800" w:rsidRDefault="007B2D6A" w:rsidP="007267D3">
            <w:pPr>
              <w:pStyle w:val="08-Tabelageral"/>
            </w:pPr>
            <w:r>
              <w:t>5,311,964</w:t>
            </w:r>
          </w:p>
        </w:tc>
      </w:tr>
      <w:tr w:rsidR="007B2D6A" w:rsidRPr="001D6BE8" w14:paraId="4DCA4849" w14:textId="77777777" w:rsidTr="00634CE4">
        <w:trPr>
          <w:trHeight w:val="238"/>
          <w:jc w:val="center"/>
        </w:trPr>
        <w:tc>
          <w:tcPr>
            <w:tcW w:w="4324" w:type="dxa"/>
            <w:shd w:val="clear" w:color="auto" w:fill="auto"/>
          </w:tcPr>
          <w:p w14:paraId="14360C67" w14:textId="77777777" w:rsidR="007B2D6A" w:rsidRPr="00C806B0" w:rsidRDefault="007B2D6A">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shd w:val="clear" w:color="auto" w:fill="auto"/>
            <w:vAlign w:val="bottom"/>
          </w:tcPr>
          <w:p w14:paraId="78869A50" w14:textId="77777777" w:rsidR="007B2D6A" w:rsidRPr="00651800" w:rsidRDefault="007B2D6A">
            <w:pPr>
              <w:pStyle w:val="08-Tabelageral"/>
            </w:pPr>
            <w:r>
              <w:t>--</w:t>
            </w:r>
          </w:p>
        </w:tc>
        <w:tc>
          <w:tcPr>
            <w:tcW w:w="1726" w:type="dxa"/>
            <w:shd w:val="clear" w:color="auto" w:fill="auto"/>
            <w:vAlign w:val="bottom"/>
          </w:tcPr>
          <w:p w14:paraId="5EDAF987" w14:textId="77777777" w:rsidR="007B2D6A" w:rsidRPr="00651800" w:rsidRDefault="007B2D6A">
            <w:pPr>
              <w:pStyle w:val="08-Tabelageral"/>
            </w:pPr>
            <w:r>
              <w:t>4,868,052</w:t>
            </w:r>
          </w:p>
        </w:tc>
        <w:tc>
          <w:tcPr>
            <w:tcW w:w="2261" w:type="dxa"/>
            <w:shd w:val="clear" w:color="auto" w:fill="auto"/>
            <w:vAlign w:val="bottom"/>
          </w:tcPr>
          <w:p w14:paraId="11A3A3A9" w14:textId="77777777" w:rsidR="007B2D6A" w:rsidRPr="00651800" w:rsidRDefault="007B2D6A" w:rsidP="007267D3">
            <w:pPr>
              <w:pStyle w:val="08-Tabelageral"/>
            </w:pPr>
            <w:r>
              <w:t>4,868,052</w:t>
            </w:r>
          </w:p>
        </w:tc>
      </w:tr>
      <w:tr w:rsidR="007B2D6A" w:rsidRPr="00CF3BC4" w14:paraId="631F5473" w14:textId="77777777" w:rsidTr="00634CE4">
        <w:trPr>
          <w:trHeight w:val="238"/>
          <w:jc w:val="center"/>
        </w:trPr>
        <w:tc>
          <w:tcPr>
            <w:tcW w:w="4324" w:type="dxa"/>
            <w:shd w:val="clear" w:color="auto" w:fill="auto"/>
          </w:tcPr>
          <w:p w14:paraId="6443F3B5" w14:textId="77777777" w:rsidR="007B2D6A" w:rsidRPr="00CF3BC4" w:rsidRDefault="007B2D6A">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shd w:val="clear" w:color="auto" w:fill="auto"/>
            <w:vAlign w:val="bottom"/>
          </w:tcPr>
          <w:p w14:paraId="1DE942C5" w14:textId="77777777" w:rsidR="007B2D6A" w:rsidRPr="00CF3BC4" w:rsidRDefault="007B2D6A">
            <w:pPr>
              <w:pStyle w:val="08-Tabelageral"/>
              <w:rPr>
                <w:b/>
              </w:rPr>
            </w:pPr>
            <w:r>
              <w:rPr>
                <w:b/>
              </w:rPr>
              <w:t>--</w:t>
            </w:r>
          </w:p>
        </w:tc>
        <w:tc>
          <w:tcPr>
            <w:tcW w:w="1726" w:type="dxa"/>
            <w:shd w:val="clear" w:color="auto" w:fill="auto"/>
            <w:vAlign w:val="bottom"/>
          </w:tcPr>
          <w:p w14:paraId="18B33525" w14:textId="77777777" w:rsidR="007B2D6A" w:rsidRPr="00CF3BC4" w:rsidRDefault="007B2D6A">
            <w:pPr>
              <w:pStyle w:val="08-Tabelageral"/>
              <w:rPr>
                <w:b/>
              </w:rPr>
            </w:pPr>
            <w:r>
              <w:rPr>
                <w:b/>
              </w:rPr>
              <w:t>(172,198)</w:t>
            </w:r>
          </w:p>
        </w:tc>
        <w:tc>
          <w:tcPr>
            <w:tcW w:w="2261" w:type="dxa"/>
            <w:shd w:val="clear" w:color="auto" w:fill="auto"/>
            <w:vAlign w:val="bottom"/>
          </w:tcPr>
          <w:p w14:paraId="2E0A7B0C" w14:textId="77777777" w:rsidR="007B2D6A" w:rsidRPr="00CF3BC4" w:rsidRDefault="007B2D6A" w:rsidP="007267D3">
            <w:pPr>
              <w:pStyle w:val="08-Tabelageral"/>
              <w:rPr>
                <w:b/>
              </w:rPr>
            </w:pPr>
            <w:r>
              <w:rPr>
                <w:b/>
              </w:rPr>
              <w:t>(172,198)</w:t>
            </w:r>
          </w:p>
        </w:tc>
      </w:tr>
      <w:tr w:rsidR="007B2D6A" w:rsidRPr="00CF3BC4" w14:paraId="2B9AAC28" w14:textId="77777777" w:rsidTr="00634CE4">
        <w:trPr>
          <w:trHeight w:val="238"/>
          <w:jc w:val="center"/>
        </w:trPr>
        <w:tc>
          <w:tcPr>
            <w:tcW w:w="4324" w:type="dxa"/>
            <w:shd w:val="clear" w:color="auto" w:fill="auto"/>
          </w:tcPr>
          <w:p w14:paraId="43F7987E" w14:textId="77777777" w:rsidR="007B2D6A" w:rsidRPr="00CF3BC4" w:rsidRDefault="007B2D6A">
            <w:pPr>
              <w:pStyle w:val="08-Tabelageral"/>
              <w:jc w:val="left"/>
              <w:rPr>
                <w:rFonts w:cs="Arial"/>
                <w:b/>
                <w:szCs w:val="14"/>
              </w:rPr>
            </w:pPr>
            <w:r w:rsidRPr="00DA72A7">
              <w:rPr>
                <w:rFonts w:cs="Arial"/>
                <w:b/>
                <w:szCs w:val="14"/>
              </w:rPr>
              <w:t>Gross Profit</w:t>
            </w:r>
          </w:p>
        </w:tc>
        <w:tc>
          <w:tcPr>
            <w:tcW w:w="1328" w:type="dxa"/>
            <w:shd w:val="clear" w:color="auto" w:fill="auto"/>
            <w:vAlign w:val="bottom"/>
          </w:tcPr>
          <w:p w14:paraId="0CA1F603" w14:textId="77777777" w:rsidR="007B2D6A" w:rsidRPr="00CF3BC4" w:rsidRDefault="007B2D6A">
            <w:pPr>
              <w:pStyle w:val="08-Tabelageral"/>
              <w:rPr>
                <w:b/>
              </w:rPr>
            </w:pPr>
            <w:r>
              <w:rPr>
                <w:b/>
              </w:rPr>
              <w:t>5,304,528</w:t>
            </w:r>
          </w:p>
        </w:tc>
        <w:tc>
          <w:tcPr>
            <w:tcW w:w="1726" w:type="dxa"/>
            <w:shd w:val="clear" w:color="auto" w:fill="auto"/>
            <w:vAlign w:val="bottom"/>
          </w:tcPr>
          <w:p w14:paraId="3C679B92" w14:textId="77777777" w:rsidR="007B2D6A" w:rsidRPr="00CF3BC4" w:rsidRDefault="007B2D6A">
            <w:pPr>
              <w:pStyle w:val="08-Tabelageral"/>
              <w:rPr>
                <w:b/>
              </w:rPr>
            </w:pPr>
            <w:r>
              <w:rPr>
                <w:b/>
              </w:rPr>
              <w:t>4,703,290</w:t>
            </w:r>
          </w:p>
        </w:tc>
        <w:tc>
          <w:tcPr>
            <w:tcW w:w="2261" w:type="dxa"/>
            <w:shd w:val="clear" w:color="auto" w:fill="auto"/>
            <w:vAlign w:val="bottom"/>
          </w:tcPr>
          <w:p w14:paraId="6DC7F8A4" w14:textId="77777777" w:rsidR="007B2D6A" w:rsidRPr="00CF3BC4" w:rsidRDefault="007B2D6A" w:rsidP="007267D3">
            <w:pPr>
              <w:pStyle w:val="08-Tabelageral"/>
              <w:rPr>
                <w:b/>
              </w:rPr>
            </w:pPr>
            <w:r>
              <w:rPr>
                <w:b/>
              </w:rPr>
              <w:t>10,007,818</w:t>
            </w:r>
          </w:p>
        </w:tc>
      </w:tr>
      <w:tr w:rsidR="007B2D6A" w:rsidRPr="00CF3BC4" w14:paraId="45A60B90" w14:textId="77777777" w:rsidTr="00634CE4">
        <w:trPr>
          <w:trHeight w:val="238"/>
          <w:jc w:val="center"/>
        </w:trPr>
        <w:tc>
          <w:tcPr>
            <w:tcW w:w="4324" w:type="dxa"/>
            <w:shd w:val="clear" w:color="auto" w:fill="auto"/>
          </w:tcPr>
          <w:p w14:paraId="67CB48AE" w14:textId="77777777" w:rsidR="007B2D6A" w:rsidRPr="00CF3BC4" w:rsidRDefault="007B2D6A">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shd w:val="clear" w:color="auto" w:fill="auto"/>
            <w:vAlign w:val="bottom"/>
          </w:tcPr>
          <w:p w14:paraId="7CB0265B" w14:textId="77777777" w:rsidR="007B2D6A" w:rsidRPr="00CF3BC4" w:rsidRDefault="007B2D6A">
            <w:pPr>
              <w:pStyle w:val="08-Tabelageral"/>
              <w:rPr>
                <w:b/>
              </w:rPr>
            </w:pPr>
            <w:r>
              <w:rPr>
                <w:b/>
              </w:rPr>
              <w:t>(37,524)</w:t>
            </w:r>
          </w:p>
        </w:tc>
        <w:tc>
          <w:tcPr>
            <w:tcW w:w="1726" w:type="dxa"/>
            <w:shd w:val="clear" w:color="auto" w:fill="auto"/>
            <w:vAlign w:val="bottom"/>
          </w:tcPr>
          <w:p w14:paraId="0CBC6786" w14:textId="77777777" w:rsidR="007B2D6A" w:rsidRPr="00CF3BC4" w:rsidRDefault="007B2D6A">
            <w:pPr>
              <w:pStyle w:val="08-Tabelageral"/>
              <w:rPr>
                <w:b/>
              </w:rPr>
            </w:pPr>
            <w:r>
              <w:rPr>
                <w:b/>
              </w:rPr>
              <w:t>(213,027)</w:t>
            </w:r>
          </w:p>
        </w:tc>
        <w:tc>
          <w:tcPr>
            <w:tcW w:w="2261" w:type="dxa"/>
            <w:shd w:val="clear" w:color="auto" w:fill="auto"/>
            <w:vAlign w:val="bottom"/>
          </w:tcPr>
          <w:p w14:paraId="32DC39E6" w14:textId="77777777" w:rsidR="007B2D6A" w:rsidRPr="00CF3BC4" w:rsidRDefault="007B2D6A" w:rsidP="007267D3">
            <w:pPr>
              <w:pStyle w:val="08-Tabelageral"/>
              <w:rPr>
                <w:b/>
              </w:rPr>
            </w:pPr>
            <w:r>
              <w:rPr>
                <w:b/>
              </w:rPr>
              <w:t>(250,551)</w:t>
            </w:r>
          </w:p>
        </w:tc>
      </w:tr>
      <w:tr w:rsidR="007B2D6A" w:rsidRPr="001D6BE8" w14:paraId="45F8150E" w14:textId="77777777" w:rsidTr="00634CE4">
        <w:trPr>
          <w:trHeight w:val="238"/>
          <w:jc w:val="center"/>
        </w:trPr>
        <w:tc>
          <w:tcPr>
            <w:tcW w:w="4324" w:type="dxa"/>
            <w:shd w:val="clear" w:color="auto" w:fill="auto"/>
          </w:tcPr>
          <w:p w14:paraId="0E167971" w14:textId="77777777" w:rsidR="007B2D6A" w:rsidRPr="00C806B0" w:rsidRDefault="007B2D6A">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shd w:val="clear" w:color="auto" w:fill="auto"/>
            <w:vAlign w:val="bottom"/>
          </w:tcPr>
          <w:p w14:paraId="0F3DADA2" w14:textId="77777777" w:rsidR="007B2D6A" w:rsidRPr="00651800" w:rsidRDefault="007B2D6A">
            <w:pPr>
              <w:pStyle w:val="08-Tabelageral"/>
            </w:pPr>
            <w:r>
              <w:t>(20,873)</w:t>
            </w:r>
          </w:p>
        </w:tc>
        <w:tc>
          <w:tcPr>
            <w:tcW w:w="1726" w:type="dxa"/>
            <w:shd w:val="clear" w:color="auto" w:fill="auto"/>
            <w:vAlign w:val="bottom"/>
          </w:tcPr>
          <w:p w14:paraId="4C3AE190" w14:textId="77777777" w:rsidR="007B2D6A" w:rsidRPr="00651800" w:rsidRDefault="007B2D6A">
            <w:pPr>
              <w:pStyle w:val="08-Tabelageral"/>
            </w:pPr>
            <w:r>
              <w:t>(68,792)</w:t>
            </w:r>
          </w:p>
        </w:tc>
        <w:tc>
          <w:tcPr>
            <w:tcW w:w="2261" w:type="dxa"/>
            <w:shd w:val="clear" w:color="auto" w:fill="auto"/>
            <w:vAlign w:val="bottom"/>
          </w:tcPr>
          <w:p w14:paraId="09EC369F" w14:textId="77777777" w:rsidR="007B2D6A" w:rsidRPr="00651800" w:rsidRDefault="007B2D6A" w:rsidP="007267D3">
            <w:pPr>
              <w:pStyle w:val="08-Tabelageral"/>
            </w:pPr>
            <w:r>
              <w:t>(89,665)</w:t>
            </w:r>
          </w:p>
        </w:tc>
      </w:tr>
      <w:tr w:rsidR="007B2D6A" w:rsidRPr="001D6BE8" w14:paraId="159CC6B0" w14:textId="77777777" w:rsidTr="00634CE4">
        <w:trPr>
          <w:trHeight w:val="238"/>
          <w:jc w:val="center"/>
        </w:trPr>
        <w:tc>
          <w:tcPr>
            <w:tcW w:w="4324" w:type="dxa"/>
            <w:shd w:val="clear" w:color="auto" w:fill="auto"/>
          </w:tcPr>
          <w:p w14:paraId="594C82C4" w14:textId="77777777" w:rsidR="007B2D6A" w:rsidRPr="00C806B0" w:rsidRDefault="007B2D6A" w:rsidP="00AB776D">
            <w:pPr>
              <w:pStyle w:val="08-Tabelageral"/>
              <w:ind w:left="-111" w:firstLine="224"/>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shd w:val="clear" w:color="auto" w:fill="auto"/>
            <w:vAlign w:val="bottom"/>
          </w:tcPr>
          <w:p w14:paraId="67417A62" w14:textId="77777777" w:rsidR="007B2D6A" w:rsidRPr="00651800" w:rsidRDefault="007B2D6A">
            <w:pPr>
              <w:pStyle w:val="08-Tabelageral"/>
            </w:pPr>
            <w:r>
              <w:t>(7,055)</w:t>
            </w:r>
          </w:p>
        </w:tc>
        <w:tc>
          <w:tcPr>
            <w:tcW w:w="1726" w:type="dxa"/>
            <w:shd w:val="clear" w:color="auto" w:fill="auto"/>
            <w:vAlign w:val="bottom"/>
          </w:tcPr>
          <w:p w14:paraId="5600F1FE" w14:textId="77777777" w:rsidR="007B2D6A" w:rsidRPr="00651800" w:rsidRDefault="007B2D6A">
            <w:pPr>
              <w:pStyle w:val="08-Tabelageral"/>
            </w:pPr>
            <w:r>
              <w:t>(100,443)</w:t>
            </w:r>
          </w:p>
        </w:tc>
        <w:tc>
          <w:tcPr>
            <w:tcW w:w="2261" w:type="dxa"/>
            <w:shd w:val="clear" w:color="auto" w:fill="auto"/>
            <w:vAlign w:val="bottom"/>
          </w:tcPr>
          <w:p w14:paraId="7D5088CB" w14:textId="77777777" w:rsidR="007B2D6A" w:rsidRPr="00651800" w:rsidRDefault="007B2D6A" w:rsidP="007267D3">
            <w:pPr>
              <w:pStyle w:val="08-Tabelageral"/>
            </w:pPr>
            <w:r>
              <w:t>(107,498)</w:t>
            </w:r>
          </w:p>
        </w:tc>
      </w:tr>
      <w:tr w:rsidR="007B2D6A" w:rsidRPr="001D6BE8" w14:paraId="4BEA0D44" w14:textId="77777777" w:rsidTr="00634CE4">
        <w:trPr>
          <w:trHeight w:val="238"/>
          <w:jc w:val="center"/>
        </w:trPr>
        <w:tc>
          <w:tcPr>
            <w:tcW w:w="4324" w:type="dxa"/>
            <w:shd w:val="clear" w:color="auto" w:fill="auto"/>
          </w:tcPr>
          <w:p w14:paraId="3A7F19FE" w14:textId="77777777" w:rsidR="007B2D6A" w:rsidRPr="00C806B0" w:rsidRDefault="007B2D6A">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shd w:val="clear" w:color="auto" w:fill="auto"/>
            <w:vAlign w:val="bottom"/>
          </w:tcPr>
          <w:p w14:paraId="3914E6C3" w14:textId="77777777" w:rsidR="007B2D6A" w:rsidRPr="00651800" w:rsidRDefault="007B2D6A">
            <w:pPr>
              <w:pStyle w:val="08-Tabelageral"/>
            </w:pPr>
            <w:r>
              <w:t>(10,814)</w:t>
            </w:r>
          </w:p>
        </w:tc>
        <w:tc>
          <w:tcPr>
            <w:tcW w:w="1726" w:type="dxa"/>
            <w:shd w:val="clear" w:color="auto" w:fill="auto"/>
            <w:vAlign w:val="bottom"/>
          </w:tcPr>
          <w:p w14:paraId="71E5973C" w14:textId="77777777" w:rsidR="007B2D6A" w:rsidRPr="00651800" w:rsidRDefault="007B2D6A">
            <w:pPr>
              <w:pStyle w:val="08-Tabelageral"/>
            </w:pPr>
            <w:r>
              <w:t>(23,559)</w:t>
            </w:r>
          </w:p>
        </w:tc>
        <w:tc>
          <w:tcPr>
            <w:tcW w:w="2261" w:type="dxa"/>
            <w:shd w:val="clear" w:color="auto" w:fill="auto"/>
            <w:vAlign w:val="bottom"/>
          </w:tcPr>
          <w:p w14:paraId="0FE7D52E" w14:textId="77777777" w:rsidR="007B2D6A" w:rsidRPr="00651800" w:rsidRDefault="007B2D6A" w:rsidP="007267D3">
            <w:pPr>
              <w:pStyle w:val="08-Tabelageral"/>
            </w:pPr>
            <w:r>
              <w:t>(34,373)</w:t>
            </w:r>
          </w:p>
        </w:tc>
      </w:tr>
      <w:tr w:rsidR="007B2D6A" w:rsidRPr="001D6BE8" w14:paraId="3FEE3B21" w14:textId="77777777" w:rsidTr="00634CE4">
        <w:trPr>
          <w:trHeight w:val="238"/>
          <w:jc w:val="center"/>
        </w:trPr>
        <w:tc>
          <w:tcPr>
            <w:tcW w:w="4324" w:type="dxa"/>
            <w:shd w:val="clear" w:color="auto" w:fill="auto"/>
          </w:tcPr>
          <w:p w14:paraId="6D0BD573" w14:textId="77777777" w:rsidR="007B2D6A" w:rsidRPr="00C806B0" w:rsidRDefault="007B2D6A">
            <w:pPr>
              <w:pStyle w:val="08-Tabelageral"/>
              <w:ind w:left="113"/>
              <w:jc w:val="left"/>
              <w:rPr>
                <w:rFonts w:cs="Arial"/>
                <w:b/>
                <w:szCs w:val="14"/>
              </w:rPr>
            </w:pPr>
            <w:r w:rsidRPr="00DA72A7">
              <w:rPr>
                <w:rFonts w:cs="Arial"/>
                <w:bCs/>
                <w:szCs w:val="14"/>
              </w:rPr>
              <w:t>Other</w:t>
            </w:r>
          </w:p>
        </w:tc>
        <w:tc>
          <w:tcPr>
            <w:tcW w:w="1328" w:type="dxa"/>
            <w:shd w:val="clear" w:color="auto" w:fill="auto"/>
            <w:vAlign w:val="bottom"/>
          </w:tcPr>
          <w:p w14:paraId="7A087E41" w14:textId="77777777" w:rsidR="007B2D6A" w:rsidRPr="00651800" w:rsidRDefault="007B2D6A">
            <w:pPr>
              <w:pStyle w:val="08-Tabelageral"/>
            </w:pPr>
            <w:r>
              <w:t>1,218</w:t>
            </w:r>
          </w:p>
        </w:tc>
        <w:tc>
          <w:tcPr>
            <w:tcW w:w="1726" w:type="dxa"/>
            <w:shd w:val="clear" w:color="auto" w:fill="auto"/>
            <w:vAlign w:val="bottom"/>
          </w:tcPr>
          <w:p w14:paraId="32E08FF5" w14:textId="77777777" w:rsidR="007B2D6A" w:rsidRPr="00651800" w:rsidRDefault="007B2D6A">
            <w:pPr>
              <w:pStyle w:val="08-Tabelageral"/>
            </w:pPr>
            <w:r>
              <w:t>(20,233)</w:t>
            </w:r>
          </w:p>
        </w:tc>
        <w:tc>
          <w:tcPr>
            <w:tcW w:w="2261" w:type="dxa"/>
            <w:shd w:val="clear" w:color="auto" w:fill="auto"/>
            <w:vAlign w:val="bottom"/>
          </w:tcPr>
          <w:p w14:paraId="6BFF65B8" w14:textId="77777777" w:rsidR="007B2D6A" w:rsidRPr="00651800" w:rsidRDefault="007B2D6A" w:rsidP="007267D3">
            <w:pPr>
              <w:pStyle w:val="08-Tabelageral"/>
            </w:pPr>
            <w:r>
              <w:t>(19,015)</w:t>
            </w:r>
          </w:p>
        </w:tc>
      </w:tr>
      <w:tr w:rsidR="007B2D6A" w:rsidRPr="00CF3BC4" w14:paraId="2B88AA40" w14:textId="77777777" w:rsidTr="00634CE4">
        <w:trPr>
          <w:trHeight w:val="238"/>
          <w:jc w:val="center"/>
        </w:trPr>
        <w:tc>
          <w:tcPr>
            <w:tcW w:w="4324" w:type="dxa"/>
            <w:shd w:val="clear" w:color="auto" w:fill="auto"/>
          </w:tcPr>
          <w:p w14:paraId="315F416C" w14:textId="77777777" w:rsidR="007B2D6A" w:rsidRPr="00755C95" w:rsidRDefault="007B2D6A">
            <w:pPr>
              <w:pStyle w:val="08-Tabelageral"/>
              <w:jc w:val="left"/>
              <w:rPr>
                <w:rFonts w:cs="Arial"/>
                <w:b/>
                <w:szCs w:val="14"/>
                <w:lang w:val="en-US"/>
              </w:rPr>
            </w:pPr>
            <w:r w:rsidRPr="00DA72A7">
              <w:rPr>
                <w:rFonts w:cs="Arial"/>
                <w:b/>
                <w:szCs w:val="14"/>
                <w:lang w:val="en-US"/>
              </w:rPr>
              <w:t>Income Before Financial Revenue and Expenses</w:t>
            </w:r>
          </w:p>
        </w:tc>
        <w:tc>
          <w:tcPr>
            <w:tcW w:w="1328" w:type="dxa"/>
            <w:shd w:val="clear" w:color="auto" w:fill="auto"/>
            <w:vAlign w:val="bottom"/>
          </w:tcPr>
          <w:p w14:paraId="2E5D9D4F" w14:textId="77777777" w:rsidR="007B2D6A" w:rsidRPr="00CF3BC4" w:rsidRDefault="007B2D6A">
            <w:pPr>
              <w:pStyle w:val="08-Tabelageral"/>
              <w:rPr>
                <w:b/>
              </w:rPr>
            </w:pPr>
            <w:r>
              <w:rPr>
                <w:b/>
              </w:rPr>
              <w:t>5,267,004</w:t>
            </w:r>
          </w:p>
        </w:tc>
        <w:tc>
          <w:tcPr>
            <w:tcW w:w="1726" w:type="dxa"/>
            <w:shd w:val="clear" w:color="auto" w:fill="auto"/>
            <w:vAlign w:val="bottom"/>
          </w:tcPr>
          <w:p w14:paraId="5868A7B4" w14:textId="77777777" w:rsidR="007B2D6A" w:rsidRPr="00CF3BC4" w:rsidRDefault="007B2D6A">
            <w:pPr>
              <w:pStyle w:val="08-Tabelageral"/>
              <w:rPr>
                <w:b/>
              </w:rPr>
            </w:pPr>
            <w:r>
              <w:rPr>
                <w:b/>
              </w:rPr>
              <w:t>4,490,263</w:t>
            </w:r>
          </w:p>
        </w:tc>
        <w:tc>
          <w:tcPr>
            <w:tcW w:w="2261" w:type="dxa"/>
            <w:shd w:val="clear" w:color="auto" w:fill="auto"/>
            <w:vAlign w:val="bottom"/>
          </w:tcPr>
          <w:p w14:paraId="41F69396" w14:textId="77777777" w:rsidR="007B2D6A" w:rsidRPr="00CF3BC4" w:rsidRDefault="007B2D6A" w:rsidP="007267D3">
            <w:pPr>
              <w:pStyle w:val="08-Tabelageral"/>
              <w:rPr>
                <w:b/>
              </w:rPr>
            </w:pPr>
            <w:r>
              <w:rPr>
                <w:b/>
              </w:rPr>
              <w:t>9,757,267</w:t>
            </w:r>
          </w:p>
        </w:tc>
      </w:tr>
      <w:tr w:rsidR="007B2D6A" w:rsidRPr="00CF3BC4" w14:paraId="0236381B" w14:textId="77777777" w:rsidTr="00634CE4">
        <w:trPr>
          <w:trHeight w:val="238"/>
          <w:jc w:val="center"/>
        </w:trPr>
        <w:tc>
          <w:tcPr>
            <w:tcW w:w="4324" w:type="dxa"/>
            <w:shd w:val="clear" w:color="auto" w:fill="auto"/>
          </w:tcPr>
          <w:p w14:paraId="34F81B0A" w14:textId="77777777" w:rsidR="007B2D6A" w:rsidRPr="00CF3BC4" w:rsidRDefault="007B2D6A">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shd w:val="clear" w:color="auto" w:fill="auto"/>
            <w:vAlign w:val="bottom"/>
          </w:tcPr>
          <w:p w14:paraId="2D32148B" w14:textId="77777777" w:rsidR="007B2D6A" w:rsidRPr="00CF3BC4" w:rsidRDefault="007B2D6A">
            <w:pPr>
              <w:pStyle w:val="08-Tabelageral"/>
              <w:rPr>
                <w:b/>
              </w:rPr>
            </w:pPr>
            <w:r>
              <w:rPr>
                <w:b/>
              </w:rPr>
              <w:t>174,370</w:t>
            </w:r>
          </w:p>
        </w:tc>
        <w:tc>
          <w:tcPr>
            <w:tcW w:w="1726" w:type="dxa"/>
            <w:shd w:val="clear" w:color="auto" w:fill="auto"/>
            <w:vAlign w:val="bottom"/>
          </w:tcPr>
          <w:p w14:paraId="754ADE07" w14:textId="77777777" w:rsidR="007B2D6A" w:rsidRPr="00CF3BC4" w:rsidRDefault="007B2D6A">
            <w:pPr>
              <w:pStyle w:val="08-Tabelageral"/>
              <w:rPr>
                <w:b/>
              </w:rPr>
            </w:pPr>
            <w:r>
              <w:rPr>
                <w:b/>
              </w:rPr>
              <w:t>479,352</w:t>
            </w:r>
          </w:p>
        </w:tc>
        <w:tc>
          <w:tcPr>
            <w:tcW w:w="2261" w:type="dxa"/>
            <w:shd w:val="clear" w:color="auto" w:fill="auto"/>
            <w:vAlign w:val="bottom"/>
          </w:tcPr>
          <w:p w14:paraId="5434A1F6" w14:textId="77777777" w:rsidR="007B2D6A" w:rsidRPr="00CF3BC4" w:rsidRDefault="007B2D6A" w:rsidP="007267D3">
            <w:pPr>
              <w:pStyle w:val="08-Tabelageral"/>
              <w:rPr>
                <w:b/>
              </w:rPr>
            </w:pPr>
            <w:r>
              <w:rPr>
                <w:b/>
              </w:rPr>
              <w:t>653,722</w:t>
            </w:r>
          </w:p>
        </w:tc>
      </w:tr>
      <w:tr w:rsidR="007B2D6A" w:rsidRPr="001D6BE8" w14:paraId="1C20A983" w14:textId="77777777" w:rsidTr="00634CE4">
        <w:trPr>
          <w:trHeight w:val="238"/>
          <w:jc w:val="center"/>
        </w:trPr>
        <w:tc>
          <w:tcPr>
            <w:tcW w:w="4324" w:type="dxa"/>
            <w:shd w:val="clear" w:color="auto" w:fill="auto"/>
          </w:tcPr>
          <w:p w14:paraId="75132033" w14:textId="77777777" w:rsidR="007B2D6A" w:rsidRPr="00C806B0" w:rsidRDefault="007B2D6A">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shd w:val="clear" w:color="auto" w:fill="auto"/>
            <w:vAlign w:val="bottom"/>
          </w:tcPr>
          <w:p w14:paraId="79C72DCD" w14:textId="77777777" w:rsidR="007B2D6A" w:rsidRPr="00651800" w:rsidRDefault="007B2D6A">
            <w:pPr>
              <w:pStyle w:val="08-Tabelageral"/>
            </w:pPr>
            <w:r>
              <w:t>190,827</w:t>
            </w:r>
          </w:p>
        </w:tc>
        <w:tc>
          <w:tcPr>
            <w:tcW w:w="1726" w:type="dxa"/>
            <w:shd w:val="clear" w:color="auto" w:fill="auto"/>
            <w:vAlign w:val="bottom"/>
          </w:tcPr>
          <w:p w14:paraId="69350A2E" w14:textId="77777777" w:rsidR="007B2D6A" w:rsidRPr="00651800" w:rsidRDefault="007B2D6A">
            <w:pPr>
              <w:pStyle w:val="08-Tabelageral"/>
            </w:pPr>
            <w:r>
              <w:t>505,535</w:t>
            </w:r>
          </w:p>
        </w:tc>
        <w:tc>
          <w:tcPr>
            <w:tcW w:w="2261" w:type="dxa"/>
            <w:shd w:val="clear" w:color="auto" w:fill="auto"/>
            <w:vAlign w:val="bottom"/>
          </w:tcPr>
          <w:p w14:paraId="32D47887" w14:textId="77777777" w:rsidR="007B2D6A" w:rsidRPr="00651800" w:rsidRDefault="007B2D6A" w:rsidP="007267D3">
            <w:pPr>
              <w:pStyle w:val="08-Tabelageral"/>
            </w:pPr>
            <w:r>
              <w:t>696,362</w:t>
            </w:r>
          </w:p>
        </w:tc>
      </w:tr>
      <w:tr w:rsidR="007B2D6A" w:rsidRPr="001D6BE8" w14:paraId="10343798" w14:textId="77777777" w:rsidTr="00634CE4">
        <w:trPr>
          <w:trHeight w:val="238"/>
          <w:jc w:val="center"/>
        </w:trPr>
        <w:tc>
          <w:tcPr>
            <w:tcW w:w="4324" w:type="dxa"/>
            <w:shd w:val="clear" w:color="auto" w:fill="auto"/>
          </w:tcPr>
          <w:p w14:paraId="2C13D198" w14:textId="77777777" w:rsidR="007B2D6A" w:rsidRPr="00C806B0" w:rsidRDefault="007B2D6A">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shd w:val="clear" w:color="auto" w:fill="auto"/>
            <w:vAlign w:val="bottom"/>
          </w:tcPr>
          <w:p w14:paraId="0F5C873E" w14:textId="77777777" w:rsidR="007B2D6A" w:rsidRPr="00651800" w:rsidRDefault="007B2D6A">
            <w:pPr>
              <w:pStyle w:val="08-Tabelageral"/>
            </w:pPr>
            <w:r>
              <w:t>(16,457)</w:t>
            </w:r>
          </w:p>
        </w:tc>
        <w:tc>
          <w:tcPr>
            <w:tcW w:w="1726" w:type="dxa"/>
            <w:shd w:val="clear" w:color="auto" w:fill="auto"/>
            <w:vAlign w:val="bottom"/>
          </w:tcPr>
          <w:p w14:paraId="6BBD12E3" w14:textId="77777777" w:rsidR="007B2D6A" w:rsidRPr="00651800" w:rsidRDefault="007B2D6A">
            <w:pPr>
              <w:pStyle w:val="08-Tabelageral"/>
            </w:pPr>
            <w:r>
              <w:t>(26,183)</w:t>
            </w:r>
          </w:p>
        </w:tc>
        <w:tc>
          <w:tcPr>
            <w:tcW w:w="2261" w:type="dxa"/>
            <w:shd w:val="clear" w:color="auto" w:fill="auto"/>
            <w:vAlign w:val="bottom"/>
          </w:tcPr>
          <w:p w14:paraId="4F8A859A" w14:textId="77777777" w:rsidR="007B2D6A" w:rsidRPr="00651800" w:rsidRDefault="007B2D6A" w:rsidP="007267D3">
            <w:pPr>
              <w:pStyle w:val="08-Tabelageral"/>
            </w:pPr>
            <w:r>
              <w:t>(42,640)</w:t>
            </w:r>
          </w:p>
        </w:tc>
      </w:tr>
      <w:tr w:rsidR="007B2D6A" w:rsidRPr="00CF3BC4" w14:paraId="4B1A9A11" w14:textId="77777777" w:rsidTr="00634CE4">
        <w:trPr>
          <w:trHeight w:val="238"/>
          <w:jc w:val="center"/>
        </w:trPr>
        <w:tc>
          <w:tcPr>
            <w:tcW w:w="4324" w:type="dxa"/>
            <w:shd w:val="clear" w:color="auto" w:fill="auto"/>
          </w:tcPr>
          <w:p w14:paraId="3E45831B" w14:textId="77777777" w:rsidR="007B2D6A" w:rsidRPr="00755C95" w:rsidRDefault="007B2D6A">
            <w:pPr>
              <w:pStyle w:val="08-Tabelageral"/>
              <w:jc w:val="left"/>
              <w:rPr>
                <w:rFonts w:cs="Arial"/>
                <w:b/>
                <w:szCs w:val="14"/>
                <w:lang w:val="en-US"/>
              </w:rPr>
            </w:pPr>
            <w:r w:rsidRPr="00DA72A7">
              <w:rPr>
                <w:rFonts w:cs="Arial"/>
                <w:b/>
                <w:szCs w:val="14"/>
                <w:lang w:val="en-US"/>
              </w:rPr>
              <w:t>Income Before Taxes and Equities</w:t>
            </w:r>
          </w:p>
        </w:tc>
        <w:tc>
          <w:tcPr>
            <w:tcW w:w="1328" w:type="dxa"/>
            <w:shd w:val="clear" w:color="auto" w:fill="auto"/>
            <w:vAlign w:val="bottom"/>
          </w:tcPr>
          <w:p w14:paraId="0BC38831" w14:textId="77777777" w:rsidR="007B2D6A" w:rsidRPr="00CF3BC4" w:rsidRDefault="007B2D6A">
            <w:pPr>
              <w:pStyle w:val="08-Tabelageral"/>
              <w:rPr>
                <w:b/>
              </w:rPr>
            </w:pPr>
            <w:r>
              <w:rPr>
                <w:b/>
              </w:rPr>
              <w:t>5,441,374</w:t>
            </w:r>
          </w:p>
        </w:tc>
        <w:tc>
          <w:tcPr>
            <w:tcW w:w="1726" w:type="dxa"/>
            <w:shd w:val="clear" w:color="auto" w:fill="auto"/>
            <w:vAlign w:val="bottom"/>
          </w:tcPr>
          <w:p w14:paraId="674C6A0F" w14:textId="77777777" w:rsidR="007B2D6A" w:rsidRPr="00CF3BC4" w:rsidRDefault="007B2D6A">
            <w:pPr>
              <w:pStyle w:val="08-Tabelageral"/>
              <w:rPr>
                <w:b/>
              </w:rPr>
            </w:pPr>
            <w:r>
              <w:rPr>
                <w:b/>
              </w:rPr>
              <w:t>4,969,615</w:t>
            </w:r>
          </w:p>
        </w:tc>
        <w:tc>
          <w:tcPr>
            <w:tcW w:w="2261" w:type="dxa"/>
            <w:shd w:val="clear" w:color="auto" w:fill="auto"/>
            <w:vAlign w:val="bottom"/>
          </w:tcPr>
          <w:p w14:paraId="798DAC5E" w14:textId="77777777" w:rsidR="007B2D6A" w:rsidRPr="00CF3BC4" w:rsidRDefault="007B2D6A" w:rsidP="007267D3">
            <w:pPr>
              <w:pStyle w:val="08-Tabelageral"/>
              <w:rPr>
                <w:b/>
              </w:rPr>
            </w:pPr>
            <w:r>
              <w:rPr>
                <w:b/>
              </w:rPr>
              <w:t>10,410,989</w:t>
            </w:r>
          </w:p>
        </w:tc>
      </w:tr>
      <w:tr w:rsidR="007B2D6A" w:rsidRPr="00C2766D" w14:paraId="6A02246D" w14:textId="77777777" w:rsidTr="00634CE4">
        <w:trPr>
          <w:trHeight w:val="238"/>
          <w:jc w:val="center"/>
        </w:trPr>
        <w:tc>
          <w:tcPr>
            <w:tcW w:w="4324" w:type="dxa"/>
            <w:shd w:val="clear" w:color="auto" w:fill="auto"/>
          </w:tcPr>
          <w:p w14:paraId="56956B32" w14:textId="77777777" w:rsidR="007B2D6A" w:rsidRPr="00755C95" w:rsidRDefault="007B2D6A">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shd w:val="clear" w:color="auto" w:fill="auto"/>
            <w:vAlign w:val="bottom"/>
          </w:tcPr>
          <w:p w14:paraId="3D3E4205" w14:textId="77777777" w:rsidR="007B2D6A" w:rsidRPr="00C2766D" w:rsidRDefault="007B2D6A">
            <w:pPr>
              <w:pStyle w:val="08-Tabelageral"/>
              <w:rPr>
                <w:bCs/>
              </w:rPr>
            </w:pPr>
            <w:r>
              <w:rPr>
                <w:bCs/>
              </w:rPr>
              <w:t>(46,160)</w:t>
            </w:r>
          </w:p>
        </w:tc>
        <w:tc>
          <w:tcPr>
            <w:tcW w:w="1726" w:type="dxa"/>
            <w:shd w:val="clear" w:color="auto" w:fill="auto"/>
            <w:vAlign w:val="bottom"/>
          </w:tcPr>
          <w:p w14:paraId="18778007" w14:textId="77777777" w:rsidR="007B2D6A" w:rsidRPr="00C2766D" w:rsidRDefault="007B2D6A">
            <w:pPr>
              <w:pStyle w:val="08-Tabelageral"/>
              <w:rPr>
                <w:bCs/>
              </w:rPr>
            </w:pPr>
            <w:r>
              <w:rPr>
                <w:bCs/>
              </w:rPr>
              <w:t>(1,661,476)</w:t>
            </w:r>
          </w:p>
        </w:tc>
        <w:tc>
          <w:tcPr>
            <w:tcW w:w="2261" w:type="dxa"/>
            <w:shd w:val="clear" w:color="auto" w:fill="auto"/>
            <w:vAlign w:val="bottom"/>
          </w:tcPr>
          <w:p w14:paraId="3B774796" w14:textId="77777777" w:rsidR="007B2D6A" w:rsidRPr="00C2766D" w:rsidRDefault="007B2D6A" w:rsidP="007267D3">
            <w:pPr>
              <w:pStyle w:val="08-Tabelageral"/>
              <w:rPr>
                <w:bCs/>
              </w:rPr>
            </w:pPr>
            <w:r>
              <w:rPr>
                <w:bCs/>
              </w:rPr>
              <w:t>(1,707,636)</w:t>
            </w:r>
          </w:p>
        </w:tc>
      </w:tr>
      <w:tr w:rsidR="007B2D6A" w:rsidRPr="00CF3BC4" w14:paraId="1A8E7219" w14:textId="77777777" w:rsidTr="00634CE4">
        <w:trPr>
          <w:trHeight w:val="238"/>
          <w:jc w:val="center"/>
        </w:trPr>
        <w:tc>
          <w:tcPr>
            <w:tcW w:w="4324" w:type="dxa"/>
            <w:tcBorders>
              <w:bottom w:val="single" w:sz="2" w:space="0" w:color="1F3864" w:themeColor="accent1" w:themeShade="80"/>
            </w:tcBorders>
            <w:shd w:val="clear" w:color="auto" w:fill="auto"/>
          </w:tcPr>
          <w:p w14:paraId="6F3C48C1" w14:textId="77777777" w:rsidR="007B2D6A" w:rsidRPr="00CF3BC4" w:rsidRDefault="007B2D6A">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shd w:val="clear" w:color="auto" w:fill="auto"/>
            <w:vAlign w:val="bottom"/>
          </w:tcPr>
          <w:p w14:paraId="76C0082D" w14:textId="77777777" w:rsidR="007B2D6A" w:rsidRPr="00CF3BC4" w:rsidRDefault="007B2D6A">
            <w:pPr>
              <w:pStyle w:val="08-Tabelageral"/>
              <w:rPr>
                <w:b/>
              </w:rPr>
            </w:pPr>
            <w:r>
              <w:rPr>
                <w:b/>
              </w:rPr>
              <w:t>5,395,214</w:t>
            </w:r>
          </w:p>
        </w:tc>
        <w:tc>
          <w:tcPr>
            <w:tcW w:w="1726" w:type="dxa"/>
            <w:tcBorders>
              <w:bottom w:val="single" w:sz="2" w:space="0" w:color="1F3864" w:themeColor="accent1" w:themeShade="80"/>
            </w:tcBorders>
            <w:shd w:val="clear" w:color="auto" w:fill="auto"/>
            <w:vAlign w:val="bottom"/>
          </w:tcPr>
          <w:p w14:paraId="40068E20" w14:textId="77777777" w:rsidR="007B2D6A" w:rsidRPr="00CF3BC4" w:rsidRDefault="007B2D6A">
            <w:pPr>
              <w:pStyle w:val="08-Tabelageral"/>
              <w:rPr>
                <w:b/>
              </w:rPr>
            </w:pPr>
            <w:r>
              <w:rPr>
                <w:b/>
              </w:rPr>
              <w:t>3,308,139</w:t>
            </w:r>
          </w:p>
        </w:tc>
        <w:tc>
          <w:tcPr>
            <w:tcW w:w="2261" w:type="dxa"/>
            <w:tcBorders>
              <w:bottom w:val="single" w:sz="2" w:space="0" w:color="1F3864" w:themeColor="accent1" w:themeShade="80"/>
            </w:tcBorders>
            <w:shd w:val="clear" w:color="auto" w:fill="auto"/>
            <w:vAlign w:val="bottom"/>
          </w:tcPr>
          <w:p w14:paraId="56872B21" w14:textId="77777777" w:rsidR="007B2D6A" w:rsidRPr="00CF3BC4" w:rsidRDefault="007B2D6A" w:rsidP="007267D3">
            <w:pPr>
              <w:pStyle w:val="08-Tabelageral"/>
              <w:rPr>
                <w:b/>
              </w:rPr>
            </w:pPr>
            <w:r>
              <w:rPr>
                <w:b/>
              </w:rPr>
              <w:t>8,703,353</w:t>
            </w:r>
          </w:p>
        </w:tc>
      </w:tr>
    </w:tbl>
    <w:p w14:paraId="65BBEC24" w14:textId="77777777" w:rsidR="007B2D6A" w:rsidRDefault="007B2D6A" w:rsidP="007B2D6A">
      <w:pPr>
        <w:spacing w:after="0"/>
        <w:rPr>
          <w:rFonts w:ascii="Arial" w:hAnsi="Arial" w:cs="Arial"/>
          <w:b/>
          <w:sz w:val="14"/>
          <w:lang w:eastAsia="pt-BR"/>
        </w:rPr>
      </w:pPr>
    </w:p>
    <w:p w14:paraId="3D22002E" w14:textId="77777777" w:rsidR="00D63927" w:rsidRDefault="00D63927" w:rsidP="007B2D6A">
      <w:pPr>
        <w:spacing w:after="0"/>
        <w:ind w:left="7788"/>
        <w:rPr>
          <w:rFonts w:ascii="Arial" w:hAnsi="Arial" w:cs="Arial"/>
          <w:b/>
          <w:sz w:val="14"/>
          <w:szCs w:val="18"/>
        </w:rPr>
      </w:pPr>
    </w:p>
    <w:p w14:paraId="62938796" w14:textId="77777777" w:rsidR="00B639B4" w:rsidRDefault="00B639B4">
      <w:pPr>
        <w:rPr>
          <w:rFonts w:ascii="Arial" w:hAnsi="Arial" w:cs="Arial"/>
          <w:b/>
          <w:sz w:val="14"/>
          <w:szCs w:val="18"/>
        </w:rPr>
      </w:pPr>
      <w:r>
        <w:rPr>
          <w:rFonts w:ascii="Arial" w:hAnsi="Arial" w:cs="Arial"/>
          <w:b/>
          <w:sz w:val="14"/>
          <w:szCs w:val="18"/>
        </w:rPr>
        <w:br w:type="page"/>
      </w:r>
    </w:p>
    <w:p w14:paraId="1C6AA553" w14:textId="4E2E5584" w:rsidR="007B2D6A" w:rsidRPr="008D3175" w:rsidRDefault="00B639B4" w:rsidP="00493427">
      <w:pPr>
        <w:spacing w:after="0"/>
        <w:ind w:left="7788" w:right="141"/>
        <w:rPr>
          <w:rFonts w:ascii="Arial" w:hAnsi="Arial" w:cs="Arial"/>
          <w:b/>
          <w:sz w:val="14"/>
          <w:szCs w:val="18"/>
        </w:rPr>
      </w:pPr>
      <w:r>
        <w:rPr>
          <w:rFonts w:ascii="Arial" w:hAnsi="Arial" w:cs="Arial"/>
          <w:b/>
          <w:sz w:val="14"/>
          <w:szCs w:val="18"/>
        </w:rPr>
        <w:lastRenderedPageBreak/>
        <w:t xml:space="preserve">               </w:t>
      </w:r>
      <w:r w:rsidR="007B2D6A">
        <w:rPr>
          <w:rFonts w:ascii="Arial" w:hAnsi="Arial" w:cs="Arial"/>
          <w:b/>
          <w:sz w:val="14"/>
          <w:szCs w:val="18"/>
        </w:rPr>
        <w:t xml:space="preserve">  </w:t>
      </w:r>
      <w:r w:rsidR="007B2D6A" w:rsidRPr="008D3175">
        <w:rPr>
          <w:rFonts w:ascii="Arial" w:hAnsi="Arial" w:cs="Arial"/>
          <w:b/>
          <w:sz w:val="14"/>
          <w:szCs w:val="18"/>
        </w:rPr>
        <w:t xml:space="preserve">R$ </w:t>
      </w:r>
      <w:proofErr w:type="spellStart"/>
      <w:r w:rsidR="000D5690">
        <w:rPr>
          <w:rFonts w:ascii="Arial" w:hAnsi="Arial" w:cs="Arial"/>
          <w:b/>
          <w:sz w:val="14"/>
          <w:szCs w:val="18"/>
        </w:rPr>
        <w:t>t</w:t>
      </w:r>
      <w:r w:rsidR="007B2D6A">
        <w:rPr>
          <w:rFonts w:ascii="Arial" w:hAnsi="Arial" w:cs="Arial"/>
          <w:b/>
          <w:sz w:val="14"/>
          <w:szCs w:val="18"/>
        </w:rPr>
        <w:t>housand</w:t>
      </w:r>
      <w:proofErr w:type="spellEnd"/>
    </w:p>
    <w:tbl>
      <w:tblPr>
        <w:tblW w:w="9109" w:type="dxa"/>
        <w:jc w:val="center"/>
        <w:tblLayout w:type="fixed"/>
        <w:tblLook w:val="04A0" w:firstRow="1" w:lastRow="0" w:firstColumn="1" w:lastColumn="0" w:noHBand="0" w:noVBand="1"/>
      </w:tblPr>
      <w:tblGrid>
        <w:gridCol w:w="4324"/>
        <w:gridCol w:w="1328"/>
        <w:gridCol w:w="1581"/>
        <w:gridCol w:w="1876"/>
      </w:tblGrid>
      <w:tr w:rsidR="007B2D6A" w:rsidRPr="001D6BE8" w14:paraId="7356D534" w14:textId="77777777" w:rsidTr="009D2DCC">
        <w:trPr>
          <w:trHeight w:hRule="exact" w:val="238"/>
          <w:jc w:val="center"/>
        </w:trPr>
        <w:tc>
          <w:tcPr>
            <w:tcW w:w="4324" w:type="dxa"/>
            <w:tcBorders>
              <w:top w:val="single" w:sz="4" w:space="0" w:color="auto"/>
            </w:tcBorders>
            <w:shd w:val="clear" w:color="auto" w:fill="auto"/>
          </w:tcPr>
          <w:p w14:paraId="42551D2C" w14:textId="77777777" w:rsidR="007B2D6A" w:rsidRPr="001D6BE8" w:rsidRDefault="007B2D6A">
            <w:pPr>
              <w:pStyle w:val="08-Tabelageral"/>
              <w:jc w:val="left"/>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564CE76A" w14:textId="77777777" w:rsidR="007B2D6A" w:rsidRPr="00A24524" w:rsidRDefault="007B2D6A">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5F56C3D1" w14:textId="77777777" w:rsidR="007B2D6A" w:rsidRPr="00A24524" w:rsidRDefault="007B2D6A">
            <w:pPr>
              <w:pStyle w:val="08-Tabelageral"/>
              <w:jc w:val="center"/>
              <w:rPr>
                <w:rFonts w:cs="Arial"/>
                <w:b/>
              </w:rPr>
            </w:pPr>
            <w:r>
              <w:rPr>
                <w:rFonts w:cs="Arial"/>
                <w:b/>
              </w:rPr>
              <w:t>2023</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1EA321DD" w14:textId="77777777" w:rsidR="007B2D6A" w:rsidRPr="00A24524" w:rsidRDefault="007B2D6A">
            <w:pPr>
              <w:pStyle w:val="08-Tabelageral"/>
              <w:jc w:val="center"/>
              <w:rPr>
                <w:rFonts w:cs="Arial"/>
                <w:b/>
              </w:rPr>
            </w:pPr>
          </w:p>
        </w:tc>
      </w:tr>
      <w:tr w:rsidR="007B2D6A" w:rsidRPr="001D6BE8" w14:paraId="42750D7C" w14:textId="77777777" w:rsidTr="009D2DCC">
        <w:trPr>
          <w:trHeight w:hRule="exact" w:val="436"/>
          <w:jc w:val="center"/>
        </w:trPr>
        <w:tc>
          <w:tcPr>
            <w:tcW w:w="4324" w:type="dxa"/>
            <w:tcBorders>
              <w:bottom w:val="single" w:sz="4" w:space="0" w:color="auto"/>
            </w:tcBorders>
            <w:shd w:val="clear" w:color="auto" w:fill="auto"/>
          </w:tcPr>
          <w:p w14:paraId="653E1563" w14:textId="77777777" w:rsidR="007B2D6A" w:rsidRPr="001D6BE8" w:rsidRDefault="007B2D6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19C76D94" w14:textId="77777777" w:rsidR="007B2D6A" w:rsidRPr="00A24524" w:rsidRDefault="007B2D6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12C38EDA" w14:textId="77777777" w:rsidR="007B2D6A" w:rsidRPr="00A24524" w:rsidRDefault="007B2D6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734BEAA1" w14:textId="77777777" w:rsidR="007B2D6A" w:rsidRPr="00A24524" w:rsidRDefault="007B2D6A">
            <w:pPr>
              <w:pStyle w:val="08-Tabelageral"/>
              <w:rPr>
                <w:rFonts w:cs="Arial"/>
                <w:b/>
              </w:rPr>
            </w:pPr>
            <w:r w:rsidRPr="00A24524">
              <w:rPr>
                <w:rFonts w:cs="Arial"/>
                <w:b/>
              </w:rPr>
              <w:t>Total</w:t>
            </w:r>
          </w:p>
        </w:tc>
      </w:tr>
      <w:tr w:rsidR="007B2D6A" w:rsidRPr="00CF3BC4" w14:paraId="658BF837" w14:textId="77777777" w:rsidTr="009D2DCC">
        <w:trPr>
          <w:trHeight w:val="238"/>
          <w:jc w:val="center"/>
        </w:trPr>
        <w:tc>
          <w:tcPr>
            <w:tcW w:w="4324" w:type="dxa"/>
            <w:tcBorders>
              <w:top w:val="single" w:sz="4" w:space="0" w:color="auto"/>
            </w:tcBorders>
            <w:shd w:val="clear" w:color="auto" w:fill="auto"/>
          </w:tcPr>
          <w:p w14:paraId="1F933693" w14:textId="77777777" w:rsidR="007B2D6A" w:rsidRPr="00CF3BC4" w:rsidRDefault="007B2D6A">
            <w:pPr>
              <w:pStyle w:val="08-Tabelageral"/>
              <w:jc w:val="left"/>
              <w:rPr>
                <w:rFonts w:cs="Arial"/>
                <w:b/>
                <w:szCs w:val="14"/>
              </w:rPr>
            </w:pPr>
            <w:proofErr w:type="spellStart"/>
            <w:r w:rsidRPr="0093755D">
              <w:rPr>
                <w:rFonts w:cs="Arial"/>
                <w:b/>
                <w:szCs w:val="14"/>
              </w:rPr>
              <w:t>Operating</w:t>
            </w:r>
            <w:proofErr w:type="spellEnd"/>
            <w:r w:rsidRPr="0093755D">
              <w:rPr>
                <w:rFonts w:cs="Arial"/>
                <w:b/>
                <w:szCs w:val="14"/>
              </w:rPr>
              <w:t xml:space="preserve"> Income</w:t>
            </w:r>
          </w:p>
        </w:tc>
        <w:tc>
          <w:tcPr>
            <w:tcW w:w="1328" w:type="dxa"/>
            <w:tcBorders>
              <w:top w:val="single" w:sz="2" w:space="0" w:color="1F3864" w:themeColor="accent1" w:themeShade="80"/>
            </w:tcBorders>
            <w:shd w:val="clear" w:color="auto" w:fill="auto"/>
            <w:vAlign w:val="bottom"/>
          </w:tcPr>
          <w:p w14:paraId="6DA167C9" w14:textId="77777777" w:rsidR="007B2D6A" w:rsidRPr="00CF3BC4" w:rsidRDefault="007B2D6A">
            <w:pPr>
              <w:pStyle w:val="08-Tabelageral"/>
              <w:rPr>
                <w:b/>
              </w:rPr>
            </w:pPr>
            <w:r>
              <w:rPr>
                <w:b/>
              </w:rPr>
              <w:t>4,887,138</w:t>
            </w:r>
          </w:p>
        </w:tc>
        <w:tc>
          <w:tcPr>
            <w:tcW w:w="1581" w:type="dxa"/>
            <w:tcBorders>
              <w:top w:val="single" w:sz="2" w:space="0" w:color="1F3864" w:themeColor="accent1" w:themeShade="80"/>
            </w:tcBorders>
            <w:shd w:val="clear" w:color="auto" w:fill="auto"/>
            <w:vAlign w:val="bottom"/>
          </w:tcPr>
          <w:p w14:paraId="641787AC" w14:textId="77777777" w:rsidR="007B2D6A" w:rsidRPr="00CF3BC4" w:rsidRDefault="007B2D6A">
            <w:pPr>
              <w:pStyle w:val="08-Tabelageral"/>
              <w:rPr>
                <w:b/>
              </w:rPr>
            </w:pPr>
            <w:r>
              <w:rPr>
                <w:b/>
              </w:rPr>
              <w:t>4,427,722</w:t>
            </w:r>
          </w:p>
        </w:tc>
        <w:tc>
          <w:tcPr>
            <w:tcW w:w="1876" w:type="dxa"/>
            <w:tcBorders>
              <w:top w:val="single" w:sz="2" w:space="0" w:color="1F3864" w:themeColor="accent1" w:themeShade="80"/>
            </w:tcBorders>
            <w:shd w:val="clear" w:color="auto" w:fill="auto"/>
            <w:vAlign w:val="bottom"/>
          </w:tcPr>
          <w:p w14:paraId="75BCC2D9" w14:textId="77777777" w:rsidR="007B2D6A" w:rsidRPr="00CF3BC4" w:rsidRDefault="007B2D6A">
            <w:pPr>
              <w:pStyle w:val="08-Tabelageral"/>
              <w:rPr>
                <w:b/>
              </w:rPr>
            </w:pPr>
            <w:r>
              <w:rPr>
                <w:b/>
              </w:rPr>
              <w:t>9,314,860</w:t>
            </w:r>
          </w:p>
        </w:tc>
      </w:tr>
      <w:tr w:rsidR="007B2D6A" w:rsidRPr="001D6BE8" w14:paraId="1405E3DB" w14:textId="77777777" w:rsidTr="009D2DCC">
        <w:trPr>
          <w:trHeight w:val="238"/>
          <w:jc w:val="center"/>
        </w:trPr>
        <w:tc>
          <w:tcPr>
            <w:tcW w:w="4324" w:type="dxa"/>
            <w:shd w:val="clear" w:color="auto" w:fill="auto"/>
          </w:tcPr>
          <w:p w14:paraId="45BE39B6" w14:textId="77777777" w:rsidR="007B2D6A" w:rsidRPr="00C806B0" w:rsidRDefault="007B2D6A">
            <w:pPr>
              <w:pStyle w:val="08-Tabelageral"/>
              <w:ind w:left="113"/>
              <w:jc w:val="left"/>
              <w:rPr>
                <w:rFonts w:cs="Arial"/>
                <w:b/>
                <w:szCs w:val="14"/>
              </w:rPr>
            </w:pPr>
            <w:proofErr w:type="spellStart"/>
            <w:r w:rsidRPr="0093755D">
              <w:rPr>
                <w:rFonts w:cs="Arial"/>
                <w:szCs w:val="14"/>
              </w:rPr>
              <w:t>Equity</w:t>
            </w:r>
            <w:proofErr w:type="spellEnd"/>
            <w:r w:rsidRPr="0093755D">
              <w:rPr>
                <w:rFonts w:cs="Arial"/>
                <w:szCs w:val="14"/>
              </w:rPr>
              <w:t xml:space="preserve"> income</w:t>
            </w:r>
          </w:p>
        </w:tc>
        <w:tc>
          <w:tcPr>
            <w:tcW w:w="1328" w:type="dxa"/>
            <w:shd w:val="clear" w:color="auto" w:fill="auto"/>
            <w:vAlign w:val="bottom"/>
          </w:tcPr>
          <w:p w14:paraId="2DB8CBE4" w14:textId="77777777" w:rsidR="007B2D6A" w:rsidRPr="00651800" w:rsidRDefault="007B2D6A">
            <w:pPr>
              <w:pStyle w:val="08-Tabelageral"/>
            </w:pPr>
            <w:r>
              <w:t>4,887,138</w:t>
            </w:r>
          </w:p>
        </w:tc>
        <w:tc>
          <w:tcPr>
            <w:tcW w:w="1581" w:type="dxa"/>
            <w:shd w:val="clear" w:color="auto" w:fill="auto"/>
            <w:vAlign w:val="bottom"/>
          </w:tcPr>
          <w:p w14:paraId="2572BC53" w14:textId="77777777" w:rsidR="007B2D6A" w:rsidRPr="00651800" w:rsidRDefault="007B2D6A">
            <w:pPr>
              <w:pStyle w:val="08-Tabelageral"/>
            </w:pPr>
            <w:r>
              <w:t>3,320</w:t>
            </w:r>
          </w:p>
        </w:tc>
        <w:tc>
          <w:tcPr>
            <w:tcW w:w="1876" w:type="dxa"/>
            <w:shd w:val="clear" w:color="auto" w:fill="auto"/>
            <w:vAlign w:val="bottom"/>
          </w:tcPr>
          <w:p w14:paraId="3DAF9578" w14:textId="77777777" w:rsidR="007B2D6A" w:rsidRPr="00651800" w:rsidRDefault="007B2D6A">
            <w:pPr>
              <w:pStyle w:val="08-Tabelageral"/>
            </w:pPr>
            <w:r>
              <w:t>4,890,458</w:t>
            </w:r>
          </w:p>
        </w:tc>
      </w:tr>
      <w:tr w:rsidR="007B2D6A" w:rsidRPr="001D6BE8" w14:paraId="533BCCF8" w14:textId="77777777" w:rsidTr="009D2DCC">
        <w:trPr>
          <w:trHeight w:val="238"/>
          <w:jc w:val="center"/>
        </w:trPr>
        <w:tc>
          <w:tcPr>
            <w:tcW w:w="4324" w:type="dxa"/>
            <w:shd w:val="clear" w:color="auto" w:fill="auto"/>
          </w:tcPr>
          <w:p w14:paraId="4102F212" w14:textId="77777777" w:rsidR="007B2D6A" w:rsidRPr="00C806B0" w:rsidRDefault="007B2D6A">
            <w:pPr>
              <w:pStyle w:val="08-Tabelageral"/>
              <w:ind w:left="113"/>
              <w:jc w:val="left"/>
              <w:rPr>
                <w:rFonts w:cs="Arial"/>
                <w:b/>
                <w:szCs w:val="14"/>
              </w:rPr>
            </w:pPr>
            <w:proofErr w:type="spellStart"/>
            <w:r w:rsidRPr="0093755D">
              <w:rPr>
                <w:rFonts w:cs="Arial"/>
                <w:szCs w:val="14"/>
              </w:rPr>
              <w:t>Commissions</w:t>
            </w:r>
            <w:proofErr w:type="spellEnd"/>
            <w:r w:rsidRPr="0093755D">
              <w:rPr>
                <w:rFonts w:cs="Arial"/>
                <w:szCs w:val="14"/>
              </w:rPr>
              <w:t xml:space="preserve"> income</w:t>
            </w:r>
          </w:p>
        </w:tc>
        <w:tc>
          <w:tcPr>
            <w:tcW w:w="1328" w:type="dxa"/>
            <w:shd w:val="clear" w:color="auto" w:fill="auto"/>
            <w:vAlign w:val="bottom"/>
          </w:tcPr>
          <w:p w14:paraId="290D6825" w14:textId="77777777" w:rsidR="007B2D6A" w:rsidRPr="00651800" w:rsidRDefault="007B2D6A">
            <w:pPr>
              <w:pStyle w:val="08-Tabelageral"/>
            </w:pPr>
            <w:r>
              <w:t>--</w:t>
            </w:r>
          </w:p>
        </w:tc>
        <w:tc>
          <w:tcPr>
            <w:tcW w:w="1581" w:type="dxa"/>
            <w:shd w:val="clear" w:color="auto" w:fill="auto"/>
            <w:vAlign w:val="bottom"/>
          </w:tcPr>
          <w:p w14:paraId="0261117C" w14:textId="77777777" w:rsidR="007B2D6A" w:rsidRPr="00651800" w:rsidRDefault="007B2D6A">
            <w:pPr>
              <w:pStyle w:val="08-Tabelageral"/>
            </w:pPr>
            <w:r>
              <w:t>4,424,402</w:t>
            </w:r>
          </w:p>
        </w:tc>
        <w:tc>
          <w:tcPr>
            <w:tcW w:w="1876" w:type="dxa"/>
            <w:shd w:val="clear" w:color="auto" w:fill="auto"/>
            <w:vAlign w:val="bottom"/>
          </w:tcPr>
          <w:p w14:paraId="60E884CE" w14:textId="77777777" w:rsidR="007B2D6A" w:rsidRPr="00651800" w:rsidRDefault="007B2D6A">
            <w:pPr>
              <w:pStyle w:val="08-Tabelageral"/>
            </w:pPr>
            <w:r>
              <w:t>4,424,402</w:t>
            </w:r>
          </w:p>
        </w:tc>
      </w:tr>
      <w:tr w:rsidR="007B2D6A" w:rsidRPr="00CF3BC4" w14:paraId="600CC81F" w14:textId="77777777" w:rsidTr="009D2DCC">
        <w:trPr>
          <w:trHeight w:val="238"/>
          <w:jc w:val="center"/>
        </w:trPr>
        <w:tc>
          <w:tcPr>
            <w:tcW w:w="4324" w:type="dxa"/>
            <w:shd w:val="clear" w:color="auto" w:fill="auto"/>
          </w:tcPr>
          <w:p w14:paraId="383339C9" w14:textId="77777777" w:rsidR="007B2D6A" w:rsidRPr="00CF3BC4" w:rsidRDefault="007B2D6A">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328" w:type="dxa"/>
            <w:shd w:val="clear" w:color="auto" w:fill="auto"/>
            <w:vAlign w:val="bottom"/>
          </w:tcPr>
          <w:p w14:paraId="203C98E2" w14:textId="77777777" w:rsidR="007B2D6A" w:rsidRPr="00CF3BC4" w:rsidRDefault="007B2D6A">
            <w:pPr>
              <w:pStyle w:val="08-Tabelageral"/>
              <w:rPr>
                <w:b/>
              </w:rPr>
            </w:pPr>
            <w:r>
              <w:rPr>
                <w:b/>
              </w:rPr>
              <w:t>--</w:t>
            </w:r>
          </w:p>
        </w:tc>
        <w:tc>
          <w:tcPr>
            <w:tcW w:w="1581" w:type="dxa"/>
            <w:shd w:val="clear" w:color="auto" w:fill="auto"/>
            <w:vAlign w:val="bottom"/>
          </w:tcPr>
          <w:p w14:paraId="4FC1C6CE" w14:textId="77777777" w:rsidR="007B2D6A" w:rsidRPr="00CF3BC4" w:rsidRDefault="007B2D6A">
            <w:pPr>
              <w:pStyle w:val="08-Tabelageral"/>
              <w:rPr>
                <w:b/>
              </w:rPr>
            </w:pPr>
            <w:r>
              <w:rPr>
                <w:b/>
              </w:rPr>
              <w:t>(188,792)</w:t>
            </w:r>
          </w:p>
        </w:tc>
        <w:tc>
          <w:tcPr>
            <w:tcW w:w="1876" w:type="dxa"/>
            <w:shd w:val="clear" w:color="auto" w:fill="auto"/>
            <w:vAlign w:val="bottom"/>
          </w:tcPr>
          <w:p w14:paraId="57F4A939" w14:textId="77777777" w:rsidR="007B2D6A" w:rsidRPr="00CF3BC4" w:rsidRDefault="007B2D6A">
            <w:pPr>
              <w:pStyle w:val="08-Tabelageral"/>
              <w:rPr>
                <w:b/>
              </w:rPr>
            </w:pPr>
            <w:r>
              <w:rPr>
                <w:b/>
              </w:rPr>
              <w:t>(188,792)</w:t>
            </w:r>
          </w:p>
        </w:tc>
      </w:tr>
      <w:tr w:rsidR="007B2D6A" w:rsidRPr="00CF3BC4" w14:paraId="56C66464" w14:textId="77777777" w:rsidTr="009D2DCC">
        <w:trPr>
          <w:trHeight w:val="238"/>
          <w:jc w:val="center"/>
        </w:trPr>
        <w:tc>
          <w:tcPr>
            <w:tcW w:w="4324" w:type="dxa"/>
            <w:shd w:val="clear" w:color="auto" w:fill="auto"/>
          </w:tcPr>
          <w:p w14:paraId="656633FD" w14:textId="77777777" w:rsidR="007B2D6A" w:rsidRPr="00CF3BC4" w:rsidRDefault="007B2D6A">
            <w:pPr>
              <w:pStyle w:val="08-Tabelageral"/>
              <w:jc w:val="left"/>
              <w:rPr>
                <w:rFonts w:cs="Arial"/>
                <w:b/>
                <w:szCs w:val="14"/>
              </w:rPr>
            </w:pPr>
            <w:r w:rsidRPr="0093755D">
              <w:rPr>
                <w:rFonts w:cs="Arial"/>
                <w:b/>
                <w:szCs w:val="14"/>
              </w:rPr>
              <w:t>Gross Profit</w:t>
            </w:r>
          </w:p>
        </w:tc>
        <w:tc>
          <w:tcPr>
            <w:tcW w:w="1328" w:type="dxa"/>
            <w:shd w:val="clear" w:color="auto" w:fill="auto"/>
            <w:vAlign w:val="bottom"/>
          </w:tcPr>
          <w:p w14:paraId="1CE54BE0" w14:textId="77777777" w:rsidR="007B2D6A" w:rsidRPr="00CF3BC4" w:rsidRDefault="007B2D6A">
            <w:pPr>
              <w:pStyle w:val="08-Tabelageral"/>
              <w:rPr>
                <w:b/>
              </w:rPr>
            </w:pPr>
            <w:r>
              <w:rPr>
                <w:b/>
              </w:rPr>
              <w:t>4,887,138</w:t>
            </w:r>
          </w:p>
        </w:tc>
        <w:tc>
          <w:tcPr>
            <w:tcW w:w="1581" w:type="dxa"/>
            <w:shd w:val="clear" w:color="auto" w:fill="auto"/>
            <w:vAlign w:val="bottom"/>
          </w:tcPr>
          <w:p w14:paraId="239C977C" w14:textId="77777777" w:rsidR="007B2D6A" w:rsidRPr="00CF3BC4" w:rsidRDefault="007B2D6A">
            <w:pPr>
              <w:pStyle w:val="08-Tabelageral"/>
              <w:rPr>
                <w:b/>
              </w:rPr>
            </w:pPr>
            <w:r>
              <w:rPr>
                <w:b/>
              </w:rPr>
              <w:t>4,238,930</w:t>
            </w:r>
          </w:p>
        </w:tc>
        <w:tc>
          <w:tcPr>
            <w:tcW w:w="1876" w:type="dxa"/>
            <w:shd w:val="clear" w:color="auto" w:fill="auto"/>
            <w:vAlign w:val="bottom"/>
          </w:tcPr>
          <w:p w14:paraId="496C31FC" w14:textId="77777777" w:rsidR="007B2D6A" w:rsidRPr="00CF3BC4" w:rsidRDefault="007B2D6A">
            <w:pPr>
              <w:pStyle w:val="08-Tabelageral"/>
              <w:rPr>
                <w:b/>
              </w:rPr>
            </w:pPr>
            <w:r>
              <w:rPr>
                <w:b/>
              </w:rPr>
              <w:t>9,126,068</w:t>
            </w:r>
          </w:p>
        </w:tc>
      </w:tr>
      <w:tr w:rsidR="007B2D6A" w:rsidRPr="00CF3BC4" w14:paraId="3B823E24" w14:textId="77777777" w:rsidTr="009D2DCC">
        <w:trPr>
          <w:trHeight w:val="238"/>
          <w:jc w:val="center"/>
        </w:trPr>
        <w:tc>
          <w:tcPr>
            <w:tcW w:w="4324" w:type="dxa"/>
            <w:shd w:val="clear" w:color="auto" w:fill="auto"/>
          </w:tcPr>
          <w:p w14:paraId="140633FC" w14:textId="77777777" w:rsidR="007B2D6A" w:rsidRPr="00CF3BC4" w:rsidRDefault="007B2D6A">
            <w:pPr>
              <w:pStyle w:val="08-Tabelageral"/>
              <w:jc w:val="left"/>
              <w:rPr>
                <w:rFonts w:cs="Arial"/>
                <w:b/>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328" w:type="dxa"/>
            <w:shd w:val="clear" w:color="auto" w:fill="auto"/>
            <w:vAlign w:val="bottom"/>
          </w:tcPr>
          <w:p w14:paraId="4D05145A" w14:textId="77777777" w:rsidR="007B2D6A" w:rsidRPr="00CF3BC4" w:rsidRDefault="007B2D6A">
            <w:pPr>
              <w:pStyle w:val="08-Tabelageral"/>
              <w:rPr>
                <w:b/>
              </w:rPr>
            </w:pPr>
            <w:r>
              <w:rPr>
                <w:b/>
              </w:rPr>
              <w:t>(34,366)</w:t>
            </w:r>
          </w:p>
        </w:tc>
        <w:tc>
          <w:tcPr>
            <w:tcW w:w="1581" w:type="dxa"/>
            <w:shd w:val="clear" w:color="auto" w:fill="auto"/>
            <w:vAlign w:val="bottom"/>
          </w:tcPr>
          <w:p w14:paraId="56EA9750" w14:textId="77777777" w:rsidR="007B2D6A" w:rsidRPr="00CF3BC4" w:rsidRDefault="007B2D6A">
            <w:pPr>
              <w:pStyle w:val="08-Tabelageral"/>
              <w:rPr>
                <w:b/>
              </w:rPr>
            </w:pPr>
            <w:r>
              <w:rPr>
                <w:b/>
              </w:rPr>
              <w:t>(185,934)</w:t>
            </w:r>
          </w:p>
        </w:tc>
        <w:tc>
          <w:tcPr>
            <w:tcW w:w="1876" w:type="dxa"/>
            <w:shd w:val="clear" w:color="auto" w:fill="auto"/>
            <w:vAlign w:val="bottom"/>
          </w:tcPr>
          <w:p w14:paraId="00BBB102" w14:textId="77777777" w:rsidR="007B2D6A" w:rsidRPr="00CF3BC4" w:rsidRDefault="007B2D6A">
            <w:pPr>
              <w:pStyle w:val="08-Tabelageral"/>
              <w:rPr>
                <w:b/>
              </w:rPr>
            </w:pPr>
            <w:r>
              <w:rPr>
                <w:b/>
              </w:rPr>
              <w:t>(220,301)</w:t>
            </w:r>
          </w:p>
        </w:tc>
      </w:tr>
      <w:tr w:rsidR="007B2D6A" w:rsidRPr="001D6BE8" w14:paraId="735904F9" w14:textId="77777777" w:rsidTr="009D2DCC">
        <w:trPr>
          <w:trHeight w:val="238"/>
          <w:jc w:val="center"/>
        </w:trPr>
        <w:tc>
          <w:tcPr>
            <w:tcW w:w="4324" w:type="dxa"/>
            <w:shd w:val="clear" w:color="auto" w:fill="auto"/>
          </w:tcPr>
          <w:p w14:paraId="0E96CF90" w14:textId="77777777" w:rsidR="007B2D6A" w:rsidRPr="00C806B0" w:rsidRDefault="007B2D6A">
            <w:pPr>
              <w:pStyle w:val="08-Tabelageral"/>
              <w:ind w:left="113"/>
              <w:jc w:val="left"/>
              <w:rPr>
                <w:rFonts w:cs="Arial"/>
                <w:b/>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shd w:val="clear" w:color="auto" w:fill="auto"/>
            <w:vAlign w:val="bottom"/>
          </w:tcPr>
          <w:p w14:paraId="4AA57624" w14:textId="77777777" w:rsidR="007B2D6A" w:rsidRPr="00651800" w:rsidRDefault="007B2D6A">
            <w:pPr>
              <w:pStyle w:val="08-Tabelageral"/>
            </w:pPr>
            <w:r>
              <w:t>(22,370)</w:t>
            </w:r>
          </w:p>
        </w:tc>
        <w:tc>
          <w:tcPr>
            <w:tcW w:w="1581" w:type="dxa"/>
            <w:shd w:val="clear" w:color="auto" w:fill="auto"/>
            <w:vAlign w:val="bottom"/>
          </w:tcPr>
          <w:p w14:paraId="48B23113" w14:textId="77777777" w:rsidR="007B2D6A" w:rsidRPr="00651800" w:rsidRDefault="007B2D6A">
            <w:pPr>
              <w:pStyle w:val="08-Tabelageral"/>
            </w:pPr>
            <w:r>
              <w:t>(63,751)</w:t>
            </w:r>
          </w:p>
        </w:tc>
        <w:tc>
          <w:tcPr>
            <w:tcW w:w="1876" w:type="dxa"/>
            <w:shd w:val="clear" w:color="auto" w:fill="auto"/>
            <w:vAlign w:val="bottom"/>
          </w:tcPr>
          <w:p w14:paraId="77117240" w14:textId="77777777" w:rsidR="007B2D6A" w:rsidRPr="00651800" w:rsidRDefault="007B2D6A">
            <w:pPr>
              <w:pStyle w:val="08-Tabelageral"/>
            </w:pPr>
            <w:r>
              <w:t>(86,122)</w:t>
            </w:r>
          </w:p>
        </w:tc>
      </w:tr>
      <w:tr w:rsidR="007B2D6A" w:rsidRPr="001D6BE8" w14:paraId="4FFFC4F0" w14:textId="77777777" w:rsidTr="009D2DCC">
        <w:trPr>
          <w:trHeight w:val="238"/>
          <w:jc w:val="center"/>
        </w:trPr>
        <w:tc>
          <w:tcPr>
            <w:tcW w:w="4324" w:type="dxa"/>
            <w:shd w:val="clear" w:color="auto" w:fill="auto"/>
          </w:tcPr>
          <w:p w14:paraId="3920AAE2" w14:textId="77777777" w:rsidR="007B2D6A" w:rsidRPr="00C806B0" w:rsidRDefault="007B2D6A">
            <w:pPr>
              <w:pStyle w:val="08-Tabelageral"/>
              <w:ind w:left="113"/>
              <w:jc w:val="left"/>
              <w:rPr>
                <w:rFonts w:cs="Arial"/>
                <w:b/>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shd w:val="clear" w:color="auto" w:fill="auto"/>
            <w:vAlign w:val="bottom"/>
          </w:tcPr>
          <w:p w14:paraId="354885A1" w14:textId="77777777" w:rsidR="007B2D6A" w:rsidRPr="00651800" w:rsidRDefault="007B2D6A">
            <w:pPr>
              <w:pStyle w:val="08-Tabelageral"/>
            </w:pPr>
            <w:r>
              <w:t>(5,923)</w:t>
            </w:r>
          </w:p>
        </w:tc>
        <w:tc>
          <w:tcPr>
            <w:tcW w:w="1581" w:type="dxa"/>
            <w:shd w:val="clear" w:color="auto" w:fill="auto"/>
            <w:vAlign w:val="bottom"/>
          </w:tcPr>
          <w:p w14:paraId="3A3B500C" w14:textId="77777777" w:rsidR="007B2D6A" w:rsidRPr="00651800" w:rsidRDefault="007B2D6A">
            <w:pPr>
              <w:pStyle w:val="08-Tabelageral"/>
            </w:pPr>
            <w:r>
              <w:t>(82,631)</w:t>
            </w:r>
          </w:p>
        </w:tc>
        <w:tc>
          <w:tcPr>
            <w:tcW w:w="1876" w:type="dxa"/>
            <w:shd w:val="clear" w:color="auto" w:fill="auto"/>
            <w:vAlign w:val="bottom"/>
          </w:tcPr>
          <w:p w14:paraId="107ABF0B" w14:textId="77777777" w:rsidR="007B2D6A" w:rsidRPr="00651800" w:rsidRDefault="007B2D6A">
            <w:pPr>
              <w:pStyle w:val="08-Tabelageral"/>
            </w:pPr>
            <w:r>
              <w:t>(88,554)</w:t>
            </w:r>
          </w:p>
        </w:tc>
      </w:tr>
      <w:tr w:rsidR="007B2D6A" w:rsidRPr="001D6BE8" w14:paraId="03E7D575" w14:textId="77777777" w:rsidTr="009D2DCC">
        <w:trPr>
          <w:trHeight w:val="238"/>
          <w:jc w:val="center"/>
        </w:trPr>
        <w:tc>
          <w:tcPr>
            <w:tcW w:w="4324" w:type="dxa"/>
            <w:shd w:val="clear" w:color="auto" w:fill="auto"/>
          </w:tcPr>
          <w:p w14:paraId="22331104" w14:textId="77777777" w:rsidR="007B2D6A" w:rsidRPr="00C806B0" w:rsidRDefault="007B2D6A">
            <w:pPr>
              <w:pStyle w:val="08-Tabelageral"/>
              <w:ind w:left="113"/>
              <w:jc w:val="left"/>
              <w:rPr>
                <w:rFonts w:cs="Arial"/>
                <w:b/>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shd w:val="clear" w:color="auto" w:fill="auto"/>
            <w:vAlign w:val="bottom"/>
          </w:tcPr>
          <w:p w14:paraId="1C209A86" w14:textId="77777777" w:rsidR="007B2D6A" w:rsidRPr="00651800" w:rsidRDefault="007B2D6A">
            <w:pPr>
              <w:pStyle w:val="08-Tabelageral"/>
            </w:pPr>
            <w:r>
              <w:t>(13,167)</w:t>
            </w:r>
          </w:p>
        </w:tc>
        <w:tc>
          <w:tcPr>
            <w:tcW w:w="1581" w:type="dxa"/>
            <w:shd w:val="clear" w:color="auto" w:fill="auto"/>
            <w:vAlign w:val="bottom"/>
          </w:tcPr>
          <w:p w14:paraId="29D4D8E1" w14:textId="77777777" w:rsidR="007B2D6A" w:rsidRPr="00651800" w:rsidRDefault="007B2D6A">
            <w:pPr>
              <w:pStyle w:val="08-Tabelageral"/>
            </w:pPr>
            <w:r>
              <w:t>(22,517)</w:t>
            </w:r>
          </w:p>
        </w:tc>
        <w:tc>
          <w:tcPr>
            <w:tcW w:w="1876" w:type="dxa"/>
            <w:shd w:val="clear" w:color="auto" w:fill="auto"/>
            <w:vAlign w:val="bottom"/>
          </w:tcPr>
          <w:p w14:paraId="6590ED2D" w14:textId="77777777" w:rsidR="007B2D6A" w:rsidRPr="00651800" w:rsidRDefault="007B2D6A">
            <w:pPr>
              <w:pStyle w:val="08-Tabelageral"/>
            </w:pPr>
            <w:r>
              <w:t>(35,684)</w:t>
            </w:r>
          </w:p>
        </w:tc>
      </w:tr>
      <w:tr w:rsidR="007B2D6A" w:rsidRPr="001D6BE8" w14:paraId="0F37270E" w14:textId="77777777" w:rsidTr="009D2DCC">
        <w:trPr>
          <w:trHeight w:val="238"/>
          <w:jc w:val="center"/>
        </w:trPr>
        <w:tc>
          <w:tcPr>
            <w:tcW w:w="4324" w:type="dxa"/>
            <w:shd w:val="clear" w:color="auto" w:fill="auto"/>
          </w:tcPr>
          <w:p w14:paraId="6FF49183" w14:textId="77777777" w:rsidR="007B2D6A" w:rsidRPr="00C806B0" w:rsidRDefault="007B2D6A">
            <w:pPr>
              <w:pStyle w:val="08-Tabelageral"/>
              <w:ind w:left="113"/>
              <w:jc w:val="left"/>
              <w:rPr>
                <w:rFonts w:cs="Arial"/>
                <w:b/>
                <w:szCs w:val="14"/>
              </w:rPr>
            </w:pPr>
            <w:r w:rsidRPr="0093755D">
              <w:rPr>
                <w:rFonts w:cs="Arial"/>
                <w:szCs w:val="14"/>
              </w:rPr>
              <w:t>Other</w:t>
            </w:r>
          </w:p>
        </w:tc>
        <w:tc>
          <w:tcPr>
            <w:tcW w:w="1328" w:type="dxa"/>
            <w:shd w:val="clear" w:color="auto" w:fill="auto"/>
            <w:vAlign w:val="bottom"/>
          </w:tcPr>
          <w:p w14:paraId="147F4EA5" w14:textId="77777777" w:rsidR="007B2D6A" w:rsidRPr="00651800" w:rsidRDefault="007B2D6A">
            <w:pPr>
              <w:pStyle w:val="08-Tabelageral"/>
            </w:pPr>
            <w:r>
              <w:t>7,094</w:t>
            </w:r>
          </w:p>
        </w:tc>
        <w:tc>
          <w:tcPr>
            <w:tcW w:w="1581" w:type="dxa"/>
            <w:shd w:val="clear" w:color="auto" w:fill="auto"/>
            <w:vAlign w:val="bottom"/>
          </w:tcPr>
          <w:p w14:paraId="72F8D3C0" w14:textId="77777777" w:rsidR="007B2D6A" w:rsidRPr="00651800" w:rsidRDefault="007B2D6A">
            <w:pPr>
              <w:pStyle w:val="08-Tabelageral"/>
            </w:pPr>
            <w:r>
              <w:t>(17,035)</w:t>
            </w:r>
          </w:p>
        </w:tc>
        <w:tc>
          <w:tcPr>
            <w:tcW w:w="1876" w:type="dxa"/>
            <w:shd w:val="clear" w:color="auto" w:fill="auto"/>
            <w:vAlign w:val="bottom"/>
          </w:tcPr>
          <w:p w14:paraId="4EE05559" w14:textId="77777777" w:rsidR="007B2D6A" w:rsidRPr="00651800" w:rsidRDefault="007B2D6A">
            <w:pPr>
              <w:pStyle w:val="08-Tabelageral"/>
            </w:pPr>
            <w:r>
              <w:t>(9,941)</w:t>
            </w:r>
          </w:p>
        </w:tc>
      </w:tr>
      <w:tr w:rsidR="007B2D6A" w:rsidRPr="00CF3BC4" w14:paraId="507F7B6B" w14:textId="77777777" w:rsidTr="009D2DCC">
        <w:trPr>
          <w:trHeight w:val="238"/>
          <w:jc w:val="center"/>
        </w:trPr>
        <w:tc>
          <w:tcPr>
            <w:tcW w:w="4324" w:type="dxa"/>
            <w:shd w:val="clear" w:color="auto" w:fill="auto"/>
          </w:tcPr>
          <w:p w14:paraId="51E1F0E4" w14:textId="77777777" w:rsidR="007B2D6A" w:rsidRPr="00755C95" w:rsidRDefault="007B2D6A">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328" w:type="dxa"/>
            <w:shd w:val="clear" w:color="auto" w:fill="auto"/>
            <w:vAlign w:val="bottom"/>
          </w:tcPr>
          <w:p w14:paraId="63E34C7E" w14:textId="77777777" w:rsidR="007B2D6A" w:rsidRPr="00CF3BC4" w:rsidRDefault="007B2D6A">
            <w:pPr>
              <w:pStyle w:val="08-Tabelageral"/>
              <w:rPr>
                <w:b/>
              </w:rPr>
            </w:pPr>
            <w:r>
              <w:rPr>
                <w:b/>
              </w:rPr>
              <w:t>4,852,772</w:t>
            </w:r>
          </w:p>
        </w:tc>
        <w:tc>
          <w:tcPr>
            <w:tcW w:w="1581" w:type="dxa"/>
            <w:shd w:val="clear" w:color="auto" w:fill="auto"/>
            <w:vAlign w:val="bottom"/>
          </w:tcPr>
          <w:p w14:paraId="21FA6CAB" w14:textId="77777777" w:rsidR="007B2D6A" w:rsidRPr="00CF3BC4" w:rsidRDefault="007B2D6A">
            <w:pPr>
              <w:pStyle w:val="08-Tabelageral"/>
              <w:rPr>
                <w:b/>
              </w:rPr>
            </w:pPr>
            <w:r>
              <w:rPr>
                <w:b/>
              </w:rPr>
              <w:t>4,052,996</w:t>
            </w:r>
          </w:p>
        </w:tc>
        <w:tc>
          <w:tcPr>
            <w:tcW w:w="1876" w:type="dxa"/>
            <w:shd w:val="clear" w:color="auto" w:fill="auto"/>
            <w:vAlign w:val="bottom"/>
          </w:tcPr>
          <w:p w14:paraId="1F27AF5E" w14:textId="77777777" w:rsidR="007B2D6A" w:rsidRPr="00CF3BC4" w:rsidRDefault="007B2D6A">
            <w:pPr>
              <w:pStyle w:val="08-Tabelageral"/>
              <w:rPr>
                <w:b/>
              </w:rPr>
            </w:pPr>
            <w:r>
              <w:rPr>
                <w:b/>
              </w:rPr>
              <w:t>8,905,767</w:t>
            </w:r>
          </w:p>
        </w:tc>
      </w:tr>
      <w:tr w:rsidR="007B2D6A" w:rsidRPr="00CF3BC4" w14:paraId="3C379FAD" w14:textId="77777777" w:rsidTr="009D2DCC">
        <w:trPr>
          <w:trHeight w:val="238"/>
          <w:jc w:val="center"/>
        </w:trPr>
        <w:tc>
          <w:tcPr>
            <w:tcW w:w="4324" w:type="dxa"/>
            <w:shd w:val="clear" w:color="auto" w:fill="auto"/>
          </w:tcPr>
          <w:p w14:paraId="45AEA2A5" w14:textId="77777777" w:rsidR="007B2D6A" w:rsidRPr="00CF3BC4" w:rsidRDefault="007B2D6A">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328" w:type="dxa"/>
            <w:shd w:val="clear" w:color="auto" w:fill="auto"/>
            <w:vAlign w:val="bottom"/>
          </w:tcPr>
          <w:p w14:paraId="57A2678F" w14:textId="77777777" w:rsidR="007B2D6A" w:rsidRPr="00CF3BC4" w:rsidRDefault="007B2D6A">
            <w:pPr>
              <w:pStyle w:val="08-Tabelageral"/>
              <w:rPr>
                <w:b/>
              </w:rPr>
            </w:pPr>
            <w:r>
              <w:rPr>
                <w:b/>
              </w:rPr>
              <w:t>143,688</w:t>
            </w:r>
          </w:p>
        </w:tc>
        <w:tc>
          <w:tcPr>
            <w:tcW w:w="1581" w:type="dxa"/>
            <w:shd w:val="clear" w:color="auto" w:fill="auto"/>
            <w:vAlign w:val="bottom"/>
          </w:tcPr>
          <w:p w14:paraId="0C6BCE11" w14:textId="77777777" w:rsidR="007B2D6A" w:rsidRPr="00CF3BC4" w:rsidRDefault="007B2D6A">
            <w:pPr>
              <w:pStyle w:val="08-Tabelageral"/>
              <w:rPr>
                <w:b/>
              </w:rPr>
            </w:pPr>
            <w:r>
              <w:rPr>
                <w:b/>
              </w:rPr>
              <w:t>443,857</w:t>
            </w:r>
          </w:p>
        </w:tc>
        <w:tc>
          <w:tcPr>
            <w:tcW w:w="1876" w:type="dxa"/>
            <w:shd w:val="clear" w:color="auto" w:fill="auto"/>
            <w:vAlign w:val="bottom"/>
          </w:tcPr>
          <w:p w14:paraId="1ECD11FB" w14:textId="77777777" w:rsidR="007B2D6A" w:rsidRPr="00CF3BC4" w:rsidRDefault="007B2D6A">
            <w:pPr>
              <w:pStyle w:val="08-Tabelageral"/>
              <w:rPr>
                <w:b/>
              </w:rPr>
            </w:pPr>
            <w:r>
              <w:rPr>
                <w:b/>
              </w:rPr>
              <w:t>587,545</w:t>
            </w:r>
          </w:p>
        </w:tc>
      </w:tr>
      <w:tr w:rsidR="007B2D6A" w:rsidRPr="001D6BE8" w14:paraId="143C0DFD" w14:textId="77777777" w:rsidTr="009D2DCC">
        <w:trPr>
          <w:trHeight w:val="238"/>
          <w:jc w:val="center"/>
        </w:trPr>
        <w:tc>
          <w:tcPr>
            <w:tcW w:w="4324" w:type="dxa"/>
            <w:shd w:val="clear" w:color="auto" w:fill="auto"/>
          </w:tcPr>
          <w:p w14:paraId="3CF5935A" w14:textId="77777777" w:rsidR="007B2D6A" w:rsidRPr="00C806B0" w:rsidRDefault="007B2D6A">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revenue</w:t>
            </w:r>
            <w:proofErr w:type="spellEnd"/>
          </w:p>
        </w:tc>
        <w:tc>
          <w:tcPr>
            <w:tcW w:w="1328" w:type="dxa"/>
            <w:shd w:val="clear" w:color="auto" w:fill="auto"/>
            <w:vAlign w:val="bottom"/>
          </w:tcPr>
          <w:p w14:paraId="3422C5ED" w14:textId="77777777" w:rsidR="007B2D6A" w:rsidRPr="00651800" w:rsidRDefault="007B2D6A">
            <w:pPr>
              <w:pStyle w:val="08-Tabelageral"/>
            </w:pPr>
            <w:r>
              <w:t>193,569</w:t>
            </w:r>
          </w:p>
        </w:tc>
        <w:tc>
          <w:tcPr>
            <w:tcW w:w="1581" w:type="dxa"/>
            <w:shd w:val="clear" w:color="auto" w:fill="auto"/>
            <w:vAlign w:val="bottom"/>
          </w:tcPr>
          <w:p w14:paraId="350FF3F5" w14:textId="77777777" w:rsidR="007B2D6A" w:rsidRPr="00651800" w:rsidRDefault="007B2D6A">
            <w:pPr>
              <w:pStyle w:val="08-Tabelageral"/>
            </w:pPr>
            <w:r>
              <w:t>477,365</w:t>
            </w:r>
          </w:p>
        </w:tc>
        <w:tc>
          <w:tcPr>
            <w:tcW w:w="1876" w:type="dxa"/>
            <w:shd w:val="clear" w:color="auto" w:fill="auto"/>
            <w:vAlign w:val="bottom"/>
          </w:tcPr>
          <w:p w14:paraId="400ED632" w14:textId="77777777" w:rsidR="007B2D6A" w:rsidRPr="00651800" w:rsidRDefault="007B2D6A">
            <w:pPr>
              <w:pStyle w:val="08-Tabelageral"/>
            </w:pPr>
            <w:r>
              <w:t>670,933</w:t>
            </w:r>
          </w:p>
        </w:tc>
      </w:tr>
      <w:tr w:rsidR="007B2D6A" w:rsidRPr="001D6BE8" w14:paraId="2C17F8E3" w14:textId="77777777" w:rsidTr="009D2DCC">
        <w:trPr>
          <w:trHeight w:val="238"/>
          <w:jc w:val="center"/>
        </w:trPr>
        <w:tc>
          <w:tcPr>
            <w:tcW w:w="4324" w:type="dxa"/>
            <w:shd w:val="clear" w:color="auto" w:fill="auto"/>
          </w:tcPr>
          <w:p w14:paraId="5EF163DF" w14:textId="77777777" w:rsidR="007B2D6A" w:rsidRPr="00C806B0" w:rsidRDefault="007B2D6A">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expenses</w:t>
            </w:r>
            <w:proofErr w:type="spellEnd"/>
          </w:p>
        </w:tc>
        <w:tc>
          <w:tcPr>
            <w:tcW w:w="1328" w:type="dxa"/>
            <w:shd w:val="clear" w:color="auto" w:fill="auto"/>
            <w:vAlign w:val="bottom"/>
          </w:tcPr>
          <w:p w14:paraId="6D914E5B" w14:textId="77777777" w:rsidR="007B2D6A" w:rsidRPr="00651800" w:rsidRDefault="007B2D6A">
            <w:pPr>
              <w:pStyle w:val="08-Tabelageral"/>
            </w:pPr>
            <w:r>
              <w:t>(49,881)</w:t>
            </w:r>
          </w:p>
        </w:tc>
        <w:tc>
          <w:tcPr>
            <w:tcW w:w="1581" w:type="dxa"/>
            <w:shd w:val="clear" w:color="auto" w:fill="auto"/>
            <w:vAlign w:val="bottom"/>
          </w:tcPr>
          <w:p w14:paraId="7A77EBEC" w14:textId="77777777" w:rsidR="007B2D6A" w:rsidRPr="00651800" w:rsidRDefault="007B2D6A">
            <w:pPr>
              <w:pStyle w:val="08-Tabelageral"/>
            </w:pPr>
            <w:r>
              <w:t>(33,508)</w:t>
            </w:r>
          </w:p>
        </w:tc>
        <w:tc>
          <w:tcPr>
            <w:tcW w:w="1876" w:type="dxa"/>
            <w:shd w:val="clear" w:color="auto" w:fill="auto"/>
            <w:vAlign w:val="bottom"/>
          </w:tcPr>
          <w:p w14:paraId="65A2A81B" w14:textId="77777777" w:rsidR="007B2D6A" w:rsidRPr="00651800" w:rsidRDefault="007B2D6A">
            <w:pPr>
              <w:pStyle w:val="08-Tabelageral"/>
            </w:pPr>
            <w:r>
              <w:t>(83,388)</w:t>
            </w:r>
          </w:p>
        </w:tc>
      </w:tr>
      <w:tr w:rsidR="007B2D6A" w:rsidRPr="00CF3BC4" w14:paraId="5AC813B9" w14:textId="77777777" w:rsidTr="009D2DCC">
        <w:trPr>
          <w:trHeight w:val="238"/>
          <w:jc w:val="center"/>
        </w:trPr>
        <w:tc>
          <w:tcPr>
            <w:tcW w:w="4324" w:type="dxa"/>
            <w:shd w:val="clear" w:color="auto" w:fill="auto"/>
          </w:tcPr>
          <w:p w14:paraId="2EB3F794" w14:textId="77777777" w:rsidR="007B2D6A" w:rsidRPr="00755C95" w:rsidRDefault="007B2D6A">
            <w:pPr>
              <w:pStyle w:val="08-Tabelageral"/>
              <w:jc w:val="left"/>
              <w:rPr>
                <w:rFonts w:cs="Arial"/>
                <w:b/>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328" w:type="dxa"/>
            <w:shd w:val="clear" w:color="auto" w:fill="auto"/>
            <w:vAlign w:val="bottom"/>
          </w:tcPr>
          <w:p w14:paraId="492DBDCF" w14:textId="77777777" w:rsidR="007B2D6A" w:rsidRPr="00CF3BC4" w:rsidRDefault="007B2D6A">
            <w:pPr>
              <w:pStyle w:val="08-Tabelageral"/>
              <w:rPr>
                <w:b/>
              </w:rPr>
            </w:pPr>
            <w:r>
              <w:rPr>
                <w:b/>
              </w:rPr>
              <w:t>4,996,460</w:t>
            </w:r>
          </w:p>
        </w:tc>
        <w:tc>
          <w:tcPr>
            <w:tcW w:w="1581" w:type="dxa"/>
            <w:shd w:val="clear" w:color="auto" w:fill="auto"/>
            <w:vAlign w:val="bottom"/>
          </w:tcPr>
          <w:p w14:paraId="7AD78E41" w14:textId="77777777" w:rsidR="007B2D6A" w:rsidRPr="00CF3BC4" w:rsidRDefault="007B2D6A">
            <w:pPr>
              <w:pStyle w:val="08-Tabelageral"/>
              <w:rPr>
                <w:b/>
              </w:rPr>
            </w:pPr>
            <w:r>
              <w:rPr>
                <w:b/>
              </w:rPr>
              <w:t>4,496,853</w:t>
            </w:r>
          </w:p>
        </w:tc>
        <w:tc>
          <w:tcPr>
            <w:tcW w:w="1876" w:type="dxa"/>
            <w:shd w:val="clear" w:color="auto" w:fill="auto"/>
            <w:vAlign w:val="bottom"/>
          </w:tcPr>
          <w:p w14:paraId="3A794E92" w14:textId="77777777" w:rsidR="007B2D6A" w:rsidRPr="00CF3BC4" w:rsidRDefault="007B2D6A">
            <w:pPr>
              <w:pStyle w:val="08-Tabelageral"/>
              <w:rPr>
                <w:b/>
              </w:rPr>
            </w:pPr>
            <w:r>
              <w:rPr>
                <w:b/>
              </w:rPr>
              <w:t>9,493,312</w:t>
            </w:r>
          </w:p>
        </w:tc>
      </w:tr>
      <w:tr w:rsidR="007B2D6A" w:rsidRPr="00C2766D" w14:paraId="2E14BFC0" w14:textId="77777777" w:rsidTr="009D2DCC">
        <w:trPr>
          <w:trHeight w:val="238"/>
          <w:jc w:val="center"/>
        </w:trPr>
        <w:tc>
          <w:tcPr>
            <w:tcW w:w="4324" w:type="dxa"/>
            <w:shd w:val="clear" w:color="auto" w:fill="auto"/>
          </w:tcPr>
          <w:p w14:paraId="48A9947F" w14:textId="77777777" w:rsidR="007B2D6A" w:rsidRPr="00755C95" w:rsidRDefault="007B2D6A">
            <w:pPr>
              <w:pStyle w:val="08-Tabelageral"/>
              <w:ind w:left="113"/>
              <w:jc w:val="left"/>
              <w:rPr>
                <w:rFonts w:cs="Arial"/>
                <w:bCs/>
                <w:szCs w:val="14"/>
                <w:lang w:val="en-US"/>
              </w:rPr>
            </w:pPr>
            <w:r w:rsidRPr="000F19A6">
              <w:rPr>
                <w:rFonts w:cs="Arial"/>
                <w:szCs w:val="14"/>
                <w:lang w:val="en-US"/>
              </w:rPr>
              <w:t>Income Tax and Social Contribution</w:t>
            </w:r>
          </w:p>
        </w:tc>
        <w:tc>
          <w:tcPr>
            <w:tcW w:w="1328" w:type="dxa"/>
            <w:shd w:val="clear" w:color="auto" w:fill="auto"/>
            <w:vAlign w:val="bottom"/>
          </w:tcPr>
          <w:p w14:paraId="2CB2A261" w14:textId="77777777" w:rsidR="007B2D6A" w:rsidRPr="00C2766D" w:rsidRDefault="007B2D6A">
            <w:pPr>
              <w:pStyle w:val="08-Tabelageral"/>
              <w:rPr>
                <w:bCs/>
              </w:rPr>
            </w:pPr>
            <w:r>
              <w:rPr>
                <w:bCs/>
              </w:rPr>
              <w:t>(37,655)</w:t>
            </w:r>
          </w:p>
        </w:tc>
        <w:tc>
          <w:tcPr>
            <w:tcW w:w="1581" w:type="dxa"/>
            <w:shd w:val="clear" w:color="auto" w:fill="auto"/>
            <w:vAlign w:val="bottom"/>
          </w:tcPr>
          <w:p w14:paraId="5C0C3FB3" w14:textId="77777777" w:rsidR="007B2D6A" w:rsidRPr="00C2766D" w:rsidRDefault="007B2D6A">
            <w:pPr>
              <w:pStyle w:val="08-Tabelageral"/>
              <w:rPr>
                <w:bCs/>
              </w:rPr>
            </w:pPr>
            <w:r>
              <w:rPr>
                <w:bCs/>
              </w:rPr>
              <w:t>(1,508,454)</w:t>
            </w:r>
          </w:p>
        </w:tc>
        <w:tc>
          <w:tcPr>
            <w:tcW w:w="1876" w:type="dxa"/>
            <w:shd w:val="clear" w:color="auto" w:fill="auto"/>
            <w:vAlign w:val="bottom"/>
          </w:tcPr>
          <w:p w14:paraId="5CF49569" w14:textId="77777777" w:rsidR="007B2D6A" w:rsidRPr="00C2766D" w:rsidRDefault="007B2D6A">
            <w:pPr>
              <w:pStyle w:val="08-Tabelageral"/>
              <w:rPr>
                <w:bCs/>
              </w:rPr>
            </w:pPr>
            <w:r>
              <w:rPr>
                <w:bCs/>
              </w:rPr>
              <w:t>(1,546,109)</w:t>
            </w:r>
          </w:p>
        </w:tc>
      </w:tr>
      <w:tr w:rsidR="007B2D6A" w:rsidRPr="00CF3BC4" w14:paraId="0B7BD424" w14:textId="77777777" w:rsidTr="009D2DCC">
        <w:trPr>
          <w:trHeight w:val="238"/>
          <w:jc w:val="center"/>
        </w:trPr>
        <w:tc>
          <w:tcPr>
            <w:tcW w:w="4324" w:type="dxa"/>
            <w:tcBorders>
              <w:bottom w:val="single" w:sz="2" w:space="0" w:color="1F3864" w:themeColor="accent1" w:themeShade="80"/>
            </w:tcBorders>
            <w:shd w:val="clear" w:color="auto" w:fill="auto"/>
          </w:tcPr>
          <w:p w14:paraId="6D0D0416" w14:textId="77777777" w:rsidR="007B2D6A" w:rsidRPr="00CF3BC4" w:rsidRDefault="007B2D6A">
            <w:pPr>
              <w:pStyle w:val="08-Tabelageral"/>
              <w:jc w:val="left"/>
              <w:rPr>
                <w:rFonts w:cs="Arial"/>
                <w:b/>
                <w:szCs w:val="14"/>
              </w:rPr>
            </w:pPr>
            <w:r w:rsidRPr="0093755D">
              <w:rPr>
                <w:rFonts w:cs="Arial"/>
                <w:b/>
                <w:szCs w:val="14"/>
                <w:lang w:val="en-US"/>
              </w:rPr>
              <w:t>Net Income</w:t>
            </w:r>
          </w:p>
        </w:tc>
        <w:tc>
          <w:tcPr>
            <w:tcW w:w="1328" w:type="dxa"/>
            <w:tcBorders>
              <w:bottom w:val="single" w:sz="2" w:space="0" w:color="1F3864" w:themeColor="accent1" w:themeShade="80"/>
            </w:tcBorders>
            <w:shd w:val="clear" w:color="auto" w:fill="auto"/>
            <w:vAlign w:val="bottom"/>
          </w:tcPr>
          <w:p w14:paraId="2762A9F1" w14:textId="77777777" w:rsidR="007B2D6A" w:rsidRPr="00CF3BC4" w:rsidRDefault="007B2D6A">
            <w:pPr>
              <w:pStyle w:val="08-Tabelageral"/>
              <w:rPr>
                <w:b/>
              </w:rPr>
            </w:pPr>
            <w:r>
              <w:rPr>
                <w:b/>
              </w:rPr>
              <w:t>4,958,805</w:t>
            </w:r>
          </w:p>
        </w:tc>
        <w:tc>
          <w:tcPr>
            <w:tcW w:w="1581" w:type="dxa"/>
            <w:tcBorders>
              <w:bottom w:val="single" w:sz="2" w:space="0" w:color="1F3864" w:themeColor="accent1" w:themeShade="80"/>
            </w:tcBorders>
            <w:shd w:val="clear" w:color="auto" w:fill="auto"/>
            <w:vAlign w:val="bottom"/>
          </w:tcPr>
          <w:p w14:paraId="0F1E5666" w14:textId="77777777" w:rsidR="007B2D6A" w:rsidRPr="00CF3BC4" w:rsidRDefault="007B2D6A">
            <w:pPr>
              <w:pStyle w:val="08-Tabelageral"/>
              <w:rPr>
                <w:b/>
              </w:rPr>
            </w:pPr>
            <w:r>
              <w:rPr>
                <w:b/>
              </w:rPr>
              <w:t>2,988,399</w:t>
            </w:r>
          </w:p>
        </w:tc>
        <w:tc>
          <w:tcPr>
            <w:tcW w:w="1876" w:type="dxa"/>
            <w:tcBorders>
              <w:bottom w:val="single" w:sz="2" w:space="0" w:color="1F3864" w:themeColor="accent1" w:themeShade="80"/>
            </w:tcBorders>
            <w:shd w:val="clear" w:color="auto" w:fill="auto"/>
            <w:vAlign w:val="bottom"/>
          </w:tcPr>
          <w:p w14:paraId="19E54459" w14:textId="77777777" w:rsidR="007B2D6A" w:rsidRPr="00CF3BC4" w:rsidRDefault="007B2D6A">
            <w:pPr>
              <w:pStyle w:val="08-Tabelageral"/>
              <w:rPr>
                <w:b/>
              </w:rPr>
            </w:pPr>
            <w:r>
              <w:rPr>
                <w:b/>
              </w:rPr>
              <w:t>7,947,203</w:t>
            </w:r>
          </w:p>
        </w:tc>
      </w:tr>
    </w:tbl>
    <w:p w14:paraId="28861955" w14:textId="77777777" w:rsidR="007B2D6A" w:rsidRDefault="007B2D6A" w:rsidP="007B2D6A">
      <w:pPr>
        <w:spacing w:after="0"/>
        <w:jc w:val="right"/>
        <w:rPr>
          <w:rFonts w:ascii="Arial" w:hAnsi="Arial" w:cs="Arial"/>
          <w:b/>
          <w:sz w:val="14"/>
          <w:szCs w:val="18"/>
        </w:rPr>
      </w:pPr>
    </w:p>
    <w:p w14:paraId="3B86AAD2" w14:textId="77777777" w:rsidR="007B2D6A" w:rsidRDefault="007B2D6A" w:rsidP="007B2D6A">
      <w:pPr>
        <w:spacing w:after="0" w:line="240" w:lineRule="auto"/>
        <w:rPr>
          <w:rFonts w:ascii="Arial" w:hAnsi="Arial" w:cs="Arial"/>
          <w:b/>
          <w:color w:val="1F3864" w:themeColor="accent1" w:themeShade="80"/>
          <w:sz w:val="18"/>
          <w:szCs w:val="18"/>
          <w:lang w:val="en-US"/>
        </w:rPr>
      </w:pPr>
    </w:p>
    <w:p w14:paraId="38540511" w14:textId="77777777" w:rsidR="007B2D6A" w:rsidRDefault="007B2D6A" w:rsidP="00AB19F2">
      <w:pPr>
        <w:keepNext/>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t>d) Balance sheet by segment</w:t>
      </w:r>
    </w:p>
    <w:p w14:paraId="0A5341A9" w14:textId="77777777" w:rsidR="007B2D6A" w:rsidRDefault="007B2D6A" w:rsidP="00AB19F2">
      <w:pPr>
        <w:keepNext/>
        <w:spacing w:after="0" w:line="240" w:lineRule="auto"/>
        <w:rPr>
          <w:rFonts w:ascii="Arial" w:hAnsi="Arial" w:cs="Arial"/>
          <w:b/>
          <w:color w:val="1F3864" w:themeColor="accent1" w:themeShade="80"/>
          <w:sz w:val="18"/>
          <w:szCs w:val="18"/>
          <w:lang w:val="en-US"/>
        </w:rPr>
      </w:pPr>
    </w:p>
    <w:p w14:paraId="370A93C3" w14:textId="77777777" w:rsidR="007B2D6A" w:rsidRPr="00C7533E" w:rsidRDefault="007B2D6A" w:rsidP="003760F5">
      <w:pPr>
        <w:pStyle w:val="05-Textonormal"/>
        <w:keepNext/>
        <w:spacing w:after="0"/>
        <w:ind w:right="283"/>
        <w:jc w:val="right"/>
        <w:rPr>
          <w:b/>
          <w:sz w:val="14"/>
          <w:lang w:val="en-US"/>
        </w:rPr>
      </w:pPr>
      <w:r w:rsidRPr="00C7533E">
        <w:rPr>
          <w:b/>
          <w:sz w:val="14"/>
          <w:lang w:val="en-US"/>
        </w:rPr>
        <w:t xml:space="preserve">R$ </w:t>
      </w:r>
      <w:r w:rsidRPr="00C7533E">
        <w:rPr>
          <w:rFonts w:cs="Arial"/>
          <w:b/>
          <w:sz w:val="14"/>
          <w:lang w:val="en-US"/>
        </w:rPr>
        <w:t>thousand</w:t>
      </w:r>
    </w:p>
    <w:tbl>
      <w:tblPr>
        <w:tblW w:w="9109" w:type="dxa"/>
        <w:jc w:val="center"/>
        <w:tblLayout w:type="fixed"/>
        <w:tblLook w:val="04A0" w:firstRow="1" w:lastRow="0" w:firstColumn="1" w:lastColumn="0" w:noHBand="0" w:noVBand="1"/>
      </w:tblPr>
      <w:tblGrid>
        <w:gridCol w:w="4324"/>
        <w:gridCol w:w="1328"/>
        <w:gridCol w:w="1581"/>
        <w:gridCol w:w="1876"/>
      </w:tblGrid>
      <w:tr w:rsidR="007B2D6A" w:rsidRPr="001D6BE8" w14:paraId="553D3D91" w14:textId="77777777">
        <w:trPr>
          <w:trHeight w:hRule="exact" w:val="238"/>
          <w:jc w:val="center"/>
        </w:trPr>
        <w:tc>
          <w:tcPr>
            <w:tcW w:w="4324" w:type="dxa"/>
            <w:tcBorders>
              <w:top w:val="single" w:sz="4" w:space="0" w:color="auto"/>
            </w:tcBorders>
            <w:shd w:val="clear" w:color="auto" w:fill="auto"/>
          </w:tcPr>
          <w:p w14:paraId="2BD36F7D" w14:textId="77777777" w:rsidR="007B2D6A" w:rsidRPr="007B2D6A" w:rsidRDefault="007B2D6A">
            <w:pPr>
              <w:pStyle w:val="08-Tabelageral"/>
              <w:jc w:val="center"/>
              <w:rPr>
                <w:rFonts w:cs="Arial"/>
                <w:b/>
                <w:lang w:val="en-US"/>
              </w:rPr>
            </w:pPr>
          </w:p>
        </w:tc>
        <w:tc>
          <w:tcPr>
            <w:tcW w:w="1328" w:type="dxa"/>
            <w:tcBorders>
              <w:top w:val="single" w:sz="4" w:space="0" w:color="auto"/>
              <w:bottom w:val="single" w:sz="2" w:space="0" w:color="1F3864" w:themeColor="accent1" w:themeShade="80"/>
            </w:tcBorders>
            <w:shd w:val="clear" w:color="auto" w:fill="auto"/>
            <w:vAlign w:val="center"/>
          </w:tcPr>
          <w:p w14:paraId="6968EB78" w14:textId="77777777" w:rsidR="007B2D6A" w:rsidRPr="007B2D6A" w:rsidRDefault="007B2D6A">
            <w:pPr>
              <w:pStyle w:val="08-Tabelageral"/>
              <w:ind w:hanging="203"/>
              <w:jc w:val="center"/>
              <w:rPr>
                <w:rFonts w:cs="Arial"/>
                <w:b/>
                <w:lang w:val="en-US"/>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791E4B5C" w14:textId="77777777" w:rsidR="007B2D6A" w:rsidRPr="00A24524" w:rsidRDefault="007B2D6A">
            <w:pPr>
              <w:pStyle w:val="08-Tabelageral"/>
              <w:jc w:val="center"/>
              <w:rPr>
                <w:rFonts w:cs="Arial"/>
                <w:b/>
              </w:rPr>
            </w:pPr>
            <w:r>
              <w:rPr>
                <w:rFonts w:cs="Arial"/>
                <w:b/>
              </w:rPr>
              <w:t>2024</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1A3DF06D" w14:textId="77777777" w:rsidR="007B2D6A" w:rsidRPr="00A24524" w:rsidRDefault="007B2D6A">
            <w:pPr>
              <w:pStyle w:val="08-Tabelageral"/>
              <w:jc w:val="center"/>
              <w:rPr>
                <w:rFonts w:cs="Arial"/>
                <w:b/>
              </w:rPr>
            </w:pPr>
          </w:p>
        </w:tc>
      </w:tr>
      <w:tr w:rsidR="007B2D6A" w:rsidRPr="001D6BE8" w14:paraId="52D56DFB" w14:textId="77777777">
        <w:trPr>
          <w:trHeight w:hRule="exact" w:val="436"/>
          <w:jc w:val="center"/>
        </w:trPr>
        <w:tc>
          <w:tcPr>
            <w:tcW w:w="4324" w:type="dxa"/>
            <w:tcBorders>
              <w:bottom w:val="single" w:sz="4" w:space="0" w:color="auto"/>
            </w:tcBorders>
            <w:shd w:val="clear" w:color="auto" w:fill="auto"/>
          </w:tcPr>
          <w:p w14:paraId="296FD7D1" w14:textId="77777777" w:rsidR="007B2D6A" w:rsidRPr="001D6BE8" w:rsidRDefault="007B2D6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42B7353B" w14:textId="77777777" w:rsidR="007B2D6A" w:rsidRPr="00A24524" w:rsidRDefault="007B2D6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0981FD24" w14:textId="77777777" w:rsidR="007B2D6A" w:rsidRPr="00A24524" w:rsidRDefault="007B2D6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5AD90659" w14:textId="77777777" w:rsidR="007B2D6A" w:rsidRPr="00A24524" w:rsidRDefault="007B2D6A">
            <w:pPr>
              <w:pStyle w:val="08-Tabelageral"/>
              <w:rPr>
                <w:rFonts w:cs="Arial"/>
                <w:b/>
              </w:rPr>
            </w:pPr>
            <w:r w:rsidRPr="00A24524">
              <w:rPr>
                <w:rFonts w:cs="Arial"/>
                <w:b/>
              </w:rPr>
              <w:t>Total</w:t>
            </w:r>
          </w:p>
        </w:tc>
      </w:tr>
      <w:tr w:rsidR="007B2D6A" w:rsidRPr="00CF3BC4" w14:paraId="183D9900" w14:textId="77777777">
        <w:trPr>
          <w:trHeight w:val="238"/>
          <w:jc w:val="center"/>
        </w:trPr>
        <w:tc>
          <w:tcPr>
            <w:tcW w:w="4324" w:type="dxa"/>
            <w:tcBorders>
              <w:top w:val="single" w:sz="4" w:space="0" w:color="auto"/>
            </w:tcBorders>
            <w:shd w:val="clear" w:color="auto" w:fill="auto"/>
          </w:tcPr>
          <w:p w14:paraId="60E9145E" w14:textId="77777777" w:rsidR="007B2D6A" w:rsidRPr="00CF3BC4" w:rsidRDefault="007B2D6A">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shd w:val="clear" w:color="auto" w:fill="auto"/>
            <w:vAlign w:val="bottom"/>
          </w:tcPr>
          <w:p w14:paraId="68BF4059" w14:textId="34D12997" w:rsidR="007B2D6A" w:rsidRPr="0010352F" w:rsidRDefault="007B2D6A">
            <w:pPr>
              <w:pStyle w:val="08-Tabelageral"/>
              <w:rPr>
                <w:bCs/>
              </w:rPr>
            </w:pPr>
            <w:r w:rsidRPr="0010352F">
              <w:rPr>
                <w:bCs/>
              </w:rPr>
              <w:t>3</w:t>
            </w:r>
            <w:r w:rsidR="001C35C7">
              <w:rPr>
                <w:bCs/>
              </w:rPr>
              <w:t>,</w:t>
            </w:r>
            <w:r w:rsidRPr="0010352F">
              <w:rPr>
                <w:bCs/>
              </w:rPr>
              <w:t>643</w:t>
            </w:r>
            <w:r w:rsidR="001C35C7">
              <w:rPr>
                <w:bCs/>
              </w:rPr>
              <w:t>,</w:t>
            </w:r>
            <w:r w:rsidRPr="0010352F">
              <w:rPr>
                <w:bCs/>
              </w:rPr>
              <w:t>189</w:t>
            </w:r>
          </w:p>
        </w:tc>
        <w:tc>
          <w:tcPr>
            <w:tcW w:w="1581" w:type="dxa"/>
            <w:tcBorders>
              <w:top w:val="single" w:sz="2" w:space="0" w:color="1F3864" w:themeColor="accent1" w:themeShade="80"/>
            </w:tcBorders>
            <w:shd w:val="clear" w:color="auto" w:fill="auto"/>
            <w:vAlign w:val="bottom"/>
          </w:tcPr>
          <w:p w14:paraId="0C148D3F" w14:textId="4363AFB3" w:rsidR="007B2D6A" w:rsidRPr="0010352F" w:rsidRDefault="007B2D6A">
            <w:pPr>
              <w:pStyle w:val="08-Tabelageral"/>
              <w:rPr>
                <w:bCs/>
              </w:rPr>
            </w:pPr>
            <w:r w:rsidRPr="0010352F">
              <w:rPr>
                <w:bCs/>
              </w:rPr>
              <w:t>6</w:t>
            </w:r>
            <w:r w:rsidR="001C35C7">
              <w:rPr>
                <w:bCs/>
              </w:rPr>
              <w:t>,</w:t>
            </w:r>
            <w:r w:rsidRPr="0010352F">
              <w:rPr>
                <w:bCs/>
              </w:rPr>
              <w:t>262</w:t>
            </w:r>
            <w:r w:rsidR="001C35C7">
              <w:rPr>
                <w:bCs/>
              </w:rPr>
              <w:t>,</w:t>
            </w:r>
            <w:r w:rsidRPr="0010352F">
              <w:rPr>
                <w:bCs/>
              </w:rPr>
              <w:t>517</w:t>
            </w:r>
          </w:p>
        </w:tc>
        <w:tc>
          <w:tcPr>
            <w:tcW w:w="1876" w:type="dxa"/>
            <w:tcBorders>
              <w:top w:val="single" w:sz="2" w:space="0" w:color="1F3864" w:themeColor="accent1" w:themeShade="80"/>
            </w:tcBorders>
            <w:shd w:val="clear" w:color="auto" w:fill="auto"/>
            <w:vAlign w:val="bottom"/>
          </w:tcPr>
          <w:p w14:paraId="0B7B677B" w14:textId="0D0CC815" w:rsidR="007B2D6A" w:rsidRPr="0010352F" w:rsidRDefault="007B2D6A">
            <w:pPr>
              <w:pStyle w:val="08-Tabelageral"/>
              <w:rPr>
                <w:bCs/>
              </w:rPr>
            </w:pPr>
            <w:r w:rsidRPr="0010352F">
              <w:rPr>
                <w:bCs/>
              </w:rPr>
              <w:t>9</w:t>
            </w:r>
            <w:r w:rsidR="001C35C7">
              <w:rPr>
                <w:bCs/>
              </w:rPr>
              <w:t>,</w:t>
            </w:r>
            <w:r w:rsidRPr="0010352F">
              <w:rPr>
                <w:bCs/>
              </w:rPr>
              <w:t>905</w:t>
            </w:r>
            <w:r w:rsidR="001C35C7">
              <w:rPr>
                <w:bCs/>
              </w:rPr>
              <w:t>,</w:t>
            </w:r>
            <w:r w:rsidRPr="0010352F">
              <w:rPr>
                <w:bCs/>
              </w:rPr>
              <w:t>706</w:t>
            </w:r>
          </w:p>
        </w:tc>
      </w:tr>
      <w:tr w:rsidR="007B2D6A" w:rsidRPr="001D6BE8" w14:paraId="0C02CAED" w14:textId="77777777">
        <w:trPr>
          <w:trHeight w:val="238"/>
          <w:jc w:val="center"/>
        </w:trPr>
        <w:tc>
          <w:tcPr>
            <w:tcW w:w="4324" w:type="dxa"/>
            <w:shd w:val="clear" w:color="auto" w:fill="auto"/>
          </w:tcPr>
          <w:p w14:paraId="0E235B23" w14:textId="77777777" w:rsidR="007B2D6A" w:rsidRPr="00C806B0" w:rsidRDefault="007B2D6A">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shd w:val="clear" w:color="auto" w:fill="auto"/>
            <w:vAlign w:val="bottom"/>
          </w:tcPr>
          <w:p w14:paraId="7D6C01C9" w14:textId="5F311AC4" w:rsidR="007B2D6A" w:rsidRPr="0010352F" w:rsidRDefault="007B2D6A">
            <w:pPr>
              <w:pStyle w:val="08-Tabelageral"/>
              <w:rPr>
                <w:bCs/>
              </w:rPr>
            </w:pPr>
            <w:r w:rsidRPr="0010352F">
              <w:rPr>
                <w:bCs/>
              </w:rPr>
              <w:t>8</w:t>
            </w:r>
            <w:r w:rsidR="001C35C7">
              <w:rPr>
                <w:bCs/>
              </w:rPr>
              <w:t>,</w:t>
            </w:r>
            <w:r w:rsidRPr="0010352F">
              <w:rPr>
                <w:bCs/>
              </w:rPr>
              <w:t>988</w:t>
            </w:r>
            <w:r w:rsidR="001C35C7">
              <w:rPr>
                <w:bCs/>
              </w:rPr>
              <w:t>,</w:t>
            </w:r>
            <w:r w:rsidRPr="0010352F">
              <w:rPr>
                <w:bCs/>
              </w:rPr>
              <w:t>708</w:t>
            </w:r>
          </w:p>
        </w:tc>
        <w:tc>
          <w:tcPr>
            <w:tcW w:w="1581" w:type="dxa"/>
            <w:shd w:val="clear" w:color="auto" w:fill="auto"/>
            <w:vAlign w:val="bottom"/>
          </w:tcPr>
          <w:p w14:paraId="338D8570" w14:textId="5EDCBDCD" w:rsidR="007B2D6A" w:rsidRPr="0010352F" w:rsidRDefault="007B2D6A">
            <w:pPr>
              <w:pStyle w:val="08-Tabelageral"/>
              <w:rPr>
                <w:bCs/>
              </w:rPr>
            </w:pPr>
            <w:r w:rsidRPr="0010352F">
              <w:rPr>
                <w:bCs/>
              </w:rPr>
              <w:t>2</w:t>
            </w:r>
            <w:r w:rsidR="001C35C7">
              <w:rPr>
                <w:bCs/>
              </w:rPr>
              <w:t>,</w:t>
            </w:r>
            <w:r w:rsidRPr="0010352F">
              <w:rPr>
                <w:bCs/>
              </w:rPr>
              <w:t>721</w:t>
            </w:r>
            <w:r w:rsidR="001C35C7">
              <w:rPr>
                <w:bCs/>
              </w:rPr>
              <w:t>,</w:t>
            </w:r>
            <w:r w:rsidRPr="0010352F">
              <w:rPr>
                <w:bCs/>
              </w:rPr>
              <w:t>173</w:t>
            </w:r>
          </w:p>
        </w:tc>
        <w:tc>
          <w:tcPr>
            <w:tcW w:w="1876" w:type="dxa"/>
            <w:shd w:val="clear" w:color="auto" w:fill="auto"/>
            <w:vAlign w:val="bottom"/>
          </w:tcPr>
          <w:p w14:paraId="5744F89F" w14:textId="0FFD72C4" w:rsidR="007B2D6A" w:rsidRPr="0010352F" w:rsidRDefault="007B2D6A">
            <w:pPr>
              <w:pStyle w:val="08-Tabelageral"/>
              <w:rPr>
                <w:bCs/>
              </w:rPr>
            </w:pPr>
            <w:r w:rsidRPr="0010352F">
              <w:rPr>
                <w:bCs/>
              </w:rPr>
              <w:t>11</w:t>
            </w:r>
            <w:r w:rsidR="001C35C7">
              <w:rPr>
                <w:bCs/>
              </w:rPr>
              <w:t>,</w:t>
            </w:r>
            <w:r w:rsidRPr="0010352F">
              <w:rPr>
                <w:bCs/>
              </w:rPr>
              <w:t>709</w:t>
            </w:r>
            <w:r w:rsidR="001C35C7">
              <w:rPr>
                <w:bCs/>
              </w:rPr>
              <w:t>,</w:t>
            </w:r>
            <w:r w:rsidRPr="0010352F">
              <w:rPr>
                <w:bCs/>
              </w:rPr>
              <w:t>881</w:t>
            </w:r>
          </w:p>
        </w:tc>
      </w:tr>
      <w:tr w:rsidR="007B2D6A" w:rsidRPr="001D6BE8" w14:paraId="02128AF0" w14:textId="77777777">
        <w:trPr>
          <w:trHeight w:val="238"/>
          <w:jc w:val="center"/>
        </w:trPr>
        <w:tc>
          <w:tcPr>
            <w:tcW w:w="4324" w:type="dxa"/>
            <w:shd w:val="clear" w:color="auto" w:fill="auto"/>
          </w:tcPr>
          <w:p w14:paraId="622F8D6F" w14:textId="77777777" w:rsidR="007B2D6A" w:rsidRPr="00C806B0" w:rsidRDefault="007B2D6A">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shd w:val="clear" w:color="auto" w:fill="auto"/>
            <w:vAlign w:val="bottom"/>
          </w:tcPr>
          <w:p w14:paraId="5551C306" w14:textId="385D5D82" w:rsidR="007B2D6A" w:rsidRPr="0010352F" w:rsidRDefault="007B2D6A">
            <w:pPr>
              <w:pStyle w:val="08-Tabelageral"/>
              <w:rPr>
                <w:b/>
              </w:rPr>
            </w:pPr>
            <w:r w:rsidRPr="0010352F">
              <w:rPr>
                <w:b/>
              </w:rPr>
              <w:t>12</w:t>
            </w:r>
            <w:r w:rsidR="001C35C7">
              <w:rPr>
                <w:b/>
              </w:rPr>
              <w:t>,</w:t>
            </w:r>
            <w:r w:rsidRPr="0010352F">
              <w:rPr>
                <w:b/>
              </w:rPr>
              <w:t>631</w:t>
            </w:r>
            <w:r w:rsidR="001C35C7">
              <w:rPr>
                <w:b/>
              </w:rPr>
              <w:t>,</w:t>
            </w:r>
            <w:r w:rsidRPr="0010352F">
              <w:rPr>
                <w:b/>
              </w:rPr>
              <w:t>897</w:t>
            </w:r>
          </w:p>
        </w:tc>
        <w:tc>
          <w:tcPr>
            <w:tcW w:w="1581" w:type="dxa"/>
            <w:shd w:val="clear" w:color="auto" w:fill="auto"/>
            <w:vAlign w:val="bottom"/>
          </w:tcPr>
          <w:p w14:paraId="3CB3A601" w14:textId="178FC84E" w:rsidR="007B2D6A" w:rsidRPr="0010352F" w:rsidRDefault="007B2D6A">
            <w:pPr>
              <w:pStyle w:val="08-Tabelageral"/>
              <w:rPr>
                <w:b/>
              </w:rPr>
            </w:pPr>
            <w:r w:rsidRPr="0010352F">
              <w:rPr>
                <w:b/>
              </w:rPr>
              <w:t>8</w:t>
            </w:r>
            <w:r w:rsidR="001C35C7">
              <w:rPr>
                <w:b/>
              </w:rPr>
              <w:t>,</w:t>
            </w:r>
            <w:r w:rsidRPr="0010352F">
              <w:rPr>
                <w:b/>
              </w:rPr>
              <w:t>983</w:t>
            </w:r>
            <w:r w:rsidR="001C35C7">
              <w:rPr>
                <w:b/>
              </w:rPr>
              <w:t>,</w:t>
            </w:r>
            <w:r w:rsidRPr="0010352F">
              <w:rPr>
                <w:b/>
              </w:rPr>
              <w:t>690</w:t>
            </w:r>
          </w:p>
        </w:tc>
        <w:tc>
          <w:tcPr>
            <w:tcW w:w="1876" w:type="dxa"/>
            <w:shd w:val="clear" w:color="auto" w:fill="auto"/>
            <w:vAlign w:val="bottom"/>
          </w:tcPr>
          <w:p w14:paraId="52F4529F" w14:textId="6E35A456" w:rsidR="007B2D6A" w:rsidRPr="0010352F" w:rsidRDefault="007B2D6A">
            <w:pPr>
              <w:pStyle w:val="08-Tabelageral"/>
              <w:rPr>
                <w:b/>
              </w:rPr>
            </w:pPr>
            <w:r w:rsidRPr="0010352F">
              <w:rPr>
                <w:b/>
              </w:rPr>
              <w:t>21</w:t>
            </w:r>
            <w:r w:rsidR="001C35C7">
              <w:rPr>
                <w:b/>
              </w:rPr>
              <w:t>,</w:t>
            </w:r>
            <w:r w:rsidRPr="0010352F">
              <w:rPr>
                <w:b/>
              </w:rPr>
              <w:t>615</w:t>
            </w:r>
            <w:r w:rsidR="001C35C7">
              <w:rPr>
                <w:b/>
              </w:rPr>
              <w:t>,</w:t>
            </w:r>
            <w:r w:rsidRPr="0010352F">
              <w:rPr>
                <w:b/>
              </w:rPr>
              <w:t>587</w:t>
            </w:r>
          </w:p>
        </w:tc>
      </w:tr>
      <w:tr w:rsidR="007B2D6A" w:rsidRPr="00CF3BC4" w14:paraId="727910D0" w14:textId="77777777">
        <w:trPr>
          <w:trHeight w:val="238"/>
          <w:jc w:val="center"/>
        </w:trPr>
        <w:tc>
          <w:tcPr>
            <w:tcW w:w="4324" w:type="dxa"/>
            <w:shd w:val="clear" w:color="auto" w:fill="auto"/>
          </w:tcPr>
          <w:p w14:paraId="1C68BF41" w14:textId="77777777" w:rsidR="007B2D6A" w:rsidRPr="00CF3BC4" w:rsidRDefault="007B2D6A">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shd w:val="clear" w:color="auto" w:fill="auto"/>
            <w:vAlign w:val="bottom"/>
          </w:tcPr>
          <w:p w14:paraId="797DDE94" w14:textId="638E4361" w:rsidR="007B2D6A" w:rsidRPr="0010352F" w:rsidRDefault="007B2D6A">
            <w:pPr>
              <w:pStyle w:val="08-Tabelageral"/>
              <w:rPr>
                <w:bCs/>
              </w:rPr>
            </w:pPr>
            <w:r w:rsidRPr="0010352F">
              <w:rPr>
                <w:bCs/>
              </w:rPr>
              <w:t>2</w:t>
            </w:r>
            <w:r w:rsidR="001C35C7">
              <w:rPr>
                <w:bCs/>
              </w:rPr>
              <w:t>,</w:t>
            </w:r>
            <w:r w:rsidRPr="0010352F">
              <w:rPr>
                <w:bCs/>
              </w:rPr>
              <w:t>712</w:t>
            </w:r>
            <w:r w:rsidR="001C35C7">
              <w:rPr>
                <w:bCs/>
              </w:rPr>
              <w:t>,</w:t>
            </w:r>
            <w:r w:rsidRPr="0010352F">
              <w:rPr>
                <w:bCs/>
              </w:rPr>
              <w:t>897</w:t>
            </w:r>
          </w:p>
        </w:tc>
        <w:tc>
          <w:tcPr>
            <w:tcW w:w="1581" w:type="dxa"/>
            <w:shd w:val="clear" w:color="auto" w:fill="auto"/>
            <w:vAlign w:val="bottom"/>
          </w:tcPr>
          <w:p w14:paraId="6CD0CCEC" w14:textId="3A8FDCD5" w:rsidR="007B2D6A" w:rsidRPr="0010352F" w:rsidRDefault="007B2D6A">
            <w:pPr>
              <w:pStyle w:val="08-Tabelageral"/>
              <w:rPr>
                <w:bCs/>
              </w:rPr>
            </w:pPr>
            <w:r w:rsidRPr="0010352F">
              <w:rPr>
                <w:bCs/>
              </w:rPr>
              <w:t>5</w:t>
            </w:r>
            <w:r w:rsidR="001C35C7">
              <w:rPr>
                <w:bCs/>
              </w:rPr>
              <w:t>,</w:t>
            </w:r>
            <w:r w:rsidRPr="0010352F">
              <w:rPr>
                <w:bCs/>
              </w:rPr>
              <w:t>564</w:t>
            </w:r>
            <w:r w:rsidR="001C35C7">
              <w:rPr>
                <w:bCs/>
              </w:rPr>
              <w:t>,</w:t>
            </w:r>
            <w:r w:rsidRPr="0010352F">
              <w:rPr>
                <w:bCs/>
              </w:rPr>
              <w:t>989</w:t>
            </w:r>
          </w:p>
        </w:tc>
        <w:tc>
          <w:tcPr>
            <w:tcW w:w="1876" w:type="dxa"/>
            <w:shd w:val="clear" w:color="auto" w:fill="auto"/>
            <w:vAlign w:val="bottom"/>
          </w:tcPr>
          <w:p w14:paraId="21526F00" w14:textId="7333F68F" w:rsidR="007B2D6A" w:rsidRPr="0010352F" w:rsidRDefault="007B2D6A">
            <w:pPr>
              <w:pStyle w:val="08-Tabelageral"/>
              <w:rPr>
                <w:bCs/>
              </w:rPr>
            </w:pPr>
            <w:r w:rsidRPr="0010352F">
              <w:rPr>
                <w:bCs/>
              </w:rPr>
              <w:t>8</w:t>
            </w:r>
            <w:r w:rsidR="001C35C7">
              <w:rPr>
                <w:bCs/>
              </w:rPr>
              <w:t>,</w:t>
            </w:r>
            <w:r w:rsidRPr="0010352F">
              <w:rPr>
                <w:bCs/>
              </w:rPr>
              <w:t>277</w:t>
            </w:r>
            <w:r w:rsidR="001C35C7">
              <w:rPr>
                <w:bCs/>
              </w:rPr>
              <w:t>,</w:t>
            </w:r>
            <w:r w:rsidRPr="0010352F">
              <w:rPr>
                <w:bCs/>
              </w:rPr>
              <w:t>886</w:t>
            </w:r>
          </w:p>
        </w:tc>
      </w:tr>
      <w:tr w:rsidR="007B2D6A" w:rsidRPr="00CF3BC4" w14:paraId="20349D1E" w14:textId="77777777">
        <w:trPr>
          <w:trHeight w:val="238"/>
          <w:jc w:val="center"/>
        </w:trPr>
        <w:tc>
          <w:tcPr>
            <w:tcW w:w="4324" w:type="dxa"/>
            <w:shd w:val="clear" w:color="auto" w:fill="auto"/>
          </w:tcPr>
          <w:p w14:paraId="2986F626" w14:textId="77777777" w:rsidR="007B2D6A" w:rsidRPr="00CF3BC4" w:rsidRDefault="007B2D6A">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shd w:val="clear" w:color="auto" w:fill="auto"/>
            <w:vAlign w:val="bottom"/>
          </w:tcPr>
          <w:p w14:paraId="399DC993" w14:textId="6B223F0E" w:rsidR="007B2D6A" w:rsidRPr="0010352F" w:rsidRDefault="007B2D6A">
            <w:pPr>
              <w:pStyle w:val="08-Tabelageral"/>
              <w:rPr>
                <w:bCs/>
              </w:rPr>
            </w:pPr>
            <w:r w:rsidRPr="0010352F">
              <w:rPr>
                <w:bCs/>
              </w:rPr>
              <w:t>229</w:t>
            </w:r>
            <w:r w:rsidR="001C35C7">
              <w:rPr>
                <w:bCs/>
              </w:rPr>
              <w:t>,</w:t>
            </w:r>
            <w:r w:rsidRPr="0010352F">
              <w:rPr>
                <w:bCs/>
              </w:rPr>
              <w:t>698</w:t>
            </w:r>
          </w:p>
        </w:tc>
        <w:tc>
          <w:tcPr>
            <w:tcW w:w="1581" w:type="dxa"/>
            <w:shd w:val="clear" w:color="auto" w:fill="auto"/>
            <w:vAlign w:val="bottom"/>
          </w:tcPr>
          <w:p w14:paraId="754AE7F6" w14:textId="073D7624" w:rsidR="007B2D6A" w:rsidRPr="0010352F" w:rsidRDefault="007B2D6A">
            <w:pPr>
              <w:pStyle w:val="08-Tabelageral"/>
              <w:rPr>
                <w:bCs/>
              </w:rPr>
            </w:pPr>
            <w:r w:rsidRPr="0010352F">
              <w:rPr>
                <w:bCs/>
              </w:rPr>
              <w:t>3</w:t>
            </w:r>
            <w:r w:rsidR="001C35C7">
              <w:rPr>
                <w:bCs/>
              </w:rPr>
              <w:t>,</w:t>
            </w:r>
            <w:r w:rsidRPr="0010352F">
              <w:rPr>
                <w:bCs/>
              </w:rPr>
              <w:t>412</w:t>
            </w:r>
            <w:r w:rsidR="001C35C7">
              <w:rPr>
                <w:bCs/>
              </w:rPr>
              <w:t>,</w:t>
            </w:r>
            <w:r w:rsidRPr="0010352F">
              <w:rPr>
                <w:bCs/>
              </w:rPr>
              <w:t>583</w:t>
            </w:r>
          </w:p>
        </w:tc>
        <w:tc>
          <w:tcPr>
            <w:tcW w:w="1876" w:type="dxa"/>
            <w:shd w:val="clear" w:color="auto" w:fill="auto"/>
            <w:vAlign w:val="bottom"/>
          </w:tcPr>
          <w:p w14:paraId="55B1C738" w14:textId="2FD0EB53" w:rsidR="007B2D6A" w:rsidRPr="0010352F" w:rsidRDefault="007B2D6A">
            <w:pPr>
              <w:pStyle w:val="08-Tabelageral"/>
              <w:rPr>
                <w:bCs/>
              </w:rPr>
            </w:pPr>
            <w:r w:rsidRPr="0010352F">
              <w:rPr>
                <w:bCs/>
              </w:rPr>
              <w:t>3</w:t>
            </w:r>
            <w:r w:rsidR="001C35C7">
              <w:rPr>
                <w:bCs/>
              </w:rPr>
              <w:t>,</w:t>
            </w:r>
            <w:r w:rsidRPr="0010352F">
              <w:rPr>
                <w:bCs/>
              </w:rPr>
              <w:t>642</w:t>
            </w:r>
            <w:r w:rsidR="001C35C7">
              <w:rPr>
                <w:bCs/>
              </w:rPr>
              <w:t>,</w:t>
            </w:r>
            <w:r w:rsidRPr="0010352F">
              <w:rPr>
                <w:bCs/>
              </w:rPr>
              <w:t>281</w:t>
            </w:r>
          </w:p>
        </w:tc>
      </w:tr>
      <w:tr w:rsidR="007B2D6A" w:rsidRPr="00CF3BC4" w14:paraId="29F0FEA2" w14:textId="77777777">
        <w:trPr>
          <w:trHeight w:val="238"/>
          <w:jc w:val="center"/>
        </w:trPr>
        <w:tc>
          <w:tcPr>
            <w:tcW w:w="4324" w:type="dxa"/>
            <w:shd w:val="clear" w:color="auto" w:fill="auto"/>
          </w:tcPr>
          <w:p w14:paraId="1D7C3F59" w14:textId="77777777" w:rsidR="007B2D6A" w:rsidRPr="00CF3BC4" w:rsidRDefault="007B2D6A">
            <w:pPr>
              <w:pStyle w:val="08-Tabelageral"/>
              <w:ind w:left="126"/>
              <w:jc w:val="left"/>
              <w:rPr>
                <w:rFonts w:cs="Arial"/>
                <w:b/>
                <w:szCs w:val="14"/>
              </w:rPr>
            </w:pPr>
            <w:proofErr w:type="spellStart"/>
            <w:r w:rsidRPr="005C67D6">
              <w:t>Equity</w:t>
            </w:r>
            <w:proofErr w:type="spellEnd"/>
          </w:p>
        </w:tc>
        <w:tc>
          <w:tcPr>
            <w:tcW w:w="1328" w:type="dxa"/>
            <w:shd w:val="clear" w:color="auto" w:fill="auto"/>
            <w:vAlign w:val="bottom"/>
          </w:tcPr>
          <w:p w14:paraId="4296FCB1" w14:textId="513EFE75" w:rsidR="007B2D6A" w:rsidRPr="0010352F" w:rsidRDefault="007B2D6A">
            <w:pPr>
              <w:pStyle w:val="08-Tabelageral"/>
              <w:rPr>
                <w:bCs/>
              </w:rPr>
            </w:pPr>
            <w:r w:rsidRPr="0010352F">
              <w:rPr>
                <w:bCs/>
              </w:rPr>
              <w:t>9</w:t>
            </w:r>
            <w:r w:rsidR="001C35C7">
              <w:rPr>
                <w:bCs/>
              </w:rPr>
              <w:t>,</w:t>
            </w:r>
            <w:r w:rsidRPr="0010352F">
              <w:rPr>
                <w:bCs/>
              </w:rPr>
              <w:t>689</w:t>
            </w:r>
            <w:r w:rsidR="001C35C7">
              <w:rPr>
                <w:bCs/>
              </w:rPr>
              <w:t>,</w:t>
            </w:r>
            <w:r w:rsidRPr="0010352F">
              <w:rPr>
                <w:bCs/>
              </w:rPr>
              <w:t>302</w:t>
            </w:r>
          </w:p>
        </w:tc>
        <w:tc>
          <w:tcPr>
            <w:tcW w:w="1581" w:type="dxa"/>
            <w:shd w:val="clear" w:color="auto" w:fill="auto"/>
            <w:vAlign w:val="bottom"/>
          </w:tcPr>
          <w:p w14:paraId="3568F774" w14:textId="48B326B9" w:rsidR="007B2D6A" w:rsidRPr="0010352F" w:rsidRDefault="007B2D6A">
            <w:pPr>
              <w:pStyle w:val="08-Tabelageral"/>
              <w:rPr>
                <w:bCs/>
              </w:rPr>
            </w:pPr>
            <w:r w:rsidRPr="0010352F">
              <w:rPr>
                <w:bCs/>
              </w:rPr>
              <w:t>6</w:t>
            </w:r>
            <w:r w:rsidR="001C35C7">
              <w:rPr>
                <w:bCs/>
              </w:rPr>
              <w:t>,</w:t>
            </w:r>
            <w:r w:rsidRPr="0010352F">
              <w:rPr>
                <w:bCs/>
              </w:rPr>
              <w:t>118</w:t>
            </w:r>
          </w:p>
        </w:tc>
        <w:tc>
          <w:tcPr>
            <w:tcW w:w="1876" w:type="dxa"/>
            <w:shd w:val="clear" w:color="auto" w:fill="auto"/>
            <w:vAlign w:val="bottom"/>
          </w:tcPr>
          <w:p w14:paraId="16E9FF39" w14:textId="67E6FF36" w:rsidR="007B2D6A" w:rsidRPr="0010352F" w:rsidRDefault="007B2D6A">
            <w:pPr>
              <w:pStyle w:val="08-Tabelageral"/>
              <w:rPr>
                <w:bCs/>
              </w:rPr>
            </w:pPr>
            <w:r w:rsidRPr="0010352F">
              <w:rPr>
                <w:bCs/>
              </w:rPr>
              <w:t>9</w:t>
            </w:r>
            <w:r w:rsidR="001C35C7">
              <w:rPr>
                <w:bCs/>
              </w:rPr>
              <w:t>,</w:t>
            </w:r>
            <w:r w:rsidRPr="0010352F">
              <w:rPr>
                <w:bCs/>
              </w:rPr>
              <w:t>695</w:t>
            </w:r>
            <w:r w:rsidR="001C35C7">
              <w:rPr>
                <w:bCs/>
              </w:rPr>
              <w:t>,</w:t>
            </w:r>
            <w:r w:rsidRPr="0010352F">
              <w:rPr>
                <w:bCs/>
              </w:rPr>
              <w:t>420</w:t>
            </w:r>
          </w:p>
        </w:tc>
      </w:tr>
      <w:tr w:rsidR="007B2D6A" w:rsidRPr="00CF3BC4" w14:paraId="38A9A7C0" w14:textId="77777777">
        <w:trPr>
          <w:trHeight w:val="238"/>
          <w:jc w:val="center"/>
        </w:trPr>
        <w:tc>
          <w:tcPr>
            <w:tcW w:w="4324" w:type="dxa"/>
            <w:tcBorders>
              <w:bottom w:val="single" w:sz="4" w:space="0" w:color="auto"/>
            </w:tcBorders>
            <w:shd w:val="clear" w:color="auto" w:fill="auto"/>
          </w:tcPr>
          <w:p w14:paraId="1D6546EC" w14:textId="77777777" w:rsidR="007B2D6A" w:rsidRPr="00D25934" w:rsidRDefault="007B2D6A">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shd w:val="clear" w:color="auto" w:fill="auto"/>
            <w:vAlign w:val="bottom"/>
          </w:tcPr>
          <w:p w14:paraId="515E9CCE" w14:textId="49E27014" w:rsidR="007B2D6A" w:rsidRPr="0010352F" w:rsidRDefault="007B2D6A">
            <w:pPr>
              <w:pStyle w:val="08-Tabelageral"/>
              <w:rPr>
                <w:b/>
              </w:rPr>
            </w:pPr>
            <w:r w:rsidRPr="0010352F">
              <w:rPr>
                <w:b/>
              </w:rPr>
              <w:t>12</w:t>
            </w:r>
            <w:r w:rsidR="001C35C7">
              <w:rPr>
                <w:b/>
              </w:rPr>
              <w:t>,</w:t>
            </w:r>
            <w:r w:rsidRPr="0010352F">
              <w:rPr>
                <w:b/>
              </w:rPr>
              <w:t>631</w:t>
            </w:r>
            <w:r w:rsidR="001C35C7">
              <w:rPr>
                <w:b/>
              </w:rPr>
              <w:t>,</w:t>
            </w:r>
            <w:r w:rsidRPr="0010352F">
              <w:rPr>
                <w:b/>
              </w:rPr>
              <w:t>897</w:t>
            </w:r>
          </w:p>
        </w:tc>
        <w:tc>
          <w:tcPr>
            <w:tcW w:w="1581" w:type="dxa"/>
            <w:tcBorders>
              <w:bottom w:val="single" w:sz="4" w:space="0" w:color="auto"/>
            </w:tcBorders>
            <w:shd w:val="clear" w:color="auto" w:fill="auto"/>
            <w:vAlign w:val="bottom"/>
          </w:tcPr>
          <w:p w14:paraId="35B27935" w14:textId="0D3D4AEB" w:rsidR="007B2D6A" w:rsidRPr="0010352F" w:rsidRDefault="007B2D6A">
            <w:pPr>
              <w:pStyle w:val="08-Tabelageral"/>
              <w:rPr>
                <w:b/>
              </w:rPr>
            </w:pPr>
            <w:r w:rsidRPr="0010352F">
              <w:rPr>
                <w:b/>
              </w:rPr>
              <w:t>8</w:t>
            </w:r>
            <w:r w:rsidR="001C35C7">
              <w:rPr>
                <w:b/>
              </w:rPr>
              <w:t>,</w:t>
            </w:r>
            <w:r w:rsidRPr="0010352F">
              <w:rPr>
                <w:b/>
              </w:rPr>
              <w:t>983</w:t>
            </w:r>
            <w:r w:rsidR="001C35C7">
              <w:rPr>
                <w:b/>
              </w:rPr>
              <w:t>,</w:t>
            </w:r>
            <w:r w:rsidRPr="0010352F">
              <w:rPr>
                <w:b/>
              </w:rPr>
              <w:t>690</w:t>
            </w:r>
          </w:p>
        </w:tc>
        <w:tc>
          <w:tcPr>
            <w:tcW w:w="1876" w:type="dxa"/>
            <w:tcBorders>
              <w:bottom w:val="single" w:sz="4" w:space="0" w:color="auto"/>
            </w:tcBorders>
            <w:shd w:val="clear" w:color="auto" w:fill="auto"/>
            <w:vAlign w:val="bottom"/>
          </w:tcPr>
          <w:p w14:paraId="1AE0AF16" w14:textId="5D1844DB" w:rsidR="007B2D6A" w:rsidRPr="0010352F" w:rsidRDefault="007B2D6A">
            <w:pPr>
              <w:pStyle w:val="08-Tabelageral"/>
              <w:rPr>
                <w:b/>
              </w:rPr>
            </w:pPr>
            <w:r w:rsidRPr="0010352F">
              <w:rPr>
                <w:b/>
              </w:rPr>
              <w:t>21</w:t>
            </w:r>
            <w:r w:rsidR="001C35C7">
              <w:rPr>
                <w:b/>
              </w:rPr>
              <w:t>,</w:t>
            </w:r>
            <w:r w:rsidRPr="0010352F">
              <w:rPr>
                <w:b/>
              </w:rPr>
              <w:t>615</w:t>
            </w:r>
            <w:r w:rsidR="001C35C7">
              <w:rPr>
                <w:b/>
              </w:rPr>
              <w:t>,</w:t>
            </w:r>
            <w:r w:rsidRPr="0010352F">
              <w:rPr>
                <w:b/>
              </w:rPr>
              <w:t>587</w:t>
            </w:r>
          </w:p>
        </w:tc>
      </w:tr>
    </w:tbl>
    <w:p w14:paraId="5F953289" w14:textId="77777777" w:rsidR="007B2D6A" w:rsidRDefault="007B2D6A" w:rsidP="007B2D6A">
      <w:pPr>
        <w:spacing w:after="0"/>
        <w:rPr>
          <w:b/>
          <w:sz w:val="14"/>
        </w:rPr>
      </w:pPr>
    </w:p>
    <w:p w14:paraId="79C09E0A" w14:textId="77777777" w:rsidR="007B2D6A" w:rsidRDefault="007B2D6A" w:rsidP="007B2D6A">
      <w:pPr>
        <w:pStyle w:val="05-Textonormal"/>
        <w:spacing w:before="0" w:after="0" w:line="240" w:lineRule="auto"/>
        <w:jc w:val="right"/>
        <w:rPr>
          <w:b/>
          <w:sz w:val="14"/>
        </w:rPr>
      </w:pPr>
    </w:p>
    <w:p w14:paraId="6D7BD187" w14:textId="77777777" w:rsidR="007B2D6A" w:rsidRPr="00C7533E" w:rsidRDefault="007B2D6A" w:rsidP="00FA7954">
      <w:pPr>
        <w:pStyle w:val="05-Textonormal"/>
        <w:tabs>
          <w:tab w:val="left" w:pos="8789"/>
        </w:tabs>
        <w:spacing w:after="0"/>
        <w:ind w:right="283"/>
        <w:jc w:val="right"/>
        <w:rPr>
          <w:b/>
          <w:sz w:val="14"/>
          <w:lang w:val="en-US"/>
        </w:rPr>
      </w:pPr>
      <w:r w:rsidRPr="00C7533E">
        <w:rPr>
          <w:b/>
          <w:sz w:val="14"/>
          <w:lang w:val="en-US"/>
        </w:rPr>
        <w:t xml:space="preserve">R$ </w:t>
      </w:r>
      <w:r w:rsidRPr="00C7533E">
        <w:rPr>
          <w:rFonts w:cs="Arial"/>
          <w:b/>
          <w:sz w:val="14"/>
          <w:lang w:val="en-US"/>
        </w:rPr>
        <w:t>thousand</w:t>
      </w:r>
    </w:p>
    <w:tbl>
      <w:tblPr>
        <w:tblW w:w="9109" w:type="dxa"/>
        <w:jc w:val="center"/>
        <w:tblLayout w:type="fixed"/>
        <w:tblLook w:val="04A0" w:firstRow="1" w:lastRow="0" w:firstColumn="1" w:lastColumn="0" w:noHBand="0" w:noVBand="1"/>
      </w:tblPr>
      <w:tblGrid>
        <w:gridCol w:w="4324"/>
        <w:gridCol w:w="1328"/>
        <w:gridCol w:w="1581"/>
        <w:gridCol w:w="1876"/>
      </w:tblGrid>
      <w:tr w:rsidR="007B2D6A" w:rsidRPr="001D6BE8" w14:paraId="225860AE" w14:textId="77777777">
        <w:trPr>
          <w:trHeight w:hRule="exact" w:val="238"/>
          <w:jc w:val="center"/>
        </w:trPr>
        <w:tc>
          <w:tcPr>
            <w:tcW w:w="4324" w:type="dxa"/>
            <w:tcBorders>
              <w:top w:val="single" w:sz="4" w:space="0" w:color="auto"/>
            </w:tcBorders>
            <w:shd w:val="clear" w:color="auto" w:fill="auto"/>
          </w:tcPr>
          <w:p w14:paraId="42221776" w14:textId="77777777" w:rsidR="007B2D6A" w:rsidRPr="001D6BE8" w:rsidRDefault="007B2D6A">
            <w:pPr>
              <w:pStyle w:val="08-Tabelageral"/>
              <w:jc w:val="center"/>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30EAE79B" w14:textId="77777777" w:rsidR="007B2D6A" w:rsidRPr="00A24524" w:rsidRDefault="007B2D6A">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3EC3E1B4" w14:textId="77777777" w:rsidR="007B2D6A" w:rsidRPr="00A24524" w:rsidRDefault="007B2D6A">
            <w:pPr>
              <w:pStyle w:val="08-Tabelageral"/>
              <w:jc w:val="center"/>
              <w:rPr>
                <w:rFonts w:cs="Arial"/>
                <w:b/>
              </w:rPr>
            </w:pPr>
            <w:r>
              <w:rPr>
                <w:rFonts w:cs="Arial"/>
                <w:b/>
              </w:rPr>
              <w:t>2023</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7BB6794C" w14:textId="77777777" w:rsidR="007B2D6A" w:rsidRPr="00A24524" w:rsidRDefault="007B2D6A">
            <w:pPr>
              <w:pStyle w:val="08-Tabelageral"/>
              <w:jc w:val="center"/>
              <w:rPr>
                <w:rFonts w:cs="Arial"/>
                <w:b/>
              </w:rPr>
            </w:pPr>
          </w:p>
        </w:tc>
      </w:tr>
      <w:tr w:rsidR="007B2D6A" w:rsidRPr="001D6BE8" w14:paraId="69B05EBE" w14:textId="77777777">
        <w:trPr>
          <w:trHeight w:hRule="exact" w:val="436"/>
          <w:jc w:val="center"/>
        </w:trPr>
        <w:tc>
          <w:tcPr>
            <w:tcW w:w="4324" w:type="dxa"/>
            <w:tcBorders>
              <w:bottom w:val="single" w:sz="4" w:space="0" w:color="auto"/>
            </w:tcBorders>
            <w:shd w:val="clear" w:color="auto" w:fill="auto"/>
          </w:tcPr>
          <w:p w14:paraId="3381C7A8" w14:textId="77777777" w:rsidR="007B2D6A" w:rsidRPr="001D6BE8" w:rsidRDefault="007B2D6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14D546B5" w14:textId="77777777" w:rsidR="007B2D6A" w:rsidRPr="00A24524" w:rsidRDefault="007B2D6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55065CF4" w14:textId="77777777" w:rsidR="007B2D6A" w:rsidRPr="00A24524" w:rsidRDefault="007B2D6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7028D641" w14:textId="77777777" w:rsidR="007B2D6A" w:rsidRPr="00A24524" w:rsidRDefault="007B2D6A">
            <w:pPr>
              <w:pStyle w:val="08-Tabelageral"/>
              <w:rPr>
                <w:rFonts w:cs="Arial"/>
                <w:b/>
              </w:rPr>
            </w:pPr>
            <w:r w:rsidRPr="00A24524">
              <w:rPr>
                <w:rFonts w:cs="Arial"/>
                <w:b/>
              </w:rPr>
              <w:t>Total</w:t>
            </w:r>
          </w:p>
        </w:tc>
      </w:tr>
      <w:tr w:rsidR="007B2D6A" w:rsidRPr="00CF3BC4" w14:paraId="55606108" w14:textId="77777777">
        <w:trPr>
          <w:trHeight w:val="238"/>
          <w:jc w:val="center"/>
        </w:trPr>
        <w:tc>
          <w:tcPr>
            <w:tcW w:w="4324" w:type="dxa"/>
            <w:tcBorders>
              <w:top w:val="single" w:sz="4" w:space="0" w:color="auto"/>
            </w:tcBorders>
            <w:shd w:val="clear" w:color="auto" w:fill="auto"/>
          </w:tcPr>
          <w:p w14:paraId="2E2F84DA" w14:textId="77777777" w:rsidR="007B2D6A" w:rsidRPr="00CF3BC4" w:rsidRDefault="007B2D6A">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shd w:val="clear" w:color="auto" w:fill="auto"/>
            <w:vAlign w:val="bottom"/>
          </w:tcPr>
          <w:p w14:paraId="70087343" w14:textId="2D80F5D4" w:rsidR="007B2D6A" w:rsidRPr="00814AB4" w:rsidRDefault="007B2D6A">
            <w:pPr>
              <w:pStyle w:val="08-Tabelageral"/>
              <w:rPr>
                <w:bCs/>
              </w:rPr>
            </w:pPr>
            <w:r>
              <w:rPr>
                <w:bCs/>
              </w:rPr>
              <w:t>1</w:t>
            </w:r>
            <w:r w:rsidR="0021624F">
              <w:rPr>
                <w:bCs/>
              </w:rPr>
              <w:t>,</w:t>
            </w:r>
            <w:r>
              <w:rPr>
                <w:bCs/>
              </w:rPr>
              <w:t>477</w:t>
            </w:r>
            <w:r w:rsidR="0021624F">
              <w:rPr>
                <w:bCs/>
              </w:rPr>
              <w:t>,</w:t>
            </w:r>
            <w:r>
              <w:rPr>
                <w:bCs/>
              </w:rPr>
              <w:t>072</w:t>
            </w:r>
          </w:p>
        </w:tc>
        <w:tc>
          <w:tcPr>
            <w:tcW w:w="1581" w:type="dxa"/>
            <w:tcBorders>
              <w:top w:val="single" w:sz="2" w:space="0" w:color="1F3864" w:themeColor="accent1" w:themeShade="80"/>
            </w:tcBorders>
            <w:shd w:val="clear" w:color="auto" w:fill="auto"/>
            <w:vAlign w:val="bottom"/>
          </w:tcPr>
          <w:p w14:paraId="0F3AC9E7" w14:textId="1C474BF3" w:rsidR="007B2D6A" w:rsidRPr="00814AB4" w:rsidRDefault="007B2D6A">
            <w:pPr>
              <w:pStyle w:val="08-Tabelageral"/>
              <w:rPr>
                <w:bCs/>
              </w:rPr>
            </w:pPr>
            <w:r w:rsidRPr="00814AB4">
              <w:rPr>
                <w:bCs/>
              </w:rPr>
              <w:t>4</w:t>
            </w:r>
            <w:r w:rsidR="0021624F">
              <w:rPr>
                <w:bCs/>
              </w:rPr>
              <w:t>,</w:t>
            </w:r>
            <w:r>
              <w:rPr>
                <w:bCs/>
              </w:rPr>
              <w:t>456</w:t>
            </w:r>
            <w:r w:rsidR="0021624F">
              <w:rPr>
                <w:bCs/>
              </w:rPr>
              <w:t>,</w:t>
            </w:r>
            <w:r>
              <w:rPr>
                <w:bCs/>
              </w:rPr>
              <w:t>686</w:t>
            </w:r>
          </w:p>
        </w:tc>
        <w:tc>
          <w:tcPr>
            <w:tcW w:w="1876" w:type="dxa"/>
            <w:tcBorders>
              <w:top w:val="single" w:sz="2" w:space="0" w:color="1F3864" w:themeColor="accent1" w:themeShade="80"/>
            </w:tcBorders>
            <w:shd w:val="clear" w:color="auto" w:fill="auto"/>
            <w:vAlign w:val="bottom"/>
          </w:tcPr>
          <w:p w14:paraId="5D60606F" w14:textId="2834EDE1" w:rsidR="007B2D6A" w:rsidRPr="00814AB4" w:rsidRDefault="007B2D6A">
            <w:pPr>
              <w:pStyle w:val="08-Tabelageral"/>
              <w:rPr>
                <w:bCs/>
              </w:rPr>
            </w:pPr>
            <w:r>
              <w:rPr>
                <w:bCs/>
              </w:rPr>
              <w:t>5</w:t>
            </w:r>
            <w:r w:rsidR="0021624F">
              <w:rPr>
                <w:bCs/>
              </w:rPr>
              <w:t>,</w:t>
            </w:r>
            <w:r>
              <w:rPr>
                <w:bCs/>
              </w:rPr>
              <w:t>933</w:t>
            </w:r>
            <w:r w:rsidR="0021624F">
              <w:rPr>
                <w:bCs/>
              </w:rPr>
              <w:t>,</w:t>
            </w:r>
            <w:r>
              <w:rPr>
                <w:bCs/>
              </w:rPr>
              <w:t>758</w:t>
            </w:r>
          </w:p>
        </w:tc>
      </w:tr>
      <w:tr w:rsidR="007B2D6A" w:rsidRPr="001D6BE8" w14:paraId="384FF097" w14:textId="77777777">
        <w:trPr>
          <w:trHeight w:val="238"/>
          <w:jc w:val="center"/>
        </w:trPr>
        <w:tc>
          <w:tcPr>
            <w:tcW w:w="4324" w:type="dxa"/>
            <w:shd w:val="clear" w:color="auto" w:fill="auto"/>
          </w:tcPr>
          <w:p w14:paraId="6D776085" w14:textId="77777777" w:rsidR="007B2D6A" w:rsidRPr="00C806B0" w:rsidRDefault="007B2D6A">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shd w:val="clear" w:color="auto" w:fill="auto"/>
            <w:vAlign w:val="bottom"/>
          </w:tcPr>
          <w:p w14:paraId="17BECEBF" w14:textId="4EA607E6" w:rsidR="007B2D6A" w:rsidRPr="00814AB4" w:rsidRDefault="007B2D6A">
            <w:pPr>
              <w:pStyle w:val="08-Tabelageral"/>
              <w:rPr>
                <w:bCs/>
              </w:rPr>
            </w:pPr>
            <w:r>
              <w:rPr>
                <w:bCs/>
              </w:rPr>
              <w:t>9</w:t>
            </w:r>
            <w:r w:rsidR="0021624F">
              <w:rPr>
                <w:bCs/>
              </w:rPr>
              <w:t>,</w:t>
            </w:r>
            <w:r>
              <w:rPr>
                <w:bCs/>
              </w:rPr>
              <w:t>450</w:t>
            </w:r>
            <w:r w:rsidR="0021624F">
              <w:rPr>
                <w:bCs/>
              </w:rPr>
              <w:t>,</w:t>
            </w:r>
            <w:r>
              <w:rPr>
                <w:bCs/>
              </w:rPr>
              <w:t>953</w:t>
            </w:r>
          </w:p>
        </w:tc>
        <w:tc>
          <w:tcPr>
            <w:tcW w:w="1581" w:type="dxa"/>
            <w:shd w:val="clear" w:color="auto" w:fill="auto"/>
            <w:vAlign w:val="bottom"/>
          </w:tcPr>
          <w:p w14:paraId="0E0E35C1" w14:textId="50040513" w:rsidR="007B2D6A" w:rsidRPr="00814AB4" w:rsidRDefault="007B2D6A">
            <w:pPr>
              <w:pStyle w:val="08-Tabelageral"/>
              <w:rPr>
                <w:bCs/>
              </w:rPr>
            </w:pPr>
            <w:r>
              <w:rPr>
                <w:bCs/>
              </w:rPr>
              <w:t>2</w:t>
            </w:r>
            <w:r w:rsidR="0021624F">
              <w:rPr>
                <w:bCs/>
              </w:rPr>
              <w:t>,</w:t>
            </w:r>
            <w:r>
              <w:rPr>
                <w:bCs/>
              </w:rPr>
              <w:t>887</w:t>
            </w:r>
            <w:r w:rsidR="0021624F">
              <w:rPr>
                <w:bCs/>
              </w:rPr>
              <w:t>,</w:t>
            </w:r>
            <w:r>
              <w:rPr>
                <w:bCs/>
              </w:rPr>
              <w:t>911</w:t>
            </w:r>
          </w:p>
        </w:tc>
        <w:tc>
          <w:tcPr>
            <w:tcW w:w="1876" w:type="dxa"/>
            <w:shd w:val="clear" w:color="auto" w:fill="auto"/>
            <w:vAlign w:val="bottom"/>
          </w:tcPr>
          <w:p w14:paraId="5230E1B6" w14:textId="034FFF2A" w:rsidR="007B2D6A" w:rsidRPr="00814AB4" w:rsidRDefault="007B2D6A">
            <w:pPr>
              <w:pStyle w:val="08-Tabelageral"/>
              <w:rPr>
                <w:bCs/>
              </w:rPr>
            </w:pPr>
            <w:r>
              <w:rPr>
                <w:bCs/>
              </w:rPr>
              <w:t>12</w:t>
            </w:r>
            <w:r w:rsidR="0021624F">
              <w:rPr>
                <w:bCs/>
              </w:rPr>
              <w:t>,</w:t>
            </w:r>
            <w:r>
              <w:rPr>
                <w:bCs/>
              </w:rPr>
              <w:t>338</w:t>
            </w:r>
            <w:r w:rsidR="0021624F">
              <w:rPr>
                <w:bCs/>
              </w:rPr>
              <w:t>,</w:t>
            </w:r>
            <w:r>
              <w:rPr>
                <w:bCs/>
              </w:rPr>
              <w:t>864</w:t>
            </w:r>
          </w:p>
        </w:tc>
      </w:tr>
      <w:tr w:rsidR="007B2D6A" w:rsidRPr="001D6BE8" w14:paraId="10046A35" w14:textId="77777777">
        <w:trPr>
          <w:trHeight w:val="238"/>
          <w:jc w:val="center"/>
        </w:trPr>
        <w:tc>
          <w:tcPr>
            <w:tcW w:w="4324" w:type="dxa"/>
            <w:shd w:val="clear" w:color="auto" w:fill="auto"/>
          </w:tcPr>
          <w:p w14:paraId="6DCD92CA" w14:textId="77777777" w:rsidR="007B2D6A" w:rsidRPr="00C806B0" w:rsidRDefault="007B2D6A">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shd w:val="clear" w:color="auto" w:fill="auto"/>
            <w:vAlign w:val="bottom"/>
          </w:tcPr>
          <w:p w14:paraId="02854998" w14:textId="2E7F83D5" w:rsidR="007B2D6A" w:rsidRPr="007521DA" w:rsidRDefault="007B2D6A">
            <w:pPr>
              <w:pStyle w:val="08-Tabelageral"/>
              <w:rPr>
                <w:b/>
              </w:rPr>
            </w:pPr>
            <w:r w:rsidRPr="007521DA">
              <w:rPr>
                <w:b/>
              </w:rPr>
              <w:t>10</w:t>
            </w:r>
            <w:r w:rsidR="0021624F">
              <w:rPr>
                <w:b/>
              </w:rPr>
              <w:t>,</w:t>
            </w:r>
            <w:r w:rsidRPr="007521DA">
              <w:rPr>
                <w:b/>
              </w:rPr>
              <w:t>928</w:t>
            </w:r>
            <w:r w:rsidR="0021624F">
              <w:rPr>
                <w:b/>
              </w:rPr>
              <w:t>,</w:t>
            </w:r>
            <w:r w:rsidRPr="007521DA">
              <w:rPr>
                <w:b/>
              </w:rPr>
              <w:t>025</w:t>
            </w:r>
          </w:p>
        </w:tc>
        <w:tc>
          <w:tcPr>
            <w:tcW w:w="1581" w:type="dxa"/>
            <w:shd w:val="clear" w:color="auto" w:fill="auto"/>
            <w:vAlign w:val="bottom"/>
          </w:tcPr>
          <w:p w14:paraId="4E650996" w14:textId="31BF295C" w:rsidR="007B2D6A" w:rsidRPr="007521DA" w:rsidRDefault="007B2D6A">
            <w:pPr>
              <w:pStyle w:val="08-Tabelageral"/>
              <w:rPr>
                <w:b/>
              </w:rPr>
            </w:pPr>
            <w:r w:rsidRPr="007521DA">
              <w:rPr>
                <w:b/>
              </w:rPr>
              <w:t>7</w:t>
            </w:r>
            <w:r w:rsidR="0021624F">
              <w:rPr>
                <w:b/>
              </w:rPr>
              <w:t>,</w:t>
            </w:r>
            <w:r w:rsidRPr="007521DA">
              <w:rPr>
                <w:b/>
              </w:rPr>
              <w:t>344</w:t>
            </w:r>
            <w:r w:rsidR="0021624F">
              <w:rPr>
                <w:b/>
              </w:rPr>
              <w:t>,</w:t>
            </w:r>
            <w:r w:rsidRPr="007521DA">
              <w:rPr>
                <w:b/>
              </w:rPr>
              <w:t>597</w:t>
            </w:r>
          </w:p>
        </w:tc>
        <w:tc>
          <w:tcPr>
            <w:tcW w:w="1876" w:type="dxa"/>
            <w:shd w:val="clear" w:color="auto" w:fill="auto"/>
            <w:vAlign w:val="bottom"/>
          </w:tcPr>
          <w:p w14:paraId="152D9045" w14:textId="5E42B6CC" w:rsidR="007B2D6A" w:rsidRPr="007521DA" w:rsidRDefault="007B2D6A">
            <w:pPr>
              <w:pStyle w:val="08-Tabelageral"/>
              <w:rPr>
                <w:b/>
              </w:rPr>
            </w:pPr>
            <w:r w:rsidRPr="007521DA">
              <w:rPr>
                <w:b/>
              </w:rPr>
              <w:t>18</w:t>
            </w:r>
            <w:r w:rsidR="0021624F">
              <w:rPr>
                <w:b/>
              </w:rPr>
              <w:t>,</w:t>
            </w:r>
            <w:r w:rsidRPr="007521DA">
              <w:rPr>
                <w:b/>
              </w:rPr>
              <w:t>272</w:t>
            </w:r>
            <w:r w:rsidR="0021624F">
              <w:rPr>
                <w:b/>
              </w:rPr>
              <w:t>,</w:t>
            </w:r>
            <w:r w:rsidRPr="007521DA">
              <w:rPr>
                <w:b/>
              </w:rPr>
              <w:t>622</w:t>
            </w:r>
          </w:p>
        </w:tc>
      </w:tr>
      <w:tr w:rsidR="007B2D6A" w:rsidRPr="00CF3BC4" w14:paraId="54DB5B01" w14:textId="77777777">
        <w:trPr>
          <w:trHeight w:val="238"/>
          <w:jc w:val="center"/>
        </w:trPr>
        <w:tc>
          <w:tcPr>
            <w:tcW w:w="4324" w:type="dxa"/>
            <w:shd w:val="clear" w:color="auto" w:fill="auto"/>
          </w:tcPr>
          <w:p w14:paraId="146B1D24" w14:textId="77777777" w:rsidR="007B2D6A" w:rsidRPr="00CF3BC4" w:rsidRDefault="007B2D6A">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shd w:val="clear" w:color="auto" w:fill="auto"/>
            <w:vAlign w:val="bottom"/>
          </w:tcPr>
          <w:p w14:paraId="6C49B628" w14:textId="7A1D7F76" w:rsidR="007B2D6A" w:rsidRPr="00814AB4" w:rsidRDefault="007B2D6A">
            <w:pPr>
              <w:pStyle w:val="08-Tabelageral"/>
              <w:rPr>
                <w:bCs/>
              </w:rPr>
            </w:pPr>
            <w:r>
              <w:rPr>
                <w:bCs/>
              </w:rPr>
              <w:t>888</w:t>
            </w:r>
            <w:r w:rsidR="0021624F">
              <w:rPr>
                <w:bCs/>
              </w:rPr>
              <w:t>,</w:t>
            </w:r>
            <w:r>
              <w:rPr>
                <w:bCs/>
              </w:rPr>
              <w:t>241</w:t>
            </w:r>
          </w:p>
        </w:tc>
        <w:tc>
          <w:tcPr>
            <w:tcW w:w="1581" w:type="dxa"/>
            <w:shd w:val="clear" w:color="auto" w:fill="auto"/>
            <w:vAlign w:val="bottom"/>
          </w:tcPr>
          <w:p w14:paraId="62DE12B1" w14:textId="341A5E5E" w:rsidR="007B2D6A" w:rsidRPr="00814AB4" w:rsidRDefault="007B2D6A">
            <w:pPr>
              <w:pStyle w:val="08-Tabelageral"/>
              <w:rPr>
                <w:bCs/>
              </w:rPr>
            </w:pPr>
            <w:r>
              <w:rPr>
                <w:bCs/>
              </w:rPr>
              <w:t>4</w:t>
            </w:r>
            <w:r w:rsidR="0021624F">
              <w:rPr>
                <w:bCs/>
              </w:rPr>
              <w:t>,</w:t>
            </w:r>
            <w:r>
              <w:rPr>
                <w:bCs/>
              </w:rPr>
              <w:t>589</w:t>
            </w:r>
            <w:r w:rsidR="0021624F">
              <w:rPr>
                <w:bCs/>
              </w:rPr>
              <w:t>,</w:t>
            </w:r>
            <w:r>
              <w:rPr>
                <w:bCs/>
              </w:rPr>
              <w:t>865</w:t>
            </w:r>
          </w:p>
        </w:tc>
        <w:tc>
          <w:tcPr>
            <w:tcW w:w="1876" w:type="dxa"/>
            <w:shd w:val="clear" w:color="auto" w:fill="auto"/>
            <w:vAlign w:val="bottom"/>
          </w:tcPr>
          <w:p w14:paraId="7C7FFB5F" w14:textId="3D56C5BF" w:rsidR="007B2D6A" w:rsidRPr="00814AB4" w:rsidRDefault="007B2D6A">
            <w:pPr>
              <w:pStyle w:val="08-Tabelageral"/>
              <w:rPr>
                <w:bCs/>
              </w:rPr>
            </w:pPr>
            <w:r>
              <w:rPr>
                <w:bCs/>
              </w:rPr>
              <w:t>5</w:t>
            </w:r>
            <w:r w:rsidR="0021624F">
              <w:rPr>
                <w:bCs/>
              </w:rPr>
              <w:t>,</w:t>
            </w:r>
            <w:r>
              <w:rPr>
                <w:bCs/>
              </w:rPr>
              <w:t>478</w:t>
            </w:r>
            <w:r w:rsidR="0021624F">
              <w:rPr>
                <w:bCs/>
              </w:rPr>
              <w:t>,</w:t>
            </w:r>
            <w:r>
              <w:rPr>
                <w:bCs/>
              </w:rPr>
              <w:t>106</w:t>
            </w:r>
          </w:p>
        </w:tc>
      </w:tr>
      <w:tr w:rsidR="007B2D6A" w:rsidRPr="00CF3BC4" w14:paraId="08739D12" w14:textId="77777777">
        <w:trPr>
          <w:trHeight w:val="238"/>
          <w:jc w:val="center"/>
        </w:trPr>
        <w:tc>
          <w:tcPr>
            <w:tcW w:w="4324" w:type="dxa"/>
            <w:shd w:val="clear" w:color="auto" w:fill="auto"/>
          </w:tcPr>
          <w:p w14:paraId="7E3F19FD" w14:textId="77777777" w:rsidR="007B2D6A" w:rsidRPr="00CF3BC4" w:rsidRDefault="007B2D6A">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shd w:val="clear" w:color="auto" w:fill="auto"/>
            <w:vAlign w:val="bottom"/>
          </w:tcPr>
          <w:p w14:paraId="55D4FCF0" w14:textId="5369535B" w:rsidR="007B2D6A" w:rsidRPr="00814AB4" w:rsidRDefault="007B2D6A">
            <w:pPr>
              <w:pStyle w:val="08-Tabelageral"/>
              <w:rPr>
                <w:bCs/>
              </w:rPr>
            </w:pPr>
            <w:r>
              <w:rPr>
                <w:bCs/>
              </w:rPr>
              <w:t>229</w:t>
            </w:r>
            <w:r w:rsidR="0021624F">
              <w:rPr>
                <w:bCs/>
              </w:rPr>
              <w:t>,</w:t>
            </w:r>
            <w:r>
              <w:rPr>
                <w:bCs/>
              </w:rPr>
              <w:t>174</w:t>
            </w:r>
          </w:p>
        </w:tc>
        <w:tc>
          <w:tcPr>
            <w:tcW w:w="1581" w:type="dxa"/>
            <w:shd w:val="clear" w:color="auto" w:fill="auto"/>
            <w:vAlign w:val="bottom"/>
          </w:tcPr>
          <w:p w14:paraId="66F8711B" w14:textId="78997C45" w:rsidR="007B2D6A" w:rsidRPr="00814AB4" w:rsidRDefault="007B2D6A">
            <w:pPr>
              <w:pStyle w:val="08-Tabelageral"/>
              <w:rPr>
                <w:bCs/>
              </w:rPr>
            </w:pPr>
            <w:r>
              <w:rPr>
                <w:bCs/>
              </w:rPr>
              <w:t>2</w:t>
            </w:r>
            <w:r w:rsidR="0021624F">
              <w:rPr>
                <w:bCs/>
              </w:rPr>
              <w:t>,</w:t>
            </w:r>
            <w:r>
              <w:rPr>
                <w:bCs/>
              </w:rPr>
              <w:t>748</w:t>
            </w:r>
            <w:r w:rsidR="0021624F">
              <w:rPr>
                <w:bCs/>
              </w:rPr>
              <w:t>,</w:t>
            </w:r>
            <w:r>
              <w:rPr>
                <w:bCs/>
              </w:rPr>
              <w:t>860</w:t>
            </w:r>
          </w:p>
        </w:tc>
        <w:tc>
          <w:tcPr>
            <w:tcW w:w="1876" w:type="dxa"/>
            <w:shd w:val="clear" w:color="auto" w:fill="auto"/>
            <w:vAlign w:val="bottom"/>
          </w:tcPr>
          <w:p w14:paraId="6418048E" w14:textId="45E7816D" w:rsidR="007B2D6A" w:rsidRPr="00814AB4" w:rsidRDefault="007B2D6A">
            <w:pPr>
              <w:pStyle w:val="08-Tabelageral"/>
              <w:rPr>
                <w:bCs/>
              </w:rPr>
            </w:pPr>
            <w:r>
              <w:rPr>
                <w:bCs/>
              </w:rPr>
              <w:t>2</w:t>
            </w:r>
            <w:r w:rsidR="0021624F">
              <w:rPr>
                <w:bCs/>
              </w:rPr>
              <w:t>,</w:t>
            </w:r>
            <w:r>
              <w:rPr>
                <w:bCs/>
              </w:rPr>
              <w:t>978</w:t>
            </w:r>
            <w:r w:rsidR="0021624F">
              <w:rPr>
                <w:bCs/>
              </w:rPr>
              <w:t>,</w:t>
            </w:r>
            <w:r w:rsidRPr="00814AB4">
              <w:rPr>
                <w:bCs/>
              </w:rPr>
              <w:t>0</w:t>
            </w:r>
            <w:r>
              <w:rPr>
                <w:bCs/>
              </w:rPr>
              <w:t>34</w:t>
            </w:r>
          </w:p>
        </w:tc>
      </w:tr>
      <w:tr w:rsidR="007B2D6A" w:rsidRPr="00CF3BC4" w14:paraId="27EDFF60" w14:textId="77777777">
        <w:trPr>
          <w:trHeight w:val="238"/>
          <w:jc w:val="center"/>
        </w:trPr>
        <w:tc>
          <w:tcPr>
            <w:tcW w:w="4324" w:type="dxa"/>
            <w:shd w:val="clear" w:color="auto" w:fill="auto"/>
          </w:tcPr>
          <w:p w14:paraId="565D7B14" w14:textId="77777777" w:rsidR="007B2D6A" w:rsidRPr="00CF3BC4" w:rsidRDefault="007B2D6A">
            <w:pPr>
              <w:pStyle w:val="08-Tabelageral"/>
              <w:ind w:left="126"/>
              <w:jc w:val="left"/>
              <w:rPr>
                <w:rFonts w:cs="Arial"/>
                <w:b/>
                <w:szCs w:val="14"/>
              </w:rPr>
            </w:pPr>
            <w:proofErr w:type="spellStart"/>
            <w:r w:rsidRPr="005C67D6">
              <w:t>Equity</w:t>
            </w:r>
            <w:proofErr w:type="spellEnd"/>
          </w:p>
        </w:tc>
        <w:tc>
          <w:tcPr>
            <w:tcW w:w="1328" w:type="dxa"/>
            <w:shd w:val="clear" w:color="auto" w:fill="auto"/>
            <w:vAlign w:val="bottom"/>
          </w:tcPr>
          <w:p w14:paraId="5B47894D" w14:textId="5538C9F4" w:rsidR="007B2D6A" w:rsidRPr="00814AB4" w:rsidRDefault="007B2D6A">
            <w:pPr>
              <w:pStyle w:val="08-Tabelageral"/>
              <w:rPr>
                <w:bCs/>
              </w:rPr>
            </w:pPr>
            <w:r>
              <w:rPr>
                <w:bCs/>
              </w:rPr>
              <w:t>9</w:t>
            </w:r>
            <w:r w:rsidR="0021624F">
              <w:rPr>
                <w:bCs/>
              </w:rPr>
              <w:t>,</w:t>
            </w:r>
            <w:r>
              <w:rPr>
                <w:bCs/>
              </w:rPr>
              <w:t>810</w:t>
            </w:r>
            <w:r w:rsidR="0021624F">
              <w:rPr>
                <w:bCs/>
              </w:rPr>
              <w:t>,</w:t>
            </w:r>
            <w:r>
              <w:rPr>
                <w:bCs/>
              </w:rPr>
              <w:t>610</w:t>
            </w:r>
          </w:p>
        </w:tc>
        <w:tc>
          <w:tcPr>
            <w:tcW w:w="1581" w:type="dxa"/>
            <w:shd w:val="clear" w:color="auto" w:fill="auto"/>
            <w:vAlign w:val="bottom"/>
          </w:tcPr>
          <w:p w14:paraId="626B4369" w14:textId="1F0BB062" w:rsidR="007B2D6A" w:rsidRPr="00814AB4" w:rsidRDefault="007B2D6A">
            <w:pPr>
              <w:pStyle w:val="08-Tabelageral"/>
              <w:rPr>
                <w:bCs/>
              </w:rPr>
            </w:pPr>
            <w:r>
              <w:rPr>
                <w:bCs/>
              </w:rPr>
              <w:t>5</w:t>
            </w:r>
            <w:r w:rsidR="0021624F">
              <w:rPr>
                <w:bCs/>
              </w:rPr>
              <w:t>,</w:t>
            </w:r>
            <w:r>
              <w:rPr>
                <w:bCs/>
              </w:rPr>
              <w:t>872</w:t>
            </w:r>
          </w:p>
        </w:tc>
        <w:tc>
          <w:tcPr>
            <w:tcW w:w="1876" w:type="dxa"/>
            <w:shd w:val="clear" w:color="auto" w:fill="auto"/>
            <w:vAlign w:val="bottom"/>
          </w:tcPr>
          <w:p w14:paraId="4805F753" w14:textId="563FD0ED" w:rsidR="007B2D6A" w:rsidRPr="00814AB4" w:rsidRDefault="007B2D6A">
            <w:pPr>
              <w:pStyle w:val="08-Tabelageral"/>
              <w:rPr>
                <w:bCs/>
              </w:rPr>
            </w:pPr>
            <w:r>
              <w:rPr>
                <w:bCs/>
              </w:rPr>
              <w:t>9</w:t>
            </w:r>
            <w:r w:rsidR="0021624F">
              <w:rPr>
                <w:bCs/>
              </w:rPr>
              <w:t>,</w:t>
            </w:r>
            <w:r>
              <w:rPr>
                <w:bCs/>
              </w:rPr>
              <w:t>816</w:t>
            </w:r>
            <w:r w:rsidR="0021624F">
              <w:rPr>
                <w:bCs/>
              </w:rPr>
              <w:t>,</w:t>
            </w:r>
            <w:r>
              <w:rPr>
                <w:bCs/>
              </w:rPr>
              <w:t>482</w:t>
            </w:r>
          </w:p>
        </w:tc>
      </w:tr>
      <w:tr w:rsidR="007B2D6A" w:rsidRPr="00CF3BC4" w14:paraId="299C55F4" w14:textId="77777777">
        <w:trPr>
          <w:trHeight w:val="238"/>
          <w:jc w:val="center"/>
        </w:trPr>
        <w:tc>
          <w:tcPr>
            <w:tcW w:w="4324" w:type="dxa"/>
            <w:tcBorders>
              <w:bottom w:val="single" w:sz="4" w:space="0" w:color="auto"/>
            </w:tcBorders>
            <w:shd w:val="clear" w:color="auto" w:fill="auto"/>
          </w:tcPr>
          <w:p w14:paraId="706ABFA4" w14:textId="77777777" w:rsidR="007B2D6A" w:rsidRPr="00D25934" w:rsidRDefault="007B2D6A">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shd w:val="clear" w:color="auto" w:fill="auto"/>
            <w:vAlign w:val="bottom"/>
          </w:tcPr>
          <w:p w14:paraId="4A46F881" w14:textId="55E5D797" w:rsidR="007B2D6A" w:rsidRPr="007521DA" w:rsidRDefault="007B2D6A">
            <w:pPr>
              <w:pStyle w:val="08-Tabelageral"/>
              <w:rPr>
                <w:b/>
              </w:rPr>
            </w:pPr>
            <w:r w:rsidRPr="007521DA">
              <w:rPr>
                <w:b/>
              </w:rPr>
              <w:t>10</w:t>
            </w:r>
            <w:r w:rsidR="0021624F">
              <w:rPr>
                <w:b/>
              </w:rPr>
              <w:t>,</w:t>
            </w:r>
            <w:r w:rsidRPr="007521DA">
              <w:rPr>
                <w:b/>
              </w:rPr>
              <w:t>928</w:t>
            </w:r>
            <w:r w:rsidR="0021624F">
              <w:rPr>
                <w:b/>
              </w:rPr>
              <w:t>,</w:t>
            </w:r>
            <w:r w:rsidRPr="007521DA">
              <w:rPr>
                <w:b/>
              </w:rPr>
              <w:t>025</w:t>
            </w:r>
          </w:p>
        </w:tc>
        <w:tc>
          <w:tcPr>
            <w:tcW w:w="1581" w:type="dxa"/>
            <w:tcBorders>
              <w:bottom w:val="single" w:sz="4" w:space="0" w:color="auto"/>
            </w:tcBorders>
            <w:shd w:val="clear" w:color="auto" w:fill="auto"/>
            <w:vAlign w:val="bottom"/>
          </w:tcPr>
          <w:p w14:paraId="1FB84581" w14:textId="10430FA3" w:rsidR="007B2D6A" w:rsidRPr="007521DA" w:rsidRDefault="007B2D6A">
            <w:pPr>
              <w:pStyle w:val="08-Tabelageral"/>
              <w:rPr>
                <w:b/>
              </w:rPr>
            </w:pPr>
            <w:r w:rsidRPr="007521DA">
              <w:rPr>
                <w:b/>
              </w:rPr>
              <w:t>7</w:t>
            </w:r>
            <w:r w:rsidR="0021624F">
              <w:rPr>
                <w:b/>
              </w:rPr>
              <w:t>,</w:t>
            </w:r>
            <w:r w:rsidRPr="007521DA">
              <w:rPr>
                <w:b/>
              </w:rPr>
              <w:t>344</w:t>
            </w:r>
            <w:r w:rsidR="0021624F">
              <w:rPr>
                <w:b/>
              </w:rPr>
              <w:t>,</w:t>
            </w:r>
            <w:r w:rsidRPr="007521DA">
              <w:rPr>
                <w:b/>
              </w:rPr>
              <w:t>597</w:t>
            </w:r>
          </w:p>
        </w:tc>
        <w:tc>
          <w:tcPr>
            <w:tcW w:w="1876" w:type="dxa"/>
            <w:tcBorders>
              <w:bottom w:val="single" w:sz="4" w:space="0" w:color="auto"/>
            </w:tcBorders>
            <w:shd w:val="clear" w:color="auto" w:fill="auto"/>
            <w:vAlign w:val="bottom"/>
          </w:tcPr>
          <w:p w14:paraId="7B4F3B21" w14:textId="6A717803" w:rsidR="007B2D6A" w:rsidRPr="007521DA" w:rsidRDefault="007B2D6A">
            <w:pPr>
              <w:pStyle w:val="08-Tabelageral"/>
              <w:rPr>
                <w:b/>
              </w:rPr>
            </w:pPr>
            <w:r w:rsidRPr="007521DA">
              <w:rPr>
                <w:b/>
              </w:rPr>
              <w:t>18</w:t>
            </w:r>
            <w:r w:rsidR="0021624F">
              <w:rPr>
                <w:b/>
              </w:rPr>
              <w:t>,</w:t>
            </w:r>
            <w:r w:rsidRPr="007521DA">
              <w:rPr>
                <w:b/>
              </w:rPr>
              <w:t>272</w:t>
            </w:r>
            <w:r w:rsidR="0021624F">
              <w:rPr>
                <w:b/>
              </w:rPr>
              <w:t>,</w:t>
            </w:r>
            <w:r w:rsidRPr="007521DA">
              <w:rPr>
                <w:b/>
              </w:rPr>
              <w:t>622</w:t>
            </w:r>
          </w:p>
        </w:tc>
      </w:tr>
    </w:tbl>
    <w:p w14:paraId="6D9A39F2" w14:textId="77777777" w:rsidR="007B2D6A" w:rsidRDefault="007B2D6A" w:rsidP="007B2D6A">
      <w:pPr>
        <w:spacing w:after="0"/>
        <w:rPr>
          <w:b/>
          <w:sz w:val="14"/>
        </w:rPr>
      </w:pPr>
    </w:p>
    <w:p w14:paraId="50ADDD9E" w14:textId="77777777" w:rsidR="007B2D6A" w:rsidRDefault="007B2D6A" w:rsidP="007B2D6A">
      <w:pPr>
        <w:spacing w:after="0" w:line="240" w:lineRule="auto"/>
        <w:rPr>
          <w:rFonts w:ascii="Arial" w:hAnsi="Arial" w:cs="Arial"/>
          <w:b/>
          <w:color w:val="1F3864" w:themeColor="accent1" w:themeShade="80"/>
          <w:sz w:val="18"/>
          <w:szCs w:val="18"/>
          <w:lang w:val="en-US"/>
        </w:rPr>
      </w:pPr>
    </w:p>
    <w:p w14:paraId="2827B5BE" w14:textId="77777777" w:rsidR="007B2D6A" w:rsidRPr="007B2D6A" w:rsidRDefault="007B2D6A" w:rsidP="007B2D6A">
      <w:pPr>
        <w:rPr>
          <w:lang w:val="en-US"/>
        </w:rPr>
      </w:pPr>
    </w:p>
    <w:p w14:paraId="3DC5282D" w14:textId="715E54F7" w:rsidR="007D4AB0" w:rsidRPr="00F660A7" w:rsidRDefault="004725AE" w:rsidP="005C1452">
      <w:pPr>
        <w:pStyle w:val="Ttulo1"/>
        <w:pageBreakBefore/>
        <w:spacing w:line="259" w:lineRule="auto"/>
        <w:jc w:val="both"/>
        <w:rPr>
          <w:rFonts w:ascii="Arial" w:hAnsi="Arial" w:cs="Arial"/>
          <w:b/>
          <w:color w:val="1F3864" w:themeColor="accent1" w:themeShade="80"/>
          <w:sz w:val="20"/>
          <w:lang w:val="en-US"/>
        </w:rPr>
      </w:pPr>
      <w:bookmarkStart w:id="42" w:name="_Toc190680628"/>
      <w:r w:rsidRPr="00F660A7">
        <w:rPr>
          <w:rFonts w:ascii="Arial" w:hAnsi="Arial" w:cs="Arial"/>
          <w:b/>
          <w:color w:val="1F3864" w:themeColor="accent1" w:themeShade="80"/>
          <w:sz w:val="20"/>
          <w:lang w:val="en-US"/>
        </w:rPr>
        <w:lastRenderedPageBreak/>
        <w:t>7 - INVESTMENTS IN ASSOCIATES</w:t>
      </w:r>
      <w:bookmarkEnd w:id="41"/>
      <w:bookmarkEnd w:id="42"/>
    </w:p>
    <w:p w14:paraId="7437B077" w14:textId="77777777" w:rsidR="009E215C" w:rsidRPr="004C5A7A" w:rsidRDefault="009E215C" w:rsidP="009E215C">
      <w:pPr>
        <w:pStyle w:val="01-TtulodeNota"/>
        <w:rPr>
          <w:rFonts w:cs="Arial"/>
          <w:color w:val="1F3864" w:themeColor="accent1" w:themeShade="80"/>
          <w:lang w:val="en-US"/>
        </w:rPr>
      </w:pPr>
      <w:bookmarkStart w:id="43" w:name="_Hlk157448813"/>
      <w:r w:rsidRPr="004C5A7A">
        <w:rPr>
          <w:rFonts w:cs="Arial"/>
          <w:color w:val="1F3864" w:themeColor="accent1" w:themeShade="80"/>
          <w:lang w:val="en-US"/>
        </w:rPr>
        <w:t>a) Description of Investments in Equity Holdings, by business segment</w:t>
      </w:r>
    </w:p>
    <w:p w14:paraId="1779AD29" w14:textId="77777777" w:rsidR="009E215C" w:rsidRPr="004C5A7A" w:rsidRDefault="009E215C" w:rsidP="009E215C">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9E215C" w:rsidRPr="001A7DD8" w14:paraId="7A496DBB" w14:textId="77777777" w:rsidTr="00752CF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31F4AEF9" w14:textId="77777777" w:rsidR="009E215C" w:rsidRPr="004C5A7A" w:rsidRDefault="009E215C">
            <w:pPr>
              <w:jc w:val="center"/>
              <w:rPr>
                <w:rFonts w:ascii="Arial" w:hAnsi="Arial" w:cs="Arial"/>
                <w:sz w:val="14"/>
                <w:szCs w:val="14"/>
              </w:rPr>
            </w:pPr>
            <w:r w:rsidRPr="004C5A7A">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12E95F53"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1DFAB6F7"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3649E3F8"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4BBB6A73" w14:textId="77777777" w:rsidR="009E215C" w:rsidRPr="004C5A7A" w:rsidRDefault="009E215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C5A7A">
              <w:rPr>
                <w:rFonts w:cs="Arial"/>
                <w:szCs w:val="14"/>
              </w:rPr>
              <w:t xml:space="preserve">Original </w:t>
            </w:r>
            <w:proofErr w:type="spellStart"/>
            <w:r w:rsidRPr="004C5A7A">
              <w:rPr>
                <w:rFonts w:cs="Arial"/>
                <w:szCs w:val="14"/>
              </w:rPr>
              <w:t>Acconting</w:t>
            </w:r>
            <w:proofErr w:type="spellEnd"/>
            <w:r w:rsidRPr="004C5A7A">
              <w:rPr>
                <w:rFonts w:cs="Arial"/>
                <w:szCs w:val="14"/>
              </w:rPr>
              <w:t xml:space="preserve"> </w:t>
            </w:r>
            <w:proofErr w:type="spellStart"/>
            <w:r w:rsidRPr="004C5A7A">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6FEF90F2" w14:textId="77777777" w:rsidR="009E215C" w:rsidRPr="004C5A7A" w:rsidRDefault="009E215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4988594" w14:textId="77777777" w:rsidR="009E215C" w:rsidRPr="004C5A7A" w:rsidRDefault="009E215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C5A7A">
              <w:rPr>
                <w:rFonts w:cs="Arial"/>
                <w:szCs w:val="14"/>
                <w:lang w:val="en-US"/>
              </w:rPr>
              <w:t>% of total share on</w:t>
            </w:r>
            <w:r w:rsidRPr="004C5A7A">
              <w:rPr>
                <w:rFonts w:cs="Arial"/>
                <w:szCs w:val="14"/>
                <w:lang w:val="en-US"/>
              </w:rPr>
              <w:br/>
            </w:r>
            <w:r w:rsidRPr="004C5A7A">
              <w:rPr>
                <w:rFonts w:cs="Arial"/>
                <w:lang w:val="en-US"/>
              </w:rPr>
              <w:t xml:space="preserve">Dec 31, </w:t>
            </w:r>
            <w:proofErr w:type="gramStart"/>
            <w:r w:rsidRPr="004C5A7A">
              <w:rPr>
                <w:rFonts w:cs="Arial"/>
                <w:lang w:val="en-US"/>
              </w:rPr>
              <w:t>2024</w:t>
            </w:r>
            <w:proofErr w:type="gramEnd"/>
            <w:r w:rsidRPr="004C5A7A">
              <w:rPr>
                <w:rFonts w:cs="Arial"/>
                <w:lang w:val="en-US"/>
              </w:rPr>
              <w:t xml:space="preserve"> </w:t>
            </w:r>
            <w:r w:rsidRPr="004C5A7A">
              <w:rPr>
                <w:rFonts w:cs="Arial"/>
                <w:szCs w:val="14"/>
                <w:lang w:val="en-US"/>
              </w:rPr>
              <w:t xml:space="preserve">and Dec 31, 2023 </w:t>
            </w:r>
            <w:r w:rsidRPr="004C5A7A">
              <w:rPr>
                <w:rFonts w:cs="Arial"/>
                <w:szCs w:val="14"/>
                <w:vertAlign w:val="superscript"/>
                <w:lang w:val="en-US"/>
              </w:rPr>
              <w:t>(1)</w:t>
            </w:r>
          </w:p>
        </w:tc>
      </w:tr>
      <w:tr w:rsidR="009E215C" w:rsidRPr="004C5A7A" w14:paraId="174801F5" w14:textId="77777777" w:rsidTr="00752CFA">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6E039F82" w14:textId="77777777" w:rsidR="009E215C" w:rsidRPr="004C5A7A" w:rsidRDefault="009E215C">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1C0B32BE"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74A667E1"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2EEC202B"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339AEE29"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59AF5AE2"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373E6E96"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71254C34"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3EE94D51" w14:textId="089D10C4"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Total</w:t>
            </w:r>
            <w:r w:rsidR="003868C0">
              <w:rPr>
                <w:rFonts w:ascii="Arial" w:hAnsi="Arial" w:cs="Arial"/>
                <w:b/>
                <w:bCs/>
                <w:sz w:val="14"/>
                <w:szCs w:val="14"/>
              </w:rPr>
              <w:t xml:space="preserve"> </w:t>
            </w:r>
            <w:r w:rsidR="003868C0" w:rsidRPr="003868C0">
              <w:rPr>
                <w:rFonts w:ascii="Arial" w:hAnsi="Arial" w:cs="Arial"/>
                <w:b/>
                <w:bCs/>
                <w:sz w:val="14"/>
                <w:szCs w:val="14"/>
                <w:vertAlign w:val="superscript"/>
              </w:rPr>
              <w:t>(2)</w:t>
            </w:r>
          </w:p>
        </w:tc>
      </w:tr>
      <w:tr w:rsidR="009E215C" w:rsidRPr="004C5A7A" w14:paraId="423C11C7"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407FCC33" w14:textId="77777777" w:rsidR="009E215C" w:rsidRPr="004C5A7A" w:rsidRDefault="009E215C">
            <w:pPr>
              <w:pStyle w:val="08-Tabelageral"/>
              <w:jc w:val="center"/>
              <w:rPr>
                <w:rFonts w:cs="Arial"/>
                <w:bCs w:val="0"/>
                <w:szCs w:val="14"/>
              </w:rPr>
            </w:pPr>
            <w:r w:rsidRPr="004C5A7A">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1C9A336"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2F870A90"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szCs w:val="14"/>
              </w:rPr>
              <w:t>BB Seguros Participações S.A. (</w:t>
            </w:r>
            <w:r w:rsidRPr="004C5A7A">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6AACF5C7"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Style w:val="rynqvb"/>
                <w:rFonts w:cs="Arial"/>
                <w:lang w:val="en"/>
              </w:rPr>
            </w:pPr>
            <w:r w:rsidRPr="004C5A7A">
              <w:rPr>
                <w:rStyle w:val="rynqvb"/>
                <w:rFonts w:cs="Arial"/>
                <w:lang w:val="en"/>
              </w:rPr>
              <w:t>Holding of companies operating in the insurance, open pension, capitalization and dental plans sectors.</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085DBE5F"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0F5CE548"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9D4B96B"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0DA3BE6"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7F38D479"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100.00</w:t>
            </w:r>
          </w:p>
        </w:tc>
      </w:tr>
      <w:tr w:rsidR="004C5A7A" w:rsidRPr="004C5A7A" w14:paraId="142D1789" w14:textId="77777777" w:rsidTr="00752CFA">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1582E7D2" w14:textId="77777777" w:rsidR="009E215C" w:rsidRPr="004C5A7A" w:rsidRDefault="009E215C">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5A0425AD"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4C5A7A">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6C263523" w14:textId="01144475"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C5A7A">
              <w:rPr>
                <w:rFonts w:cs="Arial"/>
                <w:szCs w:val="14"/>
              </w:rPr>
              <w:t>BB MAPFRE Participações S.A. (BB M</w:t>
            </w:r>
            <w:r w:rsidR="0020068E">
              <w:rPr>
                <w:rFonts w:cs="Arial"/>
                <w:szCs w:val="14"/>
              </w:rPr>
              <w:t>APFRE</w:t>
            </w:r>
            <w:r w:rsidRPr="004C5A7A">
              <w:rPr>
                <w:rFonts w:cs="Arial"/>
                <w:szCs w:val="14"/>
              </w:rPr>
              <w:t>)</w:t>
            </w:r>
          </w:p>
        </w:tc>
        <w:tc>
          <w:tcPr>
            <w:tcW w:w="1811" w:type="dxa"/>
            <w:tcBorders>
              <w:top w:val="single" w:sz="2" w:space="0" w:color="1F3864" w:themeColor="accent1" w:themeShade="80"/>
              <w:bottom w:val="nil"/>
            </w:tcBorders>
            <w:shd w:val="clear" w:color="auto" w:fill="FFFFFF" w:themeFill="background1"/>
            <w:vAlign w:val="center"/>
          </w:tcPr>
          <w:p w14:paraId="10D17102"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Style w:val="rynqvb"/>
                <w:rFonts w:cs="Arial"/>
                <w:lang w:val="en"/>
              </w:rPr>
            </w:pPr>
            <w:r w:rsidRPr="004C5A7A">
              <w:rPr>
                <w:rStyle w:val="rynqvb"/>
                <w:rFonts w:cs="Arial"/>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4DE925C7"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045B2B26"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3892FAD7"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79ADE01F"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rPr>
              <w:t>100.00</w:t>
            </w:r>
          </w:p>
        </w:tc>
        <w:tc>
          <w:tcPr>
            <w:tcW w:w="1063" w:type="dxa"/>
            <w:tcBorders>
              <w:top w:val="single" w:sz="2" w:space="0" w:color="1F3864" w:themeColor="accent1" w:themeShade="80"/>
              <w:bottom w:val="nil"/>
            </w:tcBorders>
            <w:shd w:val="clear" w:color="auto" w:fill="FFFFFF" w:themeFill="background1"/>
            <w:vAlign w:val="center"/>
          </w:tcPr>
          <w:p w14:paraId="1E7BF32F"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74.99</w:t>
            </w:r>
          </w:p>
        </w:tc>
      </w:tr>
      <w:tr w:rsidR="004C5A7A" w:rsidRPr="004C5A7A" w14:paraId="363ADA4B"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20ECA4DC" w14:textId="77777777" w:rsidR="009E215C" w:rsidRPr="004C5A7A" w:rsidRDefault="009E215C">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317D4757"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2E26B005" w14:textId="71DBBF9A"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C5A7A">
              <w:rPr>
                <w:rFonts w:cs="Arial"/>
                <w:szCs w:val="14"/>
              </w:rPr>
              <w:t>Brasilseg</w:t>
            </w:r>
            <w:proofErr w:type="spellEnd"/>
            <w:r w:rsidRPr="004C5A7A">
              <w:rPr>
                <w:rFonts w:cs="Arial"/>
                <w:szCs w:val="14"/>
              </w:rPr>
              <w:t xml:space="preserve"> Companhia de Seguros (</w:t>
            </w:r>
            <w:proofErr w:type="spellStart"/>
            <w:r w:rsidRPr="004C5A7A">
              <w:rPr>
                <w:rFonts w:cs="Arial"/>
                <w:szCs w:val="14"/>
              </w:rPr>
              <w:t>Brasilseg</w:t>
            </w:r>
            <w:proofErr w:type="spellEnd"/>
            <w:r w:rsidRPr="004C5A7A">
              <w:rPr>
                <w:rFonts w:cs="Arial"/>
                <w:szCs w:val="14"/>
              </w:rPr>
              <w:t>)</w:t>
            </w:r>
          </w:p>
        </w:tc>
        <w:tc>
          <w:tcPr>
            <w:tcW w:w="1811" w:type="dxa"/>
            <w:tcBorders>
              <w:top w:val="nil"/>
              <w:bottom w:val="nil"/>
            </w:tcBorders>
            <w:shd w:val="clear" w:color="auto" w:fill="FFFFFF" w:themeFill="background1"/>
            <w:vAlign w:val="center"/>
          </w:tcPr>
          <w:p w14:paraId="1D3B7A5F"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Style w:val="rynqvb"/>
                <w:rFonts w:cs="Arial"/>
                <w:lang w:val="en"/>
              </w:rPr>
            </w:pPr>
            <w:r w:rsidRPr="004C5A7A">
              <w:rPr>
                <w:rStyle w:val="rynqvb"/>
                <w:rFonts w:cs="Arial"/>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0DD25E17"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szCs w:val="14"/>
              </w:rPr>
              <w:t>SUSEPGAAP</w:t>
            </w:r>
          </w:p>
        </w:tc>
        <w:tc>
          <w:tcPr>
            <w:tcW w:w="440" w:type="dxa"/>
            <w:tcBorders>
              <w:top w:val="nil"/>
              <w:bottom w:val="nil"/>
            </w:tcBorders>
            <w:shd w:val="clear" w:color="auto" w:fill="FFFFFF" w:themeFill="background1"/>
          </w:tcPr>
          <w:p w14:paraId="5A704815"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208A4285"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49.99</w:t>
            </w:r>
          </w:p>
        </w:tc>
        <w:tc>
          <w:tcPr>
            <w:tcW w:w="712" w:type="dxa"/>
            <w:tcBorders>
              <w:top w:val="nil"/>
              <w:bottom w:val="nil"/>
            </w:tcBorders>
            <w:shd w:val="clear" w:color="auto" w:fill="FFFFFF" w:themeFill="background1"/>
            <w:vAlign w:val="center"/>
          </w:tcPr>
          <w:p w14:paraId="7326A993"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rPr>
              <w:t>100.00</w:t>
            </w:r>
          </w:p>
        </w:tc>
        <w:tc>
          <w:tcPr>
            <w:tcW w:w="1063" w:type="dxa"/>
            <w:tcBorders>
              <w:top w:val="nil"/>
              <w:bottom w:val="nil"/>
            </w:tcBorders>
            <w:shd w:val="clear" w:color="auto" w:fill="FFFFFF" w:themeFill="background1"/>
            <w:vAlign w:val="center"/>
          </w:tcPr>
          <w:p w14:paraId="2D4474A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74.99</w:t>
            </w:r>
          </w:p>
        </w:tc>
      </w:tr>
      <w:tr w:rsidR="004C5A7A" w:rsidRPr="004C5A7A" w14:paraId="30F6B3B4"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AD5439E" w14:textId="77777777" w:rsidR="009E215C" w:rsidRPr="004C5A7A" w:rsidRDefault="009E215C">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328FCC1B"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5195FB21"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C5A7A">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01CFFA3B"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Style w:val="rynqvb"/>
                <w:rFonts w:cs="Arial"/>
                <w:lang w:val="en"/>
              </w:rPr>
            </w:pPr>
            <w:r w:rsidRPr="004C5A7A">
              <w:rPr>
                <w:rStyle w:val="rynqvb"/>
                <w:rFonts w:cs="Arial"/>
                <w:lang w:val="en"/>
              </w:rPr>
              <w:t>Expertise in insurance in the damage and rural insurance sectors.</w:t>
            </w:r>
          </w:p>
        </w:tc>
        <w:tc>
          <w:tcPr>
            <w:tcW w:w="1224" w:type="dxa"/>
            <w:tcBorders>
              <w:top w:val="nil"/>
              <w:bottom w:val="nil"/>
            </w:tcBorders>
            <w:shd w:val="clear" w:color="auto" w:fill="FFFFFF" w:themeFill="background1"/>
            <w:vAlign w:val="center"/>
          </w:tcPr>
          <w:p w14:paraId="22BF69B9"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4C5A7A">
              <w:rPr>
                <w:rFonts w:cs="Arial"/>
                <w:szCs w:val="14"/>
              </w:rPr>
              <w:t>SUSEPGAAP</w:t>
            </w:r>
          </w:p>
        </w:tc>
        <w:tc>
          <w:tcPr>
            <w:tcW w:w="440" w:type="dxa"/>
            <w:tcBorders>
              <w:top w:val="nil"/>
              <w:bottom w:val="nil"/>
            </w:tcBorders>
            <w:shd w:val="clear" w:color="auto" w:fill="FFFFFF" w:themeFill="background1"/>
          </w:tcPr>
          <w:p w14:paraId="2447B235"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6D8C571F"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49.99</w:t>
            </w:r>
          </w:p>
        </w:tc>
        <w:tc>
          <w:tcPr>
            <w:tcW w:w="712" w:type="dxa"/>
            <w:tcBorders>
              <w:top w:val="nil"/>
              <w:bottom w:val="nil"/>
            </w:tcBorders>
            <w:shd w:val="clear" w:color="auto" w:fill="FFFFFF" w:themeFill="background1"/>
            <w:vAlign w:val="center"/>
          </w:tcPr>
          <w:p w14:paraId="3BF71F1F"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rPr>
            </w:pPr>
            <w:r w:rsidRPr="004C5A7A">
              <w:rPr>
                <w:rFonts w:cs="Arial"/>
                <w:bCs/>
              </w:rPr>
              <w:t>100.00</w:t>
            </w:r>
          </w:p>
        </w:tc>
        <w:tc>
          <w:tcPr>
            <w:tcW w:w="1063" w:type="dxa"/>
            <w:tcBorders>
              <w:top w:val="nil"/>
              <w:bottom w:val="nil"/>
            </w:tcBorders>
            <w:shd w:val="clear" w:color="auto" w:fill="FFFFFF" w:themeFill="background1"/>
            <w:vAlign w:val="center"/>
          </w:tcPr>
          <w:p w14:paraId="1271C09B"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74.99</w:t>
            </w:r>
          </w:p>
        </w:tc>
      </w:tr>
      <w:tr w:rsidR="004C5A7A" w:rsidRPr="004C5A7A" w14:paraId="0FF6D4C4"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358DF7B" w14:textId="77777777" w:rsidR="009E215C" w:rsidRPr="004C5A7A" w:rsidRDefault="009E215C">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0382120E"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2FFB688C"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5AE684F2"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C5A7A">
              <w:rPr>
                <w:rStyle w:val="rynqvb"/>
                <w:rFonts w:cs="Arial"/>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588719B2"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51F19D13"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3D23D2D2"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225B91DD"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2DF7A161"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lang w:eastAsia="en-US"/>
              </w:rPr>
              <w:t>37,50</w:t>
            </w:r>
          </w:p>
        </w:tc>
      </w:tr>
      <w:tr w:rsidR="004C5A7A" w:rsidRPr="004C5A7A" w14:paraId="38CDBE36"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B4D2478" w14:textId="77777777" w:rsidR="009E215C" w:rsidRPr="004C5A7A" w:rsidRDefault="009E215C">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297CCB17"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4C5A7A">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3387ED60"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4C5A7A">
              <w:rPr>
                <w:rFonts w:cs="Arial"/>
                <w:szCs w:val="14"/>
              </w:rPr>
              <w:t>Brasilcap</w:t>
            </w:r>
            <w:proofErr w:type="spellEnd"/>
            <w:r w:rsidRPr="004C5A7A">
              <w:rPr>
                <w:rFonts w:cs="Arial"/>
                <w:szCs w:val="14"/>
              </w:rPr>
              <w:t xml:space="preserve"> Capitalização S.A. (</w:t>
            </w:r>
            <w:proofErr w:type="spellStart"/>
            <w:r w:rsidRPr="004C5A7A">
              <w:rPr>
                <w:rFonts w:cs="Arial"/>
                <w:szCs w:val="14"/>
              </w:rPr>
              <w:t>Brasilcap</w:t>
            </w:r>
            <w:proofErr w:type="spellEnd"/>
            <w:r w:rsidRPr="004C5A7A">
              <w:rPr>
                <w:rFonts w:cs="Arial"/>
                <w:szCs w:val="14"/>
              </w:rPr>
              <w:t>)</w:t>
            </w:r>
          </w:p>
        </w:tc>
        <w:tc>
          <w:tcPr>
            <w:tcW w:w="1811" w:type="dxa"/>
            <w:vMerge w:val="restart"/>
            <w:tcBorders>
              <w:top w:val="single" w:sz="2" w:space="0" w:color="1F3864" w:themeColor="accent1" w:themeShade="80"/>
            </w:tcBorders>
            <w:shd w:val="clear" w:color="auto" w:fill="FFFFFF" w:themeFill="background1"/>
            <w:vAlign w:val="center"/>
          </w:tcPr>
          <w:p w14:paraId="00AA4250"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4C5A7A">
              <w:rPr>
                <w:rStyle w:val="rynqvb"/>
                <w:rFonts w:cs="Arial"/>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1EBEA0A6"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1225D2E1"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5017C729"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3B4041AE"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2B2480D6"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C5A7A">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326F564D"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44EA987"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08CA8CEB"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C5A7A">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5D8CC400"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C48096A"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29E2A68"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C5A7A">
              <w:rPr>
                <w:rFonts w:cs="Arial"/>
                <w:bCs/>
                <w:lang w:eastAsia="en-US"/>
              </w:rPr>
              <w:t>66.77</w:t>
            </w:r>
          </w:p>
        </w:tc>
      </w:tr>
      <w:tr w:rsidR="004C5A7A" w:rsidRPr="004C5A7A" w14:paraId="6591532C"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4806DCC8" w14:textId="77777777" w:rsidR="009E215C" w:rsidRPr="004C5A7A" w:rsidRDefault="009E215C">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A50C337"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175DF7AA"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0AF2F0B4"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2508E8DB"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61D9EDA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007E0BB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7E931C6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6CB48CFA"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4C5A7A" w:rsidRPr="004C5A7A" w14:paraId="7EDF88DB"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13309EAC" w14:textId="77777777" w:rsidR="009E215C" w:rsidRPr="004C5A7A" w:rsidRDefault="009E215C">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B43DE3D"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4C5A7A">
              <w:rPr>
                <w:rFonts w:cs="Arial"/>
                <w:b/>
                <w:szCs w:val="14"/>
              </w:rPr>
              <w:t xml:space="preserve">Private </w:t>
            </w:r>
            <w:proofErr w:type="spellStart"/>
            <w:r w:rsidRPr="004C5A7A">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05B19504"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C5A7A">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8AE7F8A"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4C5A7A">
              <w:rPr>
                <w:rStyle w:val="rynqvb"/>
                <w:rFonts w:cs="Arial"/>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5F96BE"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5326C70C"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1AEF0E7"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F5C83B7"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B35ED5B"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74.99</w:t>
            </w:r>
          </w:p>
        </w:tc>
      </w:tr>
      <w:tr w:rsidR="004C5A7A" w:rsidRPr="004C5A7A" w14:paraId="674A991A"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09240BA" w14:textId="77777777" w:rsidR="009E215C" w:rsidRPr="004C5A7A" w:rsidRDefault="009E215C">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65CA137B"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145A55D0"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C5A7A">
              <w:rPr>
                <w:rFonts w:cs="Arial"/>
                <w:szCs w:val="14"/>
              </w:rPr>
              <w:t>Brasildental</w:t>
            </w:r>
            <w:proofErr w:type="spellEnd"/>
            <w:r w:rsidRPr="004C5A7A">
              <w:rPr>
                <w:rFonts w:cs="Arial"/>
                <w:szCs w:val="14"/>
              </w:rPr>
              <w:t xml:space="preserve"> Operadora de Planos Odontológicos S.A. (</w:t>
            </w:r>
            <w:proofErr w:type="spellStart"/>
            <w:r w:rsidRPr="004C5A7A">
              <w:rPr>
                <w:rFonts w:cs="Arial"/>
                <w:szCs w:val="14"/>
              </w:rPr>
              <w:t>Brasildental</w:t>
            </w:r>
            <w:proofErr w:type="spellEnd"/>
            <w:r w:rsidRPr="004C5A7A">
              <w:rPr>
                <w:rFonts w:cs="Arial"/>
                <w:szCs w:val="14"/>
              </w:rPr>
              <w:t>)</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89AD744"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C5A7A">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7412937"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39D6F0D5"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5E1EAA8"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6F3E94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6481B43"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74.99</w:t>
            </w:r>
          </w:p>
        </w:tc>
      </w:tr>
      <w:tr w:rsidR="004C5A7A" w:rsidRPr="004C5A7A" w14:paraId="1DDE7492"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33E06A64" w14:textId="77777777" w:rsidR="009E215C" w:rsidRPr="004C5A7A" w:rsidRDefault="009E215C">
            <w:pPr>
              <w:pStyle w:val="08-Tabelageral"/>
              <w:jc w:val="center"/>
              <w:rPr>
                <w:rFonts w:cs="Arial"/>
                <w:b w:val="0"/>
                <w:bCs w:val="0"/>
                <w:szCs w:val="14"/>
              </w:rPr>
            </w:pPr>
            <w:proofErr w:type="spellStart"/>
            <w:r w:rsidRPr="004C5A7A">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435E400A"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11CBA4F0"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C5A7A">
              <w:rPr>
                <w:rFonts w:cs="Arial"/>
                <w:bCs/>
                <w:szCs w:val="14"/>
              </w:rPr>
              <w:t>BB Corretora de Seguros e Adm. de Bens S.A. (</w:t>
            </w:r>
            <w:r w:rsidRPr="004C5A7A">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4C8354D7" w14:textId="77777777" w:rsidR="009E215C" w:rsidRPr="004C5A7A" w:rsidRDefault="009E215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4C5A7A">
              <w:rPr>
                <w:rStyle w:val="rynqvb"/>
                <w:rFonts w:cs="Arial"/>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655AAB26"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6264B1FC"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4C0D00F0"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29E9E2B6"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rPr>
              <w:t>--</w:t>
            </w:r>
          </w:p>
        </w:tc>
        <w:tc>
          <w:tcPr>
            <w:tcW w:w="1063" w:type="dxa"/>
            <w:tcBorders>
              <w:top w:val="single" w:sz="2" w:space="0" w:color="1F3864" w:themeColor="accent1" w:themeShade="80"/>
              <w:bottom w:val="nil"/>
            </w:tcBorders>
            <w:shd w:val="clear" w:color="auto" w:fill="FFFFFF" w:themeFill="background1"/>
            <w:vAlign w:val="center"/>
          </w:tcPr>
          <w:p w14:paraId="0CAB2CB3" w14:textId="77777777" w:rsidR="009E215C" w:rsidRPr="004C5A7A" w:rsidRDefault="009E215C">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C5A7A">
              <w:rPr>
                <w:rFonts w:cs="Arial"/>
                <w:bCs/>
                <w:szCs w:val="14"/>
              </w:rPr>
              <w:t>100.00</w:t>
            </w:r>
          </w:p>
        </w:tc>
      </w:tr>
      <w:tr w:rsidR="004C5A7A" w:rsidRPr="004C5A7A" w14:paraId="66ECCC57"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7A2AB896" w14:textId="77777777" w:rsidR="009E215C" w:rsidRPr="004C5A7A" w:rsidRDefault="009E215C">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3F8517F"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785B4A7A"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C5A7A">
              <w:rPr>
                <w:rFonts w:cs="Arial"/>
                <w:bCs/>
                <w:szCs w:val="14"/>
              </w:rPr>
              <w:t>Ciclic</w:t>
            </w:r>
            <w:proofErr w:type="spellEnd"/>
            <w:r w:rsidRPr="004C5A7A">
              <w:rPr>
                <w:rFonts w:cs="Arial"/>
                <w:bCs/>
                <w:szCs w:val="14"/>
              </w:rPr>
              <w:t xml:space="preserve"> Corretora de Seguros S.A. (</w:t>
            </w:r>
            <w:proofErr w:type="spellStart"/>
            <w:r w:rsidRPr="004C5A7A">
              <w:rPr>
                <w:rFonts w:cs="Arial"/>
                <w:szCs w:val="14"/>
              </w:rPr>
              <w:t>Ciclic</w:t>
            </w:r>
            <w:proofErr w:type="spellEnd"/>
            <w:r w:rsidRPr="004C5A7A">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61452640" w14:textId="77777777" w:rsidR="009E215C" w:rsidRPr="004C5A7A" w:rsidRDefault="009E215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C5A7A">
              <w:rPr>
                <w:rStyle w:val="rynqvb"/>
                <w:rFonts w:cs="Arial"/>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34D94FE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0FDA0A10"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3AC0B871"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0E709C79"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rPr>
              <w:t>100.00</w:t>
            </w:r>
          </w:p>
        </w:tc>
        <w:tc>
          <w:tcPr>
            <w:tcW w:w="1063" w:type="dxa"/>
            <w:tcBorders>
              <w:top w:val="nil"/>
              <w:bottom w:val="single" w:sz="2" w:space="0" w:color="1F3864" w:themeColor="accent1" w:themeShade="80"/>
            </w:tcBorders>
            <w:shd w:val="clear" w:color="auto" w:fill="FFFFFF" w:themeFill="background1"/>
            <w:vAlign w:val="center"/>
          </w:tcPr>
          <w:p w14:paraId="112F8422" w14:textId="77777777" w:rsidR="009E215C" w:rsidRPr="004C5A7A" w:rsidRDefault="009E215C">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C5A7A">
              <w:rPr>
                <w:rFonts w:cs="Arial"/>
                <w:bCs/>
                <w:szCs w:val="14"/>
              </w:rPr>
              <w:t>74.99</w:t>
            </w:r>
          </w:p>
        </w:tc>
      </w:tr>
    </w:tbl>
    <w:p w14:paraId="25680418" w14:textId="55C9DBDF" w:rsidR="009E215C" w:rsidRPr="004C5A7A" w:rsidRDefault="009E215C" w:rsidP="005F2CF4">
      <w:pPr>
        <w:pStyle w:val="paragraph"/>
        <w:numPr>
          <w:ilvl w:val="0"/>
          <w:numId w:val="43"/>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4C5A7A">
        <w:rPr>
          <w:rStyle w:val="normaltextrun"/>
          <w:rFonts w:ascii="Arial" w:hAnsi="Arial" w:cs="Arial"/>
          <w:sz w:val="14"/>
          <w:szCs w:val="14"/>
          <w:lang w:val="en-US"/>
        </w:rPr>
        <w:t>There was no change in the participation percentages of Investments in Shareholdings.</w:t>
      </w:r>
    </w:p>
    <w:p w14:paraId="1B7F8BF6" w14:textId="77777777" w:rsidR="00BA0B72" w:rsidRPr="00BA0B72" w:rsidRDefault="00BA0B72" w:rsidP="005F2CF4">
      <w:pPr>
        <w:pStyle w:val="paragraph"/>
        <w:numPr>
          <w:ilvl w:val="0"/>
          <w:numId w:val="43"/>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BA0B72">
        <w:rPr>
          <w:rStyle w:val="normaltextrun"/>
          <w:rFonts w:ascii="Arial" w:hAnsi="Arial" w:cs="Arial"/>
          <w:sz w:val="14"/>
          <w:szCs w:val="14"/>
          <w:lang w:val="en-US"/>
        </w:rPr>
        <w:t xml:space="preserve">The total percentage of BB </w:t>
      </w:r>
      <w:proofErr w:type="spellStart"/>
      <w:r w:rsidRPr="00BA0B72">
        <w:rPr>
          <w:rStyle w:val="normaltextrun"/>
          <w:rFonts w:ascii="Arial" w:hAnsi="Arial" w:cs="Arial"/>
          <w:sz w:val="14"/>
          <w:szCs w:val="14"/>
          <w:lang w:val="en-US"/>
        </w:rPr>
        <w:t>Seguridade's</w:t>
      </w:r>
      <w:proofErr w:type="spellEnd"/>
      <w:r w:rsidRPr="00BA0B72">
        <w:rPr>
          <w:rStyle w:val="normaltextrun"/>
          <w:rFonts w:ascii="Arial" w:hAnsi="Arial" w:cs="Arial"/>
          <w:sz w:val="14"/>
          <w:szCs w:val="14"/>
          <w:lang w:val="en-US"/>
        </w:rPr>
        <w:t xml:space="preserve"> shareholding is represented by the proportion in relation to the total number of shares, based on the total number of common and preferred shares and the proportion held of each type of share.</w:t>
      </w:r>
    </w:p>
    <w:p w14:paraId="36E3B6E1" w14:textId="77777777" w:rsidR="000F55A7" w:rsidRPr="00A159E6" w:rsidRDefault="000F55A7" w:rsidP="00BA0B72">
      <w:pPr>
        <w:pStyle w:val="paragraph"/>
        <w:spacing w:before="0" w:beforeAutospacing="0" w:after="0" w:afterAutospacing="0"/>
        <w:ind w:left="284" w:hanging="284"/>
        <w:jc w:val="both"/>
        <w:textAlignment w:val="baseline"/>
        <w:rPr>
          <w:rFonts w:ascii="Arial" w:hAnsi="Arial" w:cs="Arial"/>
          <w:sz w:val="14"/>
          <w:szCs w:val="14"/>
          <w:lang w:val="en-US" w:eastAsia="zh-CN"/>
        </w:rPr>
      </w:pPr>
    </w:p>
    <w:p w14:paraId="21FCE5A5" w14:textId="77777777" w:rsidR="00A159E6" w:rsidRPr="003E736A" w:rsidRDefault="00A159E6" w:rsidP="00A159E6">
      <w:pPr>
        <w:pStyle w:val="05-Textonormal"/>
        <w:rPr>
          <w:rFonts w:cs="Arial"/>
          <w:b/>
          <w:lang w:val="en-US"/>
        </w:rPr>
      </w:pPr>
      <w:r w:rsidRPr="003E736A">
        <w:rPr>
          <w:rFonts w:cs="Arial"/>
          <w:lang w:val="en-US"/>
        </w:rPr>
        <w:t xml:space="preserve">The invested companies of BB </w:t>
      </w:r>
      <w:proofErr w:type="spellStart"/>
      <w:r w:rsidRPr="003E736A">
        <w:rPr>
          <w:rFonts w:cs="Arial"/>
          <w:lang w:val="en-US"/>
        </w:rPr>
        <w:t>Seguros</w:t>
      </w:r>
      <w:proofErr w:type="spellEnd"/>
      <w:r w:rsidRPr="003E736A">
        <w:rPr>
          <w:rFonts w:cs="Arial"/>
          <w:lang w:val="en-US"/>
        </w:rPr>
        <w:t xml:space="preserve"> and BB </w:t>
      </w:r>
      <w:proofErr w:type="spellStart"/>
      <w:r w:rsidRPr="003E736A">
        <w:rPr>
          <w:rFonts w:cs="Arial"/>
          <w:lang w:val="en-US"/>
        </w:rPr>
        <w:t>Corretora</w:t>
      </w:r>
      <w:proofErr w:type="spellEnd"/>
      <w:r w:rsidRPr="003E736A">
        <w:rPr>
          <w:rFonts w:cs="Arial"/>
          <w:lang w:val="en-US"/>
        </w:rPr>
        <w:t xml:space="preserve">, direct subsidiaries of BB </w:t>
      </w:r>
      <w:proofErr w:type="spellStart"/>
      <w:r w:rsidRPr="003E736A">
        <w:rPr>
          <w:rFonts w:cs="Arial"/>
          <w:lang w:val="en-US"/>
        </w:rPr>
        <w:t>Seguridade</w:t>
      </w:r>
      <w:proofErr w:type="spellEnd"/>
      <w:r w:rsidRPr="003E736A">
        <w:rPr>
          <w:rFonts w:cs="Arial"/>
          <w:lang w:val="en-US"/>
        </w:rPr>
        <w:t>, are jointly controlled or associated companies measured by the equity method, and do not have shares regularly traded on stock exchanges. There is no indication of operational discontinuity for such companies.</w:t>
      </w:r>
    </w:p>
    <w:p w14:paraId="012EEC9B" w14:textId="77777777" w:rsidR="009E215C" w:rsidRPr="004C5A7A" w:rsidRDefault="009E215C" w:rsidP="009E215C">
      <w:pPr>
        <w:pStyle w:val="01-TtulodeNota"/>
        <w:keepNext/>
        <w:keepLines/>
        <w:pageBreakBefore/>
        <w:rPr>
          <w:rFonts w:cs="Arial"/>
          <w:color w:val="1F3864" w:themeColor="accent1" w:themeShade="80"/>
          <w:lang w:val="en-US"/>
        </w:rPr>
      </w:pPr>
      <w:r w:rsidRPr="004C5A7A">
        <w:rPr>
          <w:rFonts w:cs="Arial"/>
          <w:color w:val="1F3864" w:themeColor="accent1" w:themeShade="80"/>
          <w:lang w:val="en-US"/>
        </w:rPr>
        <w:lastRenderedPageBreak/>
        <w:t>b) Equity interests valued using the equity method</w:t>
      </w:r>
    </w:p>
    <w:p w14:paraId="0037B567" w14:textId="77777777" w:rsidR="009E215C" w:rsidRPr="004C5A7A" w:rsidRDefault="009E215C" w:rsidP="009E215C">
      <w:pPr>
        <w:spacing w:before="120" w:after="12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t>b.1) Capital and Stockholders' equity</w:t>
      </w:r>
    </w:p>
    <w:p w14:paraId="7436E1A5" w14:textId="77777777" w:rsidR="009E215C" w:rsidRPr="004C5A7A" w:rsidRDefault="009E215C" w:rsidP="009E215C">
      <w:pPr>
        <w:pStyle w:val="05-Textonormal"/>
        <w:spacing w:before="0" w:after="80" w:line="240" w:lineRule="auto"/>
        <w:rPr>
          <w:rFonts w:cs="Arial"/>
          <w:lang w:val="en-US"/>
        </w:rPr>
      </w:pPr>
      <w:r w:rsidRPr="004C5A7A">
        <w:rPr>
          <w:rFonts w:cs="Arial"/>
          <w:lang w:val="en-US"/>
        </w:rPr>
        <w:t xml:space="preserve">The values ​​of net assets and share capital presented in the tables below are not proportional to the percentage of equity interest held by BB </w:t>
      </w:r>
      <w:proofErr w:type="spellStart"/>
      <w:r w:rsidRPr="004C5A7A">
        <w:rPr>
          <w:rFonts w:cs="Arial"/>
          <w:lang w:val="en-US"/>
        </w:rPr>
        <w:t>Seguridade</w:t>
      </w:r>
      <w:proofErr w:type="spellEnd"/>
      <w:r w:rsidRPr="004C5A7A">
        <w:rPr>
          <w:rFonts w:cs="Arial"/>
          <w:lang w:val="en-US"/>
        </w:rPr>
        <w:t>, that is, they represent the total balance of the net assets and share capital of the respective companies.</w:t>
      </w:r>
    </w:p>
    <w:p w14:paraId="787B693D" w14:textId="77777777" w:rsidR="009E215C" w:rsidRPr="004C5A7A" w:rsidRDefault="009E215C" w:rsidP="009E215C">
      <w:pPr>
        <w:pStyle w:val="01-TtulodeNota"/>
        <w:keepNext/>
        <w:keepLines/>
        <w:spacing w:before="0" w:after="0"/>
        <w:jc w:val="right"/>
        <w:rPr>
          <w:rFonts w:cs="Arial"/>
          <w:color w:val="000000" w:themeColor="text1"/>
          <w:sz w:val="14"/>
          <w:szCs w:val="14"/>
          <w:lang w:val="en-US"/>
        </w:rPr>
      </w:pPr>
      <w:r w:rsidRPr="004C5A7A">
        <w:rPr>
          <w:rFonts w:cs="Arial"/>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9E215C" w:rsidRPr="004C5A7A" w14:paraId="36CD93D4" w14:textId="77777777" w:rsidTr="00752CF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31814C10" w14:textId="77777777" w:rsidR="009E215C" w:rsidRPr="004C5A7A" w:rsidRDefault="009E215C">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84FC1E0"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4C5A7A">
              <w:rPr>
                <w:rFonts w:ascii="Arial" w:hAnsi="Arial" w:cs="Arial"/>
                <w:sz w:val="14"/>
                <w:szCs w:val="14"/>
              </w:rPr>
              <w:t>Parent</w:t>
            </w:r>
            <w:proofErr w:type="spellEnd"/>
          </w:p>
        </w:tc>
      </w:tr>
      <w:tr w:rsidR="009E215C" w:rsidRPr="004C5A7A" w14:paraId="6BF7F66B"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07AD039C" w14:textId="77777777" w:rsidR="009E215C" w:rsidRPr="004C5A7A" w:rsidRDefault="009E215C">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70381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3256C1A"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B10ACB"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Corretora</w:t>
            </w:r>
          </w:p>
        </w:tc>
      </w:tr>
      <w:tr w:rsidR="009E215C" w:rsidRPr="004C5A7A" w14:paraId="1499F9AE"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FFFFFF" w:themeFill="background1"/>
            <w:vAlign w:val="center"/>
            <w:hideMark/>
          </w:tcPr>
          <w:p w14:paraId="22B55D8F" w14:textId="77777777" w:rsidR="009E215C" w:rsidRPr="004C5A7A" w:rsidRDefault="009E215C">
            <w:pPr>
              <w:rPr>
                <w:rFonts w:ascii="Arial" w:hAnsi="Arial" w:cs="Arial"/>
                <w:sz w:val="14"/>
                <w:szCs w:val="14"/>
              </w:rPr>
            </w:pPr>
            <w:r w:rsidRPr="004C5A7A">
              <w:rPr>
                <w:rFonts w:ascii="Arial" w:eastAsia="Times New Roman" w:hAnsi="Arial" w:cs="Arial"/>
                <w:spacing w:val="-2"/>
                <w:sz w:val="14"/>
                <w:szCs w:val="14"/>
                <w:lang w:eastAsia="pt-BR"/>
              </w:rPr>
              <w:t xml:space="preserve">Balance </w:t>
            </w:r>
            <w:proofErr w:type="spellStart"/>
            <w:r w:rsidRPr="004C5A7A">
              <w:rPr>
                <w:rFonts w:ascii="Arial" w:eastAsia="Times New Roman" w:hAnsi="Arial" w:cs="Arial"/>
                <w:spacing w:val="-2"/>
                <w:sz w:val="14"/>
                <w:szCs w:val="14"/>
                <w:lang w:eastAsia="pt-BR"/>
              </w:rPr>
              <w:t>on</w:t>
            </w:r>
            <w:proofErr w:type="spellEnd"/>
            <w:r w:rsidRPr="004C5A7A">
              <w:rPr>
                <w:rFonts w:ascii="Arial" w:eastAsia="Times New Roman" w:hAnsi="Arial" w:cs="Arial"/>
                <w:spacing w:val="-2"/>
                <w:sz w:val="14"/>
                <w:szCs w:val="14"/>
                <w:lang w:eastAsia="pt-BR"/>
              </w:rPr>
              <w:t xml:space="preserve"> </w:t>
            </w:r>
            <w:proofErr w:type="spellStart"/>
            <w:r w:rsidRPr="004C5A7A">
              <w:rPr>
                <w:rFonts w:ascii="Arial" w:eastAsia="Times New Roman" w:hAnsi="Arial" w:cs="Arial"/>
                <w:spacing w:val="-2"/>
                <w:sz w:val="14"/>
                <w:szCs w:val="14"/>
                <w:lang w:eastAsia="pt-BR"/>
              </w:rPr>
              <w:t>Dec</w:t>
            </w:r>
            <w:proofErr w:type="spellEnd"/>
            <w:r w:rsidRPr="004C5A7A">
              <w:rPr>
                <w:rFonts w:ascii="Arial" w:eastAsia="Times New Roman" w:hAnsi="Arial" w:cs="Arial"/>
                <w:spacing w:val="-2"/>
                <w:sz w:val="14"/>
                <w:szCs w:val="14"/>
                <w:lang w:eastAsia="pt-BR"/>
              </w:rPr>
              <w:t xml:space="preserve"> 31, 2024</w:t>
            </w:r>
          </w:p>
        </w:tc>
        <w:tc>
          <w:tcPr>
            <w:tcW w:w="5465" w:type="dxa"/>
            <w:gridSpan w:val="3"/>
            <w:tcBorders>
              <w:top w:val="single" w:sz="2" w:space="0" w:color="9CC2E5" w:themeColor="accent5" w:themeTint="99"/>
              <w:left w:val="nil"/>
              <w:bottom w:val="nil"/>
              <w:right w:val="nil"/>
            </w:tcBorders>
            <w:shd w:val="clear" w:color="auto" w:fill="FFFFFF" w:themeFill="background1"/>
            <w:vAlign w:val="center"/>
          </w:tcPr>
          <w:p w14:paraId="22D30600" w14:textId="77777777" w:rsidR="009E215C" w:rsidRPr="004C5A7A" w:rsidRDefault="009E215C">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9E215C" w:rsidRPr="004C5A7A" w14:paraId="0559B5BC"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20C4D38" w14:textId="77777777" w:rsidR="009E215C" w:rsidRPr="004C5A7A" w:rsidRDefault="009E215C">
            <w:pPr>
              <w:ind w:firstLine="174"/>
              <w:rPr>
                <w:rFonts w:ascii="Arial" w:hAnsi="Arial" w:cs="Arial"/>
                <w:b w:val="0"/>
                <w:bCs w:val="0"/>
                <w:color w:val="FF0000"/>
                <w:sz w:val="14"/>
                <w:szCs w:val="14"/>
              </w:rPr>
            </w:pPr>
            <w:r w:rsidRPr="004C5A7A">
              <w:rPr>
                <w:rFonts w:ascii="Arial" w:hAnsi="Arial" w:cs="Arial"/>
                <w:b w:val="0"/>
                <w:sz w:val="14"/>
                <w:szCs w:val="14"/>
              </w:rPr>
              <w:t>Capital</w:t>
            </w:r>
          </w:p>
        </w:tc>
        <w:tc>
          <w:tcPr>
            <w:tcW w:w="1971" w:type="dxa"/>
            <w:tcBorders>
              <w:top w:val="nil"/>
              <w:left w:val="nil"/>
              <w:bottom w:val="nil"/>
              <w:right w:val="nil"/>
            </w:tcBorders>
            <w:shd w:val="clear" w:color="auto" w:fill="FFFFFF" w:themeFill="background1"/>
            <w:vAlign w:val="center"/>
          </w:tcPr>
          <w:p w14:paraId="5CFB4258"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p>
        </w:tc>
        <w:tc>
          <w:tcPr>
            <w:tcW w:w="1712" w:type="dxa"/>
            <w:tcBorders>
              <w:top w:val="nil"/>
              <w:left w:val="nil"/>
              <w:bottom w:val="nil"/>
              <w:right w:val="nil"/>
            </w:tcBorders>
            <w:shd w:val="clear" w:color="auto" w:fill="FFFFFF" w:themeFill="background1"/>
            <w:vAlign w:val="center"/>
          </w:tcPr>
          <w:p w14:paraId="2E2D247A"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C5A7A">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14DD357D"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4C5A7A">
              <w:rPr>
                <w:rFonts w:cs="Arial"/>
                <w:color w:val="000000"/>
                <w:szCs w:val="14"/>
              </w:rPr>
              <w:t>1,000</w:t>
            </w:r>
          </w:p>
        </w:tc>
      </w:tr>
      <w:tr w:rsidR="009E215C" w:rsidRPr="004C5A7A" w14:paraId="6D00F7DC"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D9D9F0C" w14:textId="77777777" w:rsidR="009E215C" w:rsidRPr="004C5A7A" w:rsidRDefault="009E215C">
            <w:pPr>
              <w:ind w:firstLine="174"/>
              <w:rPr>
                <w:rFonts w:ascii="Arial" w:hAnsi="Arial" w:cs="Arial"/>
                <w:b w:val="0"/>
                <w:bCs w:val="0"/>
                <w:color w:val="FF0000"/>
                <w:sz w:val="14"/>
                <w:szCs w:val="14"/>
              </w:rPr>
            </w:pPr>
            <w:proofErr w:type="spellStart"/>
            <w:r w:rsidRPr="004C5A7A">
              <w:rPr>
                <w:rFonts w:ascii="Arial" w:hAnsi="Arial" w:cs="Arial"/>
                <w:b w:val="0"/>
                <w:sz w:val="14"/>
                <w:szCs w:val="14"/>
              </w:rPr>
              <w:t>Stockholders</w:t>
            </w:r>
            <w:proofErr w:type="spellEnd"/>
            <w:r w:rsidRPr="004C5A7A">
              <w:rPr>
                <w:rFonts w:ascii="Arial" w:hAnsi="Arial" w:cs="Arial"/>
                <w:b w:val="0"/>
                <w:sz w:val="14"/>
                <w:szCs w:val="14"/>
              </w:rPr>
              <w:t xml:space="preserve">' </w:t>
            </w:r>
            <w:proofErr w:type="spellStart"/>
            <w:r w:rsidRPr="004C5A7A">
              <w:rPr>
                <w:rFonts w:ascii="Arial" w:hAnsi="Arial" w:cs="Arial"/>
                <w:b w:val="0"/>
                <w:sz w:val="14"/>
                <w:szCs w:val="14"/>
              </w:rPr>
              <w:t>equity</w:t>
            </w:r>
            <w:proofErr w:type="spellEnd"/>
            <w:r w:rsidRPr="004C5A7A">
              <w:rPr>
                <w:rFonts w:ascii="Arial" w:hAnsi="Arial" w:cs="Arial"/>
                <w:b w:val="0"/>
                <w:sz w:val="14"/>
                <w:szCs w:val="14"/>
              </w:rPr>
              <w:t xml:space="preserve"> </w:t>
            </w:r>
          </w:p>
        </w:tc>
        <w:tc>
          <w:tcPr>
            <w:tcW w:w="1971" w:type="dxa"/>
            <w:tcBorders>
              <w:top w:val="nil"/>
              <w:left w:val="nil"/>
              <w:bottom w:val="nil"/>
              <w:right w:val="nil"/>
            </w:tcBorders>
            <w:shd w:val="clear" w:color="auto" w:fill="FFFFFF" w:themeFill="background1"/>
            <w:vAlign w:val="center"/>
          </w:tcPr>
          <w:p w14:paraId="02EB8094"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FFFFFF" w:themeFill="background1"/>
            <w:vAlign w:val="center"/>
          </w:tcPr>
          <w:p w14:paraId="1FB072DA"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4C5A7A">
              <w:rPr>
                <w:rFonts w:ascii="Arial" w:hAnsi="Arial" w:cs="Arial"/>
                <w:color w:val="000000"/>
                <w:sz w:val="14"/>
                <w:szCs w:val="14"/>
              </w:rPr>
              <w:t>9,467,121</w:t>
            </w:r>
          </w:p>
        </w:tc>
        <w:tc>
          <w:tcPr>
            <w:tcW w:w="1782" w:type="dxa"/>
            <w:tcBorders>
              <w:top w:val="nil"/>
              <w:left w:val="nil"/>
              <w:bottom w:val="nil"/>
              <w:right w:val="nil"/>
            </w:tcBorders>
            <w:shd w:val="clear" w:color="auto" w:fill="FFFFFF" w:themeFill="background1"/>
            <w:vAlign w:val="center"/>
          </w:tcPr>
          <w:p w14:paraId="4F32DACE"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4C5A7A">
              <w:rPr>
                <w:rFonts w:cs="Arial"/>
                <w:color w:val="000000"/>
                <w:szCs w:val="14"/>
              </w:rPr>
              <w:t>6,118</w:t>
            </w:r>
          </w:p>
        </w:tc>
      </w:tr>
      <w:tr w:rsidR="009E215C" w:rsidRPr="004C5A7A" w14:paraId="7B9CDC67"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931A9C2" w14:textId="77777777" w:rsidR="009E215C" w:rsidRPr="004C5A7A" w:rsidRDefault="009E215C">
            <w:pPr>
              <w:pStyle w:val="08-Tabelageral"/>
              <w:jc w:val="left"/>
              <w:rPr>
                <w:rFonts w:cs="Arial"/>
                <w:bCs w:val="0"/>
                <w:szCs w:val="14"/>
                <w:lang w:eastAsia="en-US"/>
              </w:rPr>
            </w:pPr>
            <w:r w:rsidRPr="004C5A7A">
              <w:rPr>
                <w:rFonts w:cs="Arial"/>
                <w:szCs w:val="14"/>
              </w:rPr>
              <w:t xml:space="preserve">Balance </w:t>
            </w:r>
            <w:proofErr w:type="spellStart"/>
            <w:r w:rsidRPr="004C5A7A">
              <w:rPr>
                <w:rFonts w:cs="Arial"/>
                <w:szCs w:val="14"/>
              </w:rPr>
              <w:t>on</w:t>
            </w:r>
            <w:proofErr w:type="spellEnd"/>
            <w:r w:rsidRPr="004C5A7A">
              <w:rPr>
                <w:rFonts w:cs="Arial"/>
                <w:szCs w:val="14"/>
              </w:rPr>
              <w:t xml:space="preserve"> </w:t>
            </w:r>
            <w:proofErr w:type="spellStart"/>
            <w:r w:rsidRPr="004C5A7A">
              <w:rPr>
                <w:rFonts w:cs="Arial"/>
                <w:szCs w:val="14"/>
              </w:rPr>
              <w:t>Dec</w:t>
            </w:r>
            <w:proofErr w:type="spellEnd"/>
            <w:r w:rsidRPr="004C5A7A">
              <w:rPr>
                <w:rFonts w:cs="Arial"/>
                <w:szCs w:val="14"/>
              </w:rPr>
              <w:t xml:space="preserve"> 31, 2023</w:t>
            </w:r>
          </w:p>
        </w:tc>
        <w:tc>
          <w:tcPr>
            <w:tcW w:w="5465" w:type="dxa"/>
            <w:gridSpan w:val="3"/>
            <w:tcBorders>
              <w:top w:val="nil"/>
              <w:left w:val="nil"/>
              <w:bottom w:val="nil"/>
              <w:right w:val="nil"/>
            </w:tcBorders>
            <w:shd w:val="clear" w:color="auto" w:fill="FFFFFF" w:themeFill="background1"/>
            <w:vAlign w:val="center"/>
          </w:tcPr>
          <w:p w14:paraId="614A549C" w14:textId="77777777" w:rsidR="009E215C" w:rsidRPr="004C5A7A" w:rsidRDefault="009E215C">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9E215C" w:rsidRPr="004C5A7A" w14:paraId="04192029"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BC065A9" w14:textId="77777777" w:rsidR="009E215C" w:rsidRPr="004C5A7A" w:rsidRDefault="009E215C">
            <w:pPr>
              <w:pStyle w:val="08-Tabelageral"/>
              <w:ind w:firstLine="174"/>
              <w:jc w:val="left"/>
              <w:rPr>
                <w:rFonts w:cs="Arial"/>
                <w:b w:val="0"/>
                <w:bCs w:val="0"/>
                <w:szCs w:val="14"/>
                <w:lang w:eastAsia="en-US"/>
              </w:rPr>
            </w:pPr>
            <w:r w:rsidRPr="004C5A7A">
              <w:rPr>
                <w:rFonts w:cs="Arial"/>
                <w:b w:val="0"/>
                <w:szCs w:val="14"/>
              </w:rPr>
              <w:t>Capital</w:t>
            </w:r>
          </w:p>
        </w:tc>
        <w:tc>
          <w:tcPr>
            <w:tcW w:w="1971" w:type="dxa"/>
            <w:tcBorders>
              <w:top w:val="nil"/>
              <w:left w:val="nil"/>
              <w:bottom w:val="nil"/>
              <w:right w:val="nil"/>
            </w:tcBorders>
            <w:shd w:val="clear" w:color="auto" w:fill="FFFFFF" w:themeFill="background1"/>
            <w:vAlign w:val="center"/>
          </w:tcPr>
          <w:p w14:paraId="2F08E32E"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712" w:type="dxa"/>
            <w:tcBorders>
              <w:top w:val="nil"/>
              <w:left w:val="nil"/>
              <w:bottom w:val="nil"/>
              <w:right w:val="nil"/>
            </w:tcBorders>
            <w:shd w:val="clear" w:color="auto" w:fill="FFFFFF" w:themeFill="background1"/>
            <w:vAlign w:val="center"/>
          </w:tcPr>
          <w:p w14:paraId="03002CF0"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C5A7A">
              <w:rPr>
                <w:rFonts w:cs="Arial"/>
                <w:color w:val="000000"/>
                <w:szCs w:val="14"/>
              </w:rPr>
              <w:t>4,210,872</w:t>
            </w:r>
          </w:p>
        </w:tc>
        <w:tc>
          <w:tcPr>
            <w:tcW w:w="1782" w:type="dxa"/>
            <w:tcBorders>
              <w:top w:val="nil"/>
              <w:left w:val="nil"/>
              <w:bottom w:val="nil"/>
              <w:right w:val="nil"/>
            </w:tcBorders>
            <w:shd w:val="clear" w:color="auto" w:fill="FFFFFF" w:themeFill="background1"/>
            <w:vAlign w:val="center"/>
          </w:tcPr>
          <w:p w14:paraId="38C8A2C5"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4C5A7A">
              <w:rPr>
                <w:rFonts w:cs="Arial"/>
                <w:color w:val="000000"/>
                <w:szCs w:val="14"/>
              </w:rPr>
              <w:t>1,000</w:t>
            </w:r>
          </w:p>
        </w:tc>
      </w:tr>
      <w:tr w:rsidR="009E215C" w:rsidRPr="004C5A7A" w14:paraId="3FD2AD19"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52F37F0A" w14:textId="77777777" w:rsidR="009E215C" w:rsidRPr="004C5A7A" w:rsidRDefault="009E215C">
            <w:pPr>
              <w:pStyle w:val="08-Tabelageral"/>
              <w:ind w:firstLine="174"/>
              <w:jc w:val="left"/>
              <w:rPr>
                <w:rFonts w:cs="Arial"/>
                <w:b w:val="0"/>
                <w:bCs w:val="0"/>
                <w:szCs w:val="14"/>
                <w:lang w:eastAsia="en-US"/>
              </w:rPr>
            </w:pPr>
            <w:proofErr w:type="spellStart"/>
            <w:r w:rsidRPr="004C5A7A">
              <w:rPr>
                <w:rFonts w:cs="Arial"/>
                <w:b w:val="0"/>
                <w:szCs w:val="14"/>
              </w:rPr>
              <w:t>Stockholders</w:t>
            </w:r>
            <w:proofErr w:type="spellEnd"/>
            <w:r w:rsidRPr="004C5A7A">
              <w:rPr>
                <w:rFonts w:cs="Arial"/>
                <w:b w:val="0"/>
                <w:szCs w:val="14"/>
              </w:rPr>
              <w:t xml:space="preserve">' </w:t>
            </w:r>
            <w:proofErr w:type="spellStart"/>
            <w:r w:rsidRPr="004C5A7A">
              <w:rPr>
                <w:rFonts w:cs="Arial"/>
                <w:b w:val="0"/>
                <w:szCs w:val="14"/>
              </w:rPr>
              <w:t>equity</w:t>
            </w:r>
            <w:proofErr w:type="spellEnd"/>
          </w:p>
        </w:tc>
        <w:tc>
          <w:tcPr>
            <w:tcW w:w="1971" w:type="dxa"/>
            <w:tcBorders>
              <w:top w:val="nil"/>
              <w:left w:val="nil"/>
              <w:bottom w:val="single" w:sz="6" w:space="0" w:color="1F3864" w:themeColor="accent1" w:themeShade="80"/>
              <w:right w:val="nil"/>
            </w:tcBorders>
            <w:shd w:val="clear" w:color="auto" w:fill="FFFFFF" w:themeFill="background1"/>
            <w:vAlign w:val="center"/>
          </w:tcPr>
          <w:p w14:paraId="625D7AAC"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shd w:val="clear" w:color="auto" w:fill="FFFFFF" w:themeFill="background1"/>
            <w:vAlign w:val="center"/>
          </w:tcPr>
          <w:p w14:paraId="373802BC"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C5A7A">
              <w:rPr>
                <w:rFonts w:cs="Arial"/>
                <w:color w:val="000000"/>
                <w:szCs w:val="14"/>
              </w:rPr>
              <w:t>9,122,733</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7ACDAF80"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4C5A7A">
              <w:rPr>
                <w:rFonts w:cs="Arial"/>
                <w:color w:val="000000"/>
                <w:szCs w:val="14"/>
              </w:rPr>
              <w:t>5,872</w:t>
            </w:r>
          </w:p>
        </w:tc>
      </w:tr>
      <w:tr w:rsidR="009E215C" w:rsidRPr="004C5A7A" w14:paraId="3E756AD8" w14:textId="77777777" w:rsidTr="00752CFA">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FFFFFF" w:themeFill="background1"/>
          </w:tcPr>
          <w:p w14:paraId="10476BA1" w14:textId="77777777" w:rsidR="009E215C" w:rsidRPr="004C5A7A" w:rsidRDefault="009E215C">
            <w:pPr>
              <w:pStyle w:val="paragraph"/>
              <w:spacing w:before="0" w:beforeAutospacing="0" w:after="0" w:afterAutospacing="0"/>
              <w:jc w:val="both"/>
              <w:textAlignment w:val="baseline"/>
              <w:rPr>
                <w:rStyle w:val="normaltextrun"/>
                <w:rFonts w:ascii="Arial" w:hAnsi="Arial" w:cs="Arial"/>
                <w:color w:val="auto"/>
                <w:sz w:val="14"/>
                <w:lang w:val="en-US"/>
              </w:rPr>
            </w:pPr>
          </w:p>
          <w:p w14:paraId="1EF8C746" w14:textId="77777777" w:rsidR="009E215C" w:rsidRPr="004C5A7A" w:rsidRDefault="009E215C">
            <w:pPr>
              <w:pStyle w:val="01-TtulodeNota"/>
              <w:keepNext/>
              <w:keepLines/>
              <w:spacing w:before="0" w:after="0"/>
              <w:jc w:val="right"/>
              <w:rPr>
                <w:rFonts w:cs="Arial"/>
                <w:sz w:val="14"/>
                <w:szCs w:val="14"/>
              </w:rPr>
            </w:pPr>
          </w:p>
          <w:p w14:paraId="49017C5B" w14:textId="77777777" w:rsidR="009E215C" w:rsidRPr="004C5A7A" w:rsidRDefault="009E215C" w:rsidP="003760F5">
            <w:pPr>
              <w:pStyle w:val="01-TtulodeNota"/>
              <w:keepNext/>
              <w:keepLines/>
              <w:spacing w:before="0" w:after="0"/>
              <w:ind w:right="-107"/>
              <w:jc w:val="right"/>
              <w:rPr>
                <w:rFonts w:cs="Arial"/>
                <w:b/>
                <w:bCs w:val="0"/>
                <w:sz w:val="14"/>
                <w:szCs w:val="14"/>
                <w:lang w:val="en-US"/>
              </w:rPr>
            </w:pPr>
            <w:r w:rsidRPr="004C5A7A">
              <w:rPr>
                <w:rFonts w:cs="Arial"/>
                <w:b/>
                <w:bCs w:val="0"/>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686"/>
              <w:gridCol w:w="1191"/>
              <w:gridCol w:w="1191"/>
              <w:gridCol w:w="1191"/>
              <w:gridCol w:w="1191"/>
              <w:gridCol w:w="1192"/>
            </w:tblGrid>
            <w:tr w:rsidR="009E215C" w:rsidRPr="004C5A7A" w14:paraId="0003C85A" w14:textId="77777777" w:rsidTr="00752CF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tcPr>
                <w:p w14:paraId="590C842D" w14:textId="77777777" w:rsidR="009E215C" w:rsidRPr="004C5A7A" w:rsidRDefault="009E215C">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379960"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4C5A7A">
                    <w:rPr>
                      <w:rFonts w:ascii="Arial" w:hAnsi="Arial" w:cs="Arial"/>
                      <w:sz w:val="14"/>
                      <w:szCs w:val="14"/>
                      <w:lang w:val="en-US"/>
                    </w:rPr>
                    <w:t>Consolidated</w:t>
                  </w:r>
                </w:p>
              </w:tc>
            </w:tr>
            <w:tr w:rsidR="009E215C" w:rsidRPr="004C5A7A" w14:paraId="11157A83"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2C29DB52" w14:textId="77777777" w:rsidR="009E215C" w:rsidRPr="004C5A7A" w:rsidRDefault="009E215C">
                  <w:pPr>
                    <w:rPr>
                      <w:rFonts w:ascii="Arial" w:hAnsi="Arial" w:cs="Arial"/>
                      <w:color w:val="FF0000"/>
                      <w:sz w:val="14"/>
                      <w:szCs w:val="14"/>
                      <w:lang w:val="en-US"/>
                    </w:rPr>
                  </w:pPr>
                  <w:r w:rsidRPr="004C5A7A">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CCF9C39"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4C5A7A">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3A930A8"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4C5A7A">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BC5514"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4C5A7A">
                    <w:rPr>
                      <w:rFonts w:ascii="Arial" w:hAnsi="Arial" w:cs="Arial"/>
                      <w:b/>
                      <w:color w:val="auto"/>
                      <w:sz w:val="14"/>
                      <w:szCs w:val="14"/>
                      <w:lang w:val="en-US"/>
                    </w:rPr>
                    <w:t>Brasilcap</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18B502"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4C5A7A">
                    <w:rPr>
                      <w:rFonts w:ascii="Arial" w:hAnsi="Arial" w:cs="Arial"/>
                      <w:b/>
                      <w:color w:val="auto"/>
                      <w:sz w:val="14"/>
                      <w:szCs w:val="14"/>
                      <w:lang w:val="en-US"/>
                    </w:rPr>
                    <w:t>Brasildental</w:t>
                  </w:r>
                  <w:proofErr w:type="spellEnd"/>
                </w:p>
              </w:tc>
              <w:tc>
                <w:tcPr>
                  <w:tcW w:w="119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EE4F846"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4C5A7A">
                    <w:rPr>
                      <w:rFonts w:ascii="Arial" w:hAnsi="Arial" w:cs="Arial"/>
                      <w:b/>
                      <w:color w:val="auto"/>
                      <w:sz w:val="14"/>
                      <w:szCs w:val="14"/>
                      <w:lang w:val="en-US"/>
                    </w:rPr>
                    <w:t>Ciclic</w:t>
                  </w:r>
                  <w:proofErr w:type="spellEnd"/>
                </w:p>
              </w:tc>
            </w:tr>
            <w:tr w:rsidR="009E215C" w:rsidRPr="004C5A7A" w14:paraId="663A6A03"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hideMark/>
                </w:tcPr>
                <w:p w14:paraId="0009A858" w14:textId="77777777" w:rsidR="009E215C" w:rsidRPr="004C5A7A" w:rsidRDefault="009E215C">
                  <w:pPr>
                    <w:rPr>
                      <w:rFonts w:ascii="Arial" w:hAnsi="Arial" w:cs="Arial"/>
                      <w:b w:val="0"/>
                      <w:bCs w:val="0"/>
                      <w:sz w:val="14"/>
                      <w:szCs w:val="14"/>
                      <w:lang w:val="en-US"/>
                    </w:rPr>
                  </w:pPr>
                  <w:r w:rsidRPr="004C5A7A">
                    <w:rPr>
                      <w:rFonts w:ascii="Arial" w:eastAsia="Times New Roman" w:hAnsi="Arial" w:cs="Arial"/>
                      <w:spacing w:val="-2"/>
                      <w:sz w:val="14"/>
                      <w:szCs w:val="14"/>
                      <w:lang w:val="en-US" w:eastAsia="pt-BR"/>
                    </w:rPr>
                    <w:t>Balance on Dec 31, 2024</w:t>
                  </w:r>
                </w:p>
              </w:tc>
              <w:tc>
                <w:tcPr>
                  <w:tcW w:w="1191" w:type="dxa"/>
                  <w:tcBorders>
                    <w:top w:val="single" w:sz="2" w:space="0" w:color="1F3864" w:themeColor="accent1" w:themeShade="80"/>
                    <w:left w:val="nil"/>
                    <w:bottom w:val="nil"/>
                    <w:right w:val="nil"/>
                  </w:tcBorders>
                  <w:shd w:val="clear" w:color="auto" w:fill="FFFFFF" w:themeFill="background1"/>
                  <w:vAlign w:val="center"/>
                </w:tcPr>
                <w:p w14:paraId="0D8BE6A7"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4B1C4E5D"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17F7280A"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7FC7B842"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eastAsia="en-US"/>
                    </w:rPr>
                  </w:pPr>
                </w:p>
              </w:tc>
              <w:tc>
                <w:tcPr>
                  <w:tcW w:w="1192" w:type="dxa"/>
                  <w:tcBorders>
                    <w:top w:val="single" w:sz="2" w:space="0" w:color="1F3864" w:themeColor="accent1" w:themeShade="80"/>
                    <w:left w:val="nil"/>
                    <w:bottom w:val="nil"/>
                    <w:right w:val="nil"/>
                  </w:tcBorders>
                  <w:shd w:val="clear" w:color="auto" w:fill="FFFFFF" w:themeFill="background1"/>
                  <w:vAlign w:val="center"/>
                </w:tcPr>
                <w:p w14:paraId="2BF4B7C2"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p>
              </w:tc>
            </w:tr>
            <w:tr w:rsidR="009E215C" w:rsidRPr="004C5A7A" w14:paraId="7250F748"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6A01DB71" w14:textId="77777777" w:rsidR="009E215C" w:rsidRPr="004C5A7A" w:rsidRDefault="009E215C">
                  <w:pPr>
                    <w:ind w:firstLine="174"/>
                    <w:rPr>
                      <w:rFonts w:ascii="Arial" w:hAnsi="Arial" w:cs="Arial"/>
                      <w:b w:val="0"/>
                      <w:bCs w:val="0"/>
                      <w:sz w:val="14"/>
                      <w:szCs w:val="14"/>
                      <w:lang w:val="en-US"/>
                    </w:rPr>
                  </w:pPr>
                  <w:r w:rsidRPr="004C5A7A">
                    <w:rPr>
                      <w:rFonts w:ascii="Arial" w:hAnsi="Arial" w:cs="Arial"/>
                      <w:b w:val="0"/>
                      <w:sz w:val="14"/>
                      <w:szCs w:val="14"/>
                      <w:lang w:val="en-US"/>
                    </w:rPr>
                    <w:t>Capital</w:t>
                  </w:r>
                </w:p>
              </w:tc>
              <w:tc>
                <w:tcPr>
                  <w:tcW w:w="1191" w:type="dxa"/>
                  <w:tcBorders>
                    <w:top w:val="nil"/>
                    <w:left w:val="nil"/>
                    <w:bottom w:val="nil"/>
                    <w:right w:val="nil"/>
                  </w:tcBorders>
                  <w:shd w:val="clear" w:color="auto" w:fill="FFFFFF" w:themeFill="background1"/>
                  <w:vAlign w:val="center"/>
                </w:tcPr>
                <w:p w14:paraId="644C5C89"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1,469,848</w:t>
                  </w:r>
                </w:p>
              </w:tc>
              <w:tc>
                <w:tcPr>
                  <w:tcW w:w="1191" w:type="dxa"/>
                  <w:tcBorders>
                    <w:top w:val="nil"/>
                    <w:left w:val="nil"/>
                    <w:bottom w:val="nil"/>
                    <w:right w:val="nil"/>
                  </w:tcBorders>
                  <w:shd w:val="clear" w:color="auto" w:fill="FFFFFF" w:themeFill="background1"/>
                  <w:vAlign w:val="center"/>
                </w:tcPr>
                <w:p w14:paraId="6086CF7B"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3,529,257</w:t>
                  </w:r>
                </w:p>
              </w:tc>
              <w:tc>
                <w:tcPr>
                  <w:tcW w:w="1191" w:type="dxa"/>
                  <w:tcBorders>
                    <w:top w:val="nil"/>
                    <w:left w:val="nil"/>
                    <w:bottom w:val="nil"/>
                    <w:right w:val="nil"/>
                  </w:tcBorders>
                  <w:shd w:val="clear" w:color="auto" w:fill="FFFFFF" w:themeFill="background1"/>
                  <w:vAlign w:val="center"/>
                </w:tcPr>
                <w:p w14:paraId="2ED2881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354,398</w:t>
                  </w:r>
                </w:p>
              </w:tc>
              <w:tc>
                <w:tcPr>
                  <w:tcW w:w="1191" w:type="dxa"/>
                  <w:tcBorders>
                    <w:top w:val="nil"/>
                    <w:left w:val="nil"/>
                    <w:bottom w:val="nil"/>
                    <w:right w:val="nil"/>
                  </w:tcBorders>
                  <w:shd w:val="clear" w:color="auto" w:fill="FFFFFF" w:themeFill="background1"/>
                  <w:vAlign w:val="center"/>
                </w:tcPr>
                <w:p w14:paraId="5DBC7FA0"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9,500</w:t>
                  </w:r>
                </w:p>
              </w:tc>
              <w:tc>
                <w:tcPr>
                  <w:tcW w:w="1192" w:type="dxa"/>
                  <w:tcBorders>
                    <w:top w:val="nil"/>
                    <w:left w:val="nil"/>
                    <w:bottom w:val="nil"/>
                    <w:right w:val="nil"/>
                  </w:tcBorders>
                  <w:shd w:val="clear" w:color="auto" w:fill="FFFFFF" w:themeFill="background1"/>
                  <w:vAlign w:val="center"/>
                </w:tcPr>
                <w:p w14:paraId="2378F4B8"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sidRPr="004C5A7A">
                    <w:rPr>
                      <w:rFonts w:cs="Arial"/>
                      <w:color w:val="000000"/>
                      <w:szCs w:val="14"/>
                    </w:rPr>
                    <w:t>61,133</w:t>
                  </w:r>
                </w:p>
              </w:tc>
            </w:tr>
            <w:tr w:rsidR="009E215C" w:rsidRPr="004C5A7A" w14:paraId="6E273CA0"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272B6717" w14:textId="77777777" w:rsidR="009E215C" w:rsidRPr="004C5A7A" w:rsidRDefault="009E215C">
                  <w:pPr>
                    <w:ind w:firstLine="174"/>
                    <w:rPr>
                      <w:rFonts w:ascii="Arial" w:hAnsi="Arial" w:cs="Arial"/>
                      <w:b w:val="0"/>
                      <w:bCs w:val="0"/>
                      <w:sz w:val="14"/>
                      <w:szCs w:val="14"/>
                      <w:lang w:val="en-US"/>
                    </w:rPr>
                  </w:pPr>
                  <w:r w:rsidRPr="004C5A7A">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FFFFFF" w:themeFill="background1"/>
                  <w:vAlign w:val="center"/>
                </w:tcPr>
                <w:p w14:paraId="471EA06B"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3,318,328</w:t>
                  </w:r>
                </w:p>
              </w:tc>
              <w:tc>
                <w:tcPr>
                  <w:tcW w:w="1191" w:type="dxa"/>
                  <w:tcBorders>
                    <w:top w:val="nil"/>
                    <w:left w:val="nil"/>
                    <w:bottom w:val="nil"/>
                    <w:right w:val="nil"/>
                  </w:tcBorders>
                  <w:shd w:val="clear" w:color="auto" w:fill="FFFFFF" w:themeFill="background1"/>
                  <w:vAlign w:val="center"/>
                </w:tcPr>
                <w:p w14:paraId="7CFCF226"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sidRPr="004C5A7A">
                    <w:rPr>
                      <w:rFonts w:ascii="Arial" w:hAnsi="Arial" w:cs="Arial"/>
                      <w:color w:val="000000"/>
                      <w:sz w:val="14"/>
                      <w:szCs w:val="14"/>
                    </w:rPr>
                    <w:t>6,954,395</w:t>
                  </w:r>
                </w:p>
              </w:tc>
              <w:tc>
                <w:tcPr>
                  <w:tcW w:w="1191" w:type="dxa"/>
                  <w:tcBorders>
                    <w:top w:val="nil"/>
                    <w:left w:val="nil"/>
                    <w:bottom w:val="nil"/>
                    <w:right w:val="nil"/>
                  </w:tcBorders>
                  <w:shd w:val="clear" w:color="auto" w:fill="FFFFFF" w:themeFill="background1"/>
                  <w:vAlign w:val="center"/>
                </w:tcPr>
                <w:p w14:paraId="0EE28E60"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803,744</w:t>
                  </w:r>
                </w:p>
              </w:tc>
              <w:tc>
                <w:tcPr>
                  <w:tcW w:w="1191" w:type="dxa"/>
                  <w:tcBorders>
                    <w:top w:val="nil"/>
                    <w:left w:val="nil"/>
                    <w:bottom w:val="nil"/>
                    <w:right w:val="nil"/>
                  </w:tcBorders>
                  <w:shd w:val="clear" w:color="auto" w:fill="FFFFFF" w:themeFill="background1"/>
                  <w:vAlign w:val="center"/>
                </w:tcPr>
                <w:p w14:paraId="247CA203"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17,257</w:t>
                  </w:r>
                </w:p>
              </w:tc>
              <w:tc>
                <w:tcPr>
                  <w:tcW w:w="1192" w:type="dxa"/>
                  <w:tcBorders>
                    <w:top w:val="nil"/>
                    <w:left w:val="nil"/>
                    <w:bottom w:val="nil"/>
                    <w:right w:val="nil"/>
                  </w:tcBorders>
                  <w:shd w:val="clear" w:color="auto" w:fill="FFFFFF" w:themeFill="background1"/>
                  <w:vAlign w:val="center"/>
                </w:tcPr>
                <w:p w14:paraId="5C601C36"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sidRPr="004C5A7A">
                    <w:rPr>
                      <w:rFonts w:cs="Arial"/>
                      <w:color w:val="000000"/>
                      <w:szCs w:val="14"/>
                    </w:rPr>
                    <w:t>15,877</w:t>
                  </w:r>
                </w:p>
              </w:tc>
            </w:tr>
            <w:tr w:rsidR="009E215C" w:rsidRPr="004C5A7A" w14:paraId="7DA31031"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724DAD60" w14:textId="77777777" w:rsidR="009E215C" w:rsidRPr="004C5A7A" w:rsidRDefault="009E215C">
                  <w:pPr>
                    <w:pStyle w:val="08-Tabelageral"/>
                    <w:jc w:val="left"/>
                    <w:rPr>
                      <w:rFonts w:cs="Arial"/>
                      <w:b w:val="0"/>
                      <w:szCs w:val="14"/>
                      <w:lang w:val="en-US" w:eastAsia="en-US"/>
                    </w:rPr>
                  </w:pPr>
                  <w:r w:rsidRPr="004C5A7A">
                    <w:rPr>
                      <w:rFonts w:cs="Arial"/>
                      <w:szCs w:val="14"/>
                      <w:lang w:val="en-US"/>
                    </w:rPr>
                    <w:t>Balance on Dec 31, 2023</w:t>
                  </w:r>
                </w:p>
              </w:tc>
              <w:tc>
                <w:tcPr>
                  <w:tcW w:w="1191" w:type="dxa"/>
                  <w:tcBorders>
                    <w:top w:val="nil"/>
                    <w:left w:val="nil"/>
                    <w:bottom w:val="nil"/>
                    <w:right w:val="nil"/>
                  </w:tcBorders>
                  <w:shd w:val="clear" w:color="auto" w:fill="FFFFFF" w:themeFill="background1"/>
                  <w:vAlign w:val="center"/>
                </w:tcPr>
                <w:p w14:paraId="29012168"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 </w:t>
                  </w:r>
                </w:p>
              </w:tc>
              <w:tc>
                <w:tcPr>
                  <w:tcW w:w="1191" w:type="dxa"/>
                  <w:tcBorders>
                    <w:top w:val="nil"/>
                    <w:left w:val="nil"/>
                    <w:bottom w:val="nil"/>
                    <w:right w:val="nil"/>
                  </w:tcBorders>
                  <w:shd w:val="clear" w:color="auto" w:fill="FFFFFF" w:themeFill="background1"/>
                  <w:vAlign w:val="center"/>
                </w:tcPr>
                <w:p w14:paraId="2B6B4B0E"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 </w:t>
                  </w:r>
                </w:p>
              </w:tc>
              <w:tc>
                <w:tcPr>
                  <w:tcW w:w="1191" w:type="dxa"/>
                  <w:tcBorders>
                    <w:top w:val="nil"/>
                    <w:left w:val="nil"/>
                    <w:bottom w:val="nil"/>
                    <w:right w:val="nil"/>
                  </w:tcBorders>
                  <w:shd w:val="clear" w:color="auto" w:fill="FFFFFF" w:themeFill="background1"/>
                  <w:vAlign w:val="center"/>
                </w:tcPr>
                <w:p w14:paraId="4E2B1B5F"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 </w:t>
                  </w:r>
                </w:p>
              </w:tc>
              <w:tc>
                <w:tcPr>
                  <w:tcW w:w="1191" w:type="dxa"/>
                  <w:tcBorders>
                    <w:top w:val="nil"/>
                    <w:left w:val="nil"/>
                    <w:bottom w:val="nil"/>
                    <w:right w:val="nil"/>
                  </w:tcBorders>
                  <w:shd w:val="clear" w:color="auto" w:fill="FFFFFF" w:themeFill="background1"/>
                  <w:vAlign w:val="center"/>
                </w:tcPr>
                <w:p w14:paraId="66C5E9B2"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 </w:t>
                  </w:r>
                </w:p>
              </w:tc>
              <w:tc>
                <w:tcPr>
                  <w:tcW w:w="1192" w:type="dxa"/>
                  <w:tcBorders>
                    <w:top w:val="nil"/>
                    <w:left w:val="nil"/>
                    <w:bottom w:val="nil"/>
                    <w:right w:val="nil"/>
                  </w:tcBorders>
                  <w:shd w:val="clear" w:color="auto" w:fill="FFFFFF" w:themeFill="background1"/>
                  <w:vAlign w:val="center"/>
                </w:tcPr>
                <w:p w14:paraId="51A337DE"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4C5A7A">
                    <w:rPr>
                      <w:rFonts w:ascii="Arial" w:hAnsi="Arial" w:cs="Arial"/>
                      <w:color w:val="000000"/>
                      <w:sz w:val="14"/>
                      <w:szCs w:val="14"/>
                      <w:lang w:val="en-US"/>
                    </w:rPr>
                    <w:t> </w:t>
                  </w:r>
                </w:p>
              </w:tc>
            </w:tr>
            <w:tr w:rsidR="009E215C" w:rsidRPr="004C5A7A" w14:paraId="6E172C78"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73B1321E" w14:textId="77777777" w:rsidR="009E215C" w:rsidRPr="004C5A7A" w:rsidRDefault="009E215C">
                  <w:pPr>
                    <w:pStyle w:val="08-Tabelageral"/>
                    <w:ind w:firstLine="174"/>
                    <w:jc w:val="left"/>
                    <w:rPr>
                      <w:rFonts w:cs="Arial"/>
                      <w:b w:val="0"/>
                      <w:szCs w:val="14"/>
                      <w:lang w:val="en-US" w:eastAsia="en-US"/>
                    </w:rPr>
                  </w:pPr>
                  <w:r w:rsidRPr="004C5A7A">
                    <w:rPr>
                      <w:rFonts w:cs="Arial"/>
                      <w:b w:val="0"/>
                      <w:szCs w:val="14"/>
                      <w:lang w:val="en-US"/>
                    </w:rPr>
                    <w:t>Capital</w:t>
                  </w:r>
                </w:p>
              </w:tc>
              <w:tc>
                <w:tcPr>
                  <w:tcW w:w="1191" w:type="dxa"/>
                  <w:tcBorders>
                    <w:top w:val="nil"/>
                    <w:left w:val="nil"/>
                    <w:bottom w:val="nil"/>
                    <w:right w:val="nil"/>
                  </w:tcBorders>
                  <w:shd w:val="clear" w:color="auto" w:fill="FFFFFF" w:themeFill="background1"/>
                  <w:vAlign w:val="center"/>
                </w:tcPr>
                <w:p w14:paraId="6FDC8EB9"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1,469,848</w:t>
                  </w:r>
                </w:p>
              </w:tc>
              <w:tc>
                <w:tcPr>
                  <w:tcW w:w="1191" w:type="dxa"/>
                  <w:tcBorders>
                    <w:top w:val="nil"/>
                    <w:left w:val="nil"/>
                    <w:bottom w:val="nil"/>
                    <w:right w:val="nil"/>
                  </w:tcBorders>
                  <w:shd w:val="clear" w:color="auto" w:fill="FFFFFF" w:themeFill="background1"/>
                  <w:vAlign w:val="center"/>
                </w:tcPr>
                <w:p w14:paraId="7B5C49B6"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3,529,257</w:t>
                  </w:r>
                </w:p>
              </w:tc>
              <w:tc>
                <w:tcPr>
                  <w:tcW w:w="1191" w:type="dxa"/>
                  <w:tcBorders>
                    <w:top w:val="nil"/>
                    <w:left w:val="nil"/>
                    <w:bottom w:val="nil"/>
                    <w:right w:val="nil"/>
                  </w:tcBorders>
                  <w:shd w:val="clear" w:color="auto" w:fill="FFFFFF" w:themeFill="background1"/>
                  <w:vAlign w:val="center"/>
                </w:tcPr>
                <w:p w14:paraId="1E84CAB9"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354,398</w:t>
                  </w:r>
                </w:p>
              </w:tc>
              <w:tc>
                <w:tcPr>
                  <w:tcW w:w="1191" w:type="dxa"/>
                  <w:tcBorders>
                    <w:top w:val="nil"/>
                    <w:left w:val="nil"/>
                    <w:bottom w:val="nil"/>
                    <w:right w:val="nil"/>
                  </w:tcBorders>
                  <w:shd w:val="clear" w:color="auto" w:fill="FFFFFF" w:themeFill="background1"/>
                  <w:vAlign w:val="center"/>
                </w:tcPr>
                <w:p w14:paraId="6761DB91"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9,500</w:t>
                  </w:r>
                </w:p>
              </w:tc>
              <w:tc>
                <w:tcPr>
                  <w:tcW w:w="1192" w:type="dxa"/>
                  <w:tcBorders>
                    <w:top w:val="nil"/>
                    <w:left w:val="nil"/>
                    <w:bottom w:val="nil"/>
                    <w:right w:val="nil"/>
                  </w:tcBorders>
                  <w:shd w:val="clear" w:color="auto" w:fill="FFFFFF" w:themeFill="background1"/>
                  <w:vAlign w:val="center"/>
                </w:tcPr>
                <w:p w14:paraId="30314B01"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4C5A7A">
                    <w:rPr>
                      <w:rFonts w:ascii="Arial" w:hAnsi="Arial" w:cs="Arial"/>
                      <w:color w:val="000000"/>
                      <w:sz w:val="14"/>
                      <w:szCs w:val="14"/>
                      <w:lang w:val="en-US"/>
                    </w:rPr>
                    <w:t>61,133</w:t>
                  </w:r>
                </w:p>
              </w:tc>
            </w:tr>
            <w:tr w:rsidR="009E215C" w:rsidRPr="004C5A7A" w14:paraId="23E99432"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0A11DFE6" w14:textId="77777777" w:rsidR="009E215C" w:rsidRPr="004C5A7A" w:rsidRDefault="009E215C">
                  <w:pPr>
                    <w:pStyle w:val="08-Tabelageral"/>
                    <w:ind w:firstLine="174"/>
                    <w:jc w:val="left"/>
                    <w:rPr>
                      <w:rFonts w:cs="Arial"/>
                      <w:b w:val="0"/>
                      <w:szCs w:val="14"/>
                      <w:lang w:val="en-US" w:eastAsia="en-US"/>
                    </w:rPr>
                  </w:pPr>
                  <w:r w:rsidRPr="004C5A7A">
                    <w:rPr>
                      <w:rFonts w:cs="Arial"/>
                      <w:b w:val="0"/>
                      <w:szCs w:val="14"/>
                      <w:lang w:val="en-US"/>
                    </w:rPr>
                    <w:t>Stockholders' equity</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6AC72809"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3,358,785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7557C4EC"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7,612,425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432A820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766,220</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50CC115A"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lang w:val="en-US"/>
                    </w:rPr>
                    <w:t>20,005</w:t>
                  </w:r>
                </w:p>
              </w:tc>
              <w:tc>
                <w:tcPr>
                  <w:tcW w:w="1192" w:type="dxa"/>
                  <w:tcBorders>
                    <w:top w:val="nil"/>
                    <w:left w:val="nil"/>
                    <w:bottom w:val="single" w:sz="2" w:space="0" w:color="1F3864" w:themeColor="accent1" w:themeShade="80"/>
                    <w:right w:val="nil"/>
                  </w:tcBorders>
                  <w:shd w:val="clear" w:color="auto" w:fill="FFFFFF" w:themeFill="background1"/>
                  <w:vAlign w:val="center"/>
                </w:tcPr>
                <w:p w14:paraId="3FC2815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4C5A7A">
                    <w:rPr>
                      <w:rFonts w:ascii="Arial" w:hAnsi="Arial" w:cs="Arial"/>
                      <w:color w:val="000000"/>
                      <w:sz w:val="14"/>
                      <w:szCs w:val="14"/>
                      <w:lang w:val="en-US"/>
                    </w:rPr>
                    <w:t>6,033</w:t>
                  </w:r>
                </w:p>
              </w:tc>
            </w:tr>
          </w:tbl>
          <w:p w14:paraId="52E6F99C" w14:textId="77777777" w:rsidR="009E215C" w:rsidRPr="004C5A7A" w:rsidRDefault="009E215C">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0202BF66" w14:textId="77777777" w:rsidR="009E215C" w:rsidRPr="004C5A7A" w:rsidRDefault="009E215C">
            <w:pPr>
              <w:pStyle w:val="paragraph"/>
              <w:spacing w:before="0" w:beforeAutospacing="0" w:after="0" w:afterAutospacing="0"/>
              <w:jc w:val="both"/>
              <w:textAlignment w:val="baseline"/>
              <w:rPr>
                <w:rStyle w:val="normaltextrun"/>
                <w:rFonts w:ascii="Arial" w:hAnsi="Arial" w:cs="Arial"/>
                <w:b w:val="0"/>
                <w:bCs w:val="0"/>
                <w:color w:val="auto"/>
                <w:sz w:val="14"/>
                <w:lang w:val="en-US"/>
              </w:rPr>
            </w:pPr>
          </w:p>
        </w:tc>
      </w:tr>
      <w:tr w:rsidR="009E215C" w:rsidRPr="001A7DD8" w14:paraId="53A8202C"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3990C28E" w14:textId="77777777" w:rsidR="009E215C" w:rsidRPr="004C5A7A" w:rsidRDefault="009E215C">
            <w:pPr>
              <w:spacing w:before="120" w:after="120"/>
              <w:rPr>
                <w:rFonts w:ascii="Arial" w:eastAsia="Times New Roman" w:hAnsi="Arial" w:cs="Arial"/>
                <w:bCs w:val="0"/>
                <w:color w:val="1F3864" w:themeColor="accent1" w:themeShade="80"/>
                <w:spacing w:val="-2"/>
                <w:sz w:val="18"/>
                <w:szCs w:val="20"/>
                <w:lang w:val="en-US" w:eastAsia="pt-BR"/>
              </w:rPr>
            </w:pPr>
            <w:r w:rsidRPr="004C5A7A">
              <w:rPr>
                <w:rFonts w:ascii="Arial" w:eastAsia="Times New Roman" w:hAnsi="Arial" w:cs="Arial"/>
                <w:bCs w:val="0"/>
                <w:color w:val="1F3864" w:themeColor="accent1" w:themeShade="80"/>
                <w:spacing w:val="-2"/>
                <w:sz w:val="18"/>
                <w:szCs w:val="20"/>
                <w:lang w:val="en-US" w:eastAsia="pt-BR"/>
              </w:rPr>
              <w:t>b.2) Equity Income</w:t>
            </w:r>
          </w:p>
          <w:p w14:paraId="01848327" w14:textId="77777777" w:rsidR="009E215C" w:rsidRPr="004C5A7A" w:rsidRDefault="009E215C" w:rsidP="003760F5">
            <w:pPr>
              <w:pStyle w:val="01-TtulodeNota"/>
              <w:keepNext/>
              <w:keepLines/>
              <w:spacing w:before="0" w:after="0"/>
              <w:ind w:right="-107"/>
              <w:jc w:val="right"/>
              <w:rPr>
                <w:rFonts w:cs="Arial"/>
                <w:bCs w:val="0"/>
                <w:color w:val="1F3864" w:themeColor="accent1" w:themeShade="80"/>
                <w:sz w:val="18"/>
                <w:lang w:val="en-US"/>
              </w:rPr>
            </w:pPr>
            <w:r w:rsidRPr="004C5A7A">
              <w:rPr>
                <w:rFonts w:cs="Arial"/>
                <w:b/>
                <w:bCs w:val="0"/>
                <w:sz w:val="14"/>
                <w:szCs w:val="14"/>
                <w:lang w:val="en-US"/>
              </w:rPr>
              <w:t>R$ thousand</w:t>
            </w:r>
          </w:p>
        </w:tc>
      </w:tr>
      <w:tr w:rsidR="009E215C" w:rsidRPr="004C5A7A" w14:paraId="3267466C"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73E709E1" w14:textId="77777777" w:rsidR="009E215C" w:rsidRPr="004C5A7A" w:rsidRDefault="009E215C">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172F680" w14:textId="77777777" w:rsidR="009E215C" w:rsidRPr="004C5A7A" w:rsidRDefault="009E215C">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4C5A7A">
              <w:rPr>
                <w:rFonts w:ascii="Arial" w:hAnsi="Arial" w:cs="Arial"/>
                <w:b/>
                <w:bCs/>
                <w:sz w:val="14"/>
                <w:szCs w:val="14"/>
              </w:rPr>
              <w:t>Parent</w:t>
            </w:r>
            <w:proofErr w:type="spellEnd"/>
          </w:p>
        </w:tc>
      </w:tr>
      <w:tr w:rsidR="009E215C" w:rsidRPr="004C5A7A" w14:paraId="13998D7A"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3F05605F" w14:textId="77777777" w:rsidR="009E215C" w:rsidRPr="004C5A7A" w:rsidRDefault="009E215C">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C4EF843"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C96F91C"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6DF67B0"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sz w:val="14"/>
                <w:szCs w:val="14"/>
              </w:rPr>
              <w:t>Total</w:t>
            </w:r>
          </w:p>
        </w:tc>
      </w:tr>
      <w:tr w:rsidR="009E215C" w:rsidRPr="004C5A7A" w14:paraId="69A25D54" w14:textId="77777777" w:rsidTr="00752CFA">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04D54030" w14:textId="77777777" w:rsidR="009E215C" w:rsidRPr="004C5A7A" w:rsidRDefault="009E215C">
            <w:pPr>
              <w:pStyle w:val="08-Tabelageral"/>
              <w:ind w:firstLine="174"/>
              <w:jc w:val="left"/>
              <w:rPr>
                <w:rFonts w:cs="Arial"/>
              </w:rPr>
            </w:pPr>
            <w:r w:rsidRPr="004C5A7A">
              <w:rPr>
                <w:rFonts w:cs="Arial"/>
              </w:rPr>
              <w:t>2024</w:t>
            </w:r>
          </w:p>
        </w:tc>
        <w:tc>
          <w:tcPr>
            <w:tcW w:w="1971" w:type="dxa"/>
            <w:tcBorders>
              <w:top w:val="nil"/>
              <w:left w:val="nil"/>
              <w:bottom w:val="nil"/>
              <w:right w:val="nil"/>
            </w:tcBorders>
            <w:shd w:val="clear" w:color="auto" w:fill="FFFFFF" w:themeFill="background1"/>
            <w:vAlign w:val="center"/>
          </w:tcPr>
          <w:p w14:paraId="040C3421"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 xml:space="preserve"> 5,375,678 </w:t>
            </w:r>
          </w:p>
        </w:tc>
        <w:tc>
          <w:tcPr>
            <w:tcW w:w="1712" w:type="dxa"/>
            <w:tcBorders>
              <w:top w:val="nil"/>
              <w:left w:val="nil"/>
              <w:bottom w:val="nil"/>
              <w:right w:val="nil"/>
            </w:tcBorders>
            <w:shd w:val="clear" w:color="auto" w:fill="FFFFFF" w:themeFill="background1"/>
            <w:vAlign w:val="center"/>
          </w:tcPr>
          <w:p w14:paraId="63387C6D"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 xml:space="preserve"> 3,308,139 </w:t>
            </w:r>
          </w:p>
        </w:tc>
        <w:tc>
          <w:tcPr>
            <w:tcW w:w="1782" w:type="dxa"/>
            <w:tcBorders>
              <w:top w:val="nil"/>
              <w:left w:val="nil"/>
              <w:bottom w:val="nil"/>
              <w:right w:val="nil"/>
            </w:tcBorders>
            <w:shd w:val="clear" w:color="auto" w:fill="FFFFFF" w:themeFill="background1"/>
            <w:vAlign w:val="center"/>
          </w:tcPr>
          <w:p w14:paraId="090A4269"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 xml:space="preserve"> 8,683,817 </w:t>
            </w:r>
          </w:p>
        </w:tc>
      </w:tr>
      <w:tr w:rsidR="009E215C" w:rsidRPr="004C5A7A" w14:paraId="35D7A48C" w14:textId="77777777" w:rsidTr="00752CFA">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14E35FA5" w14:textId="77777777" w:rsidR="009E215C" w:rsidRPr="004C5A7A" w:rsidRDefault="009E215C">
            <w:pPr>
              <w:pStyle w:val="08-Tabelageral"/>
              <w:ind w:firstLine="174"/>
              <w:jc w:val="left"/>
              <w:rPr>
                <w:rFonts w:cs="Arial"/>
                <w:szCs w:val="14"/>
                <w:highlight w:val="yellow"/>
                <w:lang w:eastAsia="en-US"/>
              </w:rPr>
            </w:pPr>
            <w:r w:rsidRPr="004C5A7A">
              <w:rPr>
                <w:rStyle w:val="rynqvb"/>
                <w:rFonts w:cs="Arial"/>
                <w:lang w:val="en"/>
              </w:rPr>
              <w:t>2023</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71D907A4"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highlight w:val="yellow"/>
                <w:lang w:eastAsia="en-US"/>
              </w:rPr>
            </w:pPr>
            <w:r w:rsidRPr="004C5A7A">
              <w:rPr>
                <w:rFonts w:cs="Arial"/>
                <w:b/>
                <w:bCs/>
                <w:szCs w:val="14"/>
              </w:rPr>
              <w:t>4,937,503</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2E072274"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b/>
                <w:bCs/>
                <w:szCs w:val="14"/>
              </w:rPr>
              <w:t>2,988,399</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62C189FD"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highlight w:val="yellow"/>
                <w:lang w:eastAsia="en-US"/>
              </w:rPr>
            </w:pPr>
            <w:r w:rsidRPr="004C5A7A">
              <w:rPr>
                <w:rFonts w:cs="Arial"/>
                <w:b/>
                <w:bCs/>
                <w:szCs w:val="14"/>
              </w:rPr>
              <w:t>7,925,902</w:t>
            </w:r>
          </w:p>
        </w:tc>
      </w:tr>
    </w:tbl>
    <w:p w14:paraId="2CD06F72" w14:textId="77777777" w:rsidR="009E215C" w:rsidRPr="004C5A7A" w:rsidRDefault="009E215C" w:rsidP="009E215C">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5350210F" w14:textId="77777777" w:rsidR="009E215C" w:rsidRPr="004C5A7A" w:rsidRDefault="009E215C" w:rsidP="009E215C">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44112294" w14:textId="77777777" w:rsidR="009E215C" w:rsidRPr="004C5A7A" w:rsidRDefault="009E215C" w:rsidP="009E215C">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60685158" w14:textId="77777777" w:rsidR="009E215C" w:rsidRPr="004C5A7A" w:rsidRDefault="009E215C" w:rsidP="009E215C">
      <w:pPr>
        <w:pStyle w:val="01-TtulodeNota"/>
        <w:keepNext/>
        <w:keepLines/>
        <w:spacing w:before="0" w:after="0"/>
        <w:jc w:val="right"/>
        <w:rPr>
          <w:rStyle w:val="normaltextrun"/>
          <w:rFonts w:cs="Arial"/>
          <w:sz w:val="14"/>
          <w:szCs w:val="14"/>
          <w:lang w:val="en-US"/>
        </w:rPr>
      </w:pPr>
      <w:r w:rsidRPr="004C5A7A">
        <w:rPr>
          <w:rFonts w:cs="Arial"/>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356"/>
        <w:gridCol w:w="1169"/>
        <w:gridCol w:w="1224"/>
        <w:gridCol w:w="1006"/>
        <w:gridCol w:w="1036"/>
        <w:gridCol w:w="753"/>
        <w:gridCol w:w="1095"/>
      </w:tblGrid>
      <w:tr w:rsidR="009E215C" w:rsidRPr="004C5A7A" w14:paraId="2F893FA1" w14:textId="77777777" w:rsidTr="00752CF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FFFFFF" w:themeFill="background1"/>
            <w:vAlign w:val="center"/>
          </w:tcPr>
          <w:p w14:paraId="1D05850C" w14:textId="77777777" w:rsidR="009E215C" w:rsidRPr="004C5A7A" w:rsidRDefault="009E215C">
            <w:pPr>
              <w:rPr>
                <w:rFonts w:ascii="Arial" w:hAnsi="Arial" w:cs="Arial"/>
                <w:color w:val="FF0000"/>
                <w:sz w:val="14"/>
                <w:szCs w:val="14"/>
              </w:rPr>
            </w:pPr>
          </w:p>
        </w:tc>
        <w:tc>
          <w:tcPr>
            <w:tcW w:w="628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7CDDC4C"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4C5A7A">
              <w:rPr>
                <w:rFonts w:ascii="Arial" w:hAnsi="Arial" w:cs="Arial"/>
                <w:sz w:val="14"/>
                <w:szCs w:val="14"/>
              </w:rPr>
              <w:t>Consolidated</w:t>
            </w:r>
            <w:proofErr w:type="spellEnd"/>
          </w:p>
        </w:tc>
      </w:tr>
      <w:tr w:rsidR="009E215C" w:rsidRPr="004C5A7A" w14:paraId="4901A8B8"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3F5ACC3E" w14:textId="77777777" w:rsidR="009E215C" w:rsidRPr="004C5A7A" w:rsidRDefault="009E215C">
            <w:pPr>
              <w:rPr>
                <w:rFonts w:ascii="Arial" w:hAnsi="Arial" w:cs="Arial"/>
                <w:color w:val="FF0000"/>
                <w:sz w:val="14"/>
                <w:szCs w:val="14"/>
              </w:rPr>
            </w:pPr>
            <w:r w:rsidRPr="004C5A7A">
              <w:rPr>
                <w:rFonts w:ascii="Arial" w:hAnsi="Arial" w:cs="Arial"/>
                <w:color w:val="FF0000"/>
                <w:sz w:val="14"/>
                <w:szCs w:val="14"/>
              </w:rPr>
              <w:t xml:space="preserve"> </w:t>
            </w:r>
          </w:p>
        </w:tc>
        <w:tc>
          <w:tcPr>
            <w:tcW w:w="11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95A4EAD"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88908C2"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Brasilprev</w:t>
            </w:r>
          </w:p>
        </w:tc>
        <w:tc>
          <w:tcPr>
            <w:tcW w:w="10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C21C002"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color w:val="auto"/>
                <w:sz w:val="14"/>
                <w:szCs w:val="14"/>
              </w:rPr>
              <w:t>Brasilcap</w:t>
            </w:r>
            <w:proofErr w:type="spellEnd"/>
          </w:p>
        </w:tc>
        <w:tc>
          <w:tcPr>
            <w:tcW w:w="103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5CFFC25"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color w:val="auto"/>
                <w:sz w:val="14"/>
                <w:szCs w:val="14"/>
              </w:rPr>
              <w:t>Brasildental</w:t>
            </w:r>
            <w:proofErr w:type="spellEnd"/>
          </w:p>
        </w:tc>
        <w:tc>
          <w:tcPr>
            <w:tcW w:w="75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708F52E"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DB2A21A"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Total</w:t>
            </w:r>
          </w:p>
        </w:tc>
      </w:tr>
      <w:tr w:rsidR="009E215C" w:rsidRPr="004C5A7A" w14:paraId="38935A9C"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5FB27CA0" w14:textId="77777777" w:rsidR="009E215C" w:rsidRPr="004C5A7A" w:rsidRDefault="009E215C">
            <w:pPr>
              <w:pStyle w:val="08-Tabelageral"/>
              <w:ind w:firstLine="179"/>
              <w:jc w:val="left"/>
              <w:rPr>
                <w:rFonts w:cs="Arial"/>
              </w:rPr>
            </w:pPr>
            <w:r w:rsidRPr="004C5A7A">
              <w:rPr>
                <w:rFonts w:cs="Arial"/>
              </w:rPr>
              <w:t>2024</w:t>
            </w:r>
          </w:p>
        </w:tc>
        <w:tc>
          <w:tcPr>
            <w:tcW w:w="1169" w:type="dxa"/>
            <w:tcBorders>
              <w:top w:val="nil"/>
              <w:left w:val="nil"/>
              <w:bottom w:val="nil"/>
              <w:right w:val="nil"/>
            </w:tcBorders>
            <w:shd w:val="clear" w:color="auto" w:fill="FFFFFF" w:themeFill="background1"/>
            <w:vAlign w:val="center"/>
          </w:tcPr>
          <w:p w14:paraId="5D63E189"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3,295,563</w:t>
            </w:r>
          </w:p>
        </w:tc>
        <w:tc>
          <w:tcPr>
            <w:tcW w:w="1224" w:type="dxa"/>
            <w:tcBorders>
              <w:top w:val="nil"/>
              <w:left w:val="nil"/>
              <w:bottom w:val="nil"/>
              <w:right w:val="nil"/>
            </w:tcBorders>
            <w:shd w:val="clear" w:color="auto" w:fill="FFFFFF" w:themeFill="background1"/>
            <w:vAlign w:val="center"/>
          </w:tcPr>
          <w:p w14:paraId="5BD035A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1,801,907</w:t>
            </w:r>
          </w:p>
        </w:tc>
        <w:tc>
          <w:tcPr>
            <w:tcW w:w="1006" w:type="dxa"/>
            <w:tcBorders>
              <w:top w:val="nil"/>
              <w:left w:val="nil"/>
              <w:bottom w:val="nil"/>
              <w:right w:val="nil"/>
            </w:tcBorders>
            <w:shd w:val="clear" w:color="auto" w:fill="FFFFFF" w:themeFill="background1"/>
            <w:vAlign w:val="center"/>
          </w:tcPr>
          <w:p w14:paraId="5DA87083"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187,464</w:t>
            </w:r>
          </w:p>
        </w:tc>
        <w:tc>
          <w:tcPr>
            <w:tcW w:w="1036" w:type="dxa"/>
            <w:tcBorders>
              <w:top w:val="nil"/>
              <w:left w:val="nil"/>
              <w:bottom w:val="nil"/>
              <w:right w:val="nil"/>
            </w:tcBorders>
            <w:shd w:val="clear" w:color="auto" w:fill="FFFFFF" w:themeFill="background1"/>
            <w:vAlign w:val="center"/>
          </w:tcPr>
          <w:p w14:paraId="21F127A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19,594</w:t>
            </w:r>
          </w:p>
        </w:tc>
        <w:tc>
          <w:tcPr>
            <w:tcW w:w="753" w:type="dxa"/>
            <w:tcBorders>
              <w:top w:val="nil"/>
              <w:left w:val="nil"/>
              <w:bottom w:val="nil"/>
              <w:right w:val="nil"/>
            </w:tcBorders>
            <w:shd w:val="clear" w:color="auto" w:fill="FFFFFF" w:themeFill="background1"/>
            <w:vAlign w:val="center"/>
          </w:tcPr>
          <w:p w14:paraId="3B8C331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7,436</w:t>
            </w:r>
          </w:p>
        </w:tc>
        <w:tc>
          <w:tcPr>
            <w:tcW w:w="1095" w:type="dxa"/>
            <w:tcBorders>
              <w:top w:val="nil"/>
              <w:left w:val="nil"/>
              <w:bottom w:val="nil"/>
              <w:right w:val="nil"/>
            </w:tcBorders>
            <w:shd w:val="clear" w:color="auto" w:fill="FFFFFF" w:themeFill="background1"/>
            <w:vAlign w:val="center"/>
          </w:tcPr>
          <w:p w14:paraId="0C912DB6"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C5A7A">
              <w:rPr>
                <w:rFonts w:cs="Arial"/>
                <w:b/>
                <w:bCs/>
                <w:color w:val="000000"/>
                <w:szCs w:val="14"/>
              </w:rPr>
              <w:t>5,311,964</w:t>
            </w:r>
          </w:p>
        </w:tc>
      </w:tr>
      <w:tr w:rsidR="009E215C" w:rsidRPr="004C5A7A" w14:paraId="1E0E0263"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0807F50E" w14:textId="77777777" w:rsidR="009E215C" w:rsidRPr="004C5A7A" w:rsidRDefault="009E215C">
            <w:pPr>
              <w:pStyle w:val="08-Tabelageral"/>
              <w:ind w:firstLine="179"/>
              <w:jc w:val="left"/>
              <w:rPr>
                <w:rFonts w:cs="Arial"/>
                <w:lang w:eastAsia="en-US"/>
              </w:rPr>
            </w:pPr>
            <w:r w:rsidRPr="004C5A7A">
              <w:rPr>
                <w:rStyle w:val="rynqvb"/>
                <w:rFonts w:cs="Arial"/>
                <w:lang w:val="en"/>
              </w:rPr>
              <w:t>2023</w:t>
            </w:r>
          </w:p>
        </w:tc>
        <w:tc>
          <w:tcPr>
            <w:tcW w:w="1169" w:type="dxa"/>
            <w:tcBorders>
              <w:top w:val="nil"/>
              <w:left w:val="nil"/>
              <w:bottom w:val="single" w:sz="2" w:space="0" w:color="1F3864" w:themeColor="accent1" w:themeShade="80"/>
              <w:right w:val="nil"/>
            </w:tcBorders>
            <w:shd w:val="clear" w:color="auto" w:fill="FFFFFF" w:themeFill="background1"/>
            <w:vAlign w:val="center"/>
          </w:tcPr>
          <w:p w14:paraId="3450E085" w14:textId="77777777" w:rsidR="009E215C" w:rsidRPr="004C5A7A" w:rsidRDefault="009E215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4C5A7A">
              <w:rPr>
                <w:rFonts w:cs="Arial"/>
                <w:b/>
                <w:bCs/>
                <w:color w:val="000000"/>
                <w:szCs w:val="14"/>
              </w:rPr>
              <w:t>2,899,970</w:t>
            </w:r>
          </w:p>
        </w:tc>
        <w:tc>
          <w:tcPr>
            <w:tcW w:w="1224" w:type="dxa"/>
            <w:tcBorders>
              <w:top w:val="nil"/>
              <w:left w:val="nil"/>
              <w:bottom w:val="single" w:sz="2" w:space="0" w:color="1F3864" w:themeColor="accent1" w:themeShade="80"/>
              <w:right w:val="nil"/>
            </w:tcBorders>
            <w:shd w:val="clear" w:color="auto" w:fill="FFFFFF" w:themeFill="background1"/>
            <w:vAlign w:val="center"/>
          </w:tcPr>
          <w:p w14:paraId="1DC21E44" w14:textId="77777777" w:rsidR="009E215C" w:rsidRPr="004C5A7A" w:rsidRDefault="009E215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lang w:eastAsia="en-US"/>
              </w:rPr>
            </w:pPr>
            <w:r w:rsidRPr="004C5A7A">
              <w:rPr>
                <w:rFonts w:cs="Arial"/>
                <w:b/>
                <w:bCs/>
                <w:color w:val="000000"/>
                <w:szCs w:val="14"/>
              </w:rPr>
              <w:t>1,789,794</w:t>
            </w:r>
          </w:p>
        </w:tc>
        <w:tc>
          <w:tcPr>
            <w:tcW w:w="1006" w:type="dxa"/>
            <w:tcBorders>
              <w:top w:val="nil"/>
              <w:left w:val="nil"/>
              <w:bottom w:val="single" w:sz="2" w:space="0" w:color="1F3864" w:themeColor="accent1" w:themeShade="80"/>
              <w:right w:val="nil"/>
            </w:tcBorders>
            <w:shd w:val="clear" w:color="auto" w:fill="FFFFFF" w:themeFill="background1"/>
            <w:vAlign w:val="center"/>
          </w:tcPr>
          <w:p w14:paraId="3B0FE946" w14:textId="77777777" w:rsidR="009E215C" w:rsidRPr="004C5A7A" w:rsidRDefault="009E215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4C5A7A">
              <w:rPr>
                <w:rFonts w:cs="Arial"/>
                <w:b/>
                <w:bCs/>
                <w:color w:val="000000"/>
                <w:szCs w:val="14"/>
              </w:rPr>
              <w:t>179,162</w:t>
            </w:r>
          </w:p>
        </w:tc>
        <w:tc>
          <w:tcPr>
            <w:tcW w:w="1036" w:type="dxa"/>
            <w:tcBorders>
              <w:top w:val="nil"/>
              <w:left w:val="nil"/>
              <w:bottom w:val="single" w:sz="2" w:space="0" w:color="1F3864" w:themeColor="accent1" w:themeShade="80"/>
              <w:right w:val="nil"/>
            </w:tcBorders>
            <w:shd w:val="clear" w:color="auto" w:fill="FFFFFF" w:themeFill="background1"/>
            <w:vAlign w:val="center"/>
          </w:tcPr>
          <w:p w14:paraId="6C7502B6" w14:textId="77777777" w:rsidR="009E215C" w:rsidRPr="004C5A7A" w:rsidRDefault="009E215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4C5A7A">
              <w:rPr>
                <w:rFonts w:cs="Arial"/>
                <w:b/>
                <w:bCs/>
                <w:color w:val="000000"/>
                <w:szCs w:val="14"/>
              </w:rPr>
              <w:t>18,213</w:t>
            </w:r>
          </w:p>
        </w:tc>
        <w:tc>
          <w:tcPr>
            <w:tcW w:w="753" w:type="dxa"/>
            <w:tcBorders>
              <w:top w:val="nil"/>
              <w:left w:val="nil"/>
              <w:bottom w:val="single" w:sz="2" w:space="0" w:color="1F3864" w:themeColor="accent1" w:themeShade="80"/>
              <w:right w:val="nil"/>
            </w:tcBorders>
            <w:shd w:val="clear" w:color="auto" w:fill="FFFFFF" w:themeFill="background1"/>
            <w:vAlign w:val="center"/>
          </w:tcPr>
          <w:p w14:paraId="5FF5E99D" w14:textId="77777777" w:rsidR="009E215C" w:rsidRPr="004C5A7A" w:rsidRDefault="009E215C">
            <w:pPr>
              <w:pStyle w:val="08-Tabelageral"/>
              <w:cnfStyle w:val="000000000000" w:firstRow="0" w:lastRow="0" w:firstColumn="0" w:lastColumn="0" w:oddVBand="0" w:evenVBand="0" w:oddHBand="0" w:evenHBand="0" w:firstRowFirstColumn="0" w:firstRowLastColumn="0" w:lastRowFirstColumn="0" w:lastRowLastColumn="0"/>
              <w:rPr>
                <w:rFonts w:cs="Arial"/>
                <w:b/>
                <w:bCs/>
                <w:lang w:eastAsia="en-US"/>
              </w:rPr>
            </w:pPr>
            <w:r w:rsidRPr="004C5A7A">
              <w:rPr>
                <w:rFonts w:cs="Arial"/>
                <w:b/>
                <w:bCs/>
                <w:color w:val="000000"/>
                <w:szCs w:val="14"/>
              </w:rPr>
              <w:t>3,319</w:t>
            </w:r>
          </w:p>
        </w:tc>
        <w:tc>
          <w:tcPr>
            <w:tcW w:w="1095" w:type="dxa"/>
            <w:tcBorders>
              <w:top w:val="nil"/>
              <w:left w:val="nil"/>
              <w:bottom w:val="single" w:sz="2" w:space="0" w:color="1F3864" w:themeColor="accent1" w:themeShade="80"/>
              <w:right w:val="nil"/>
            </w:tcBorders>
            <w:shd w:val="clear" w:color="auto" w:fill="FFFFFF" w:themeFill="background1"/>
            <w:vAlign w:val="center"/>
          </w:tcPr>
          <w:p w14:paraId="781022A5"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highlight w:val="yellow"/>
                <w:lang w:eastAsia="en-US"/>
              </w:rPr>
            </w:pPr>
            <w:r w:rsidRPr="004C5A7A">
              <w:rPr>
                <w:rFonts w:cs="Arial"/>
                <w:b/>
                <w:bCs/>
                <w:color w:val="000000"/>
                <w:szCs w:val="14"/>
              </w:rPr>
              <w:t>4,890,458</w:t>
            </w:r>
          </w:p>
        </w:tc>
      </w:tr>
    </w:tbl>
    <w:p w14:paraId="1A7E5FEA" w14:textId="77777777" w:rsidR="009E215C" w:rsidRPr="004C5A7A" w:rsidRDefault="009E215C" w:rsidP="009E215C">
      <w:pPr>
        <w:pStyle w:val="05-Textonormal"/>
        <w:spacing w:before="0" w:after="80" w:line="240" w:lineRule="auto"/>
        <w:rPr>
          <w:rFonts w:cs="Arial"/>
          <w:sz w:val="14"/>
          <w:szCs w:val="14"/>
          <w:lang w:val="en-US" w:eastAsia="zh-CN"/>
        </w:rPr>
      </w:pPr>
    </w:p>
    <w:p w14:paraId="7D326693" w14:textId="77777777" w:rsidR="009E215C" w:rsidRPr="004C5A7A" w:rsidRDefault="009E215C" w:rsidP="009E215C">
      <w:pPr>
        <w:pStyle w:val="05-Textonormal"/>
        <w:spacing w:before="0" w:after="80" w:line="240" w:lineRule="auto"/>
        <w:rPr>
          <w:rFonts w:cs="Arial"/>
          <w:sz w:val="14"/>
          <w:szCs w:val="14"/>
          <w:lang w:val="en-US" w:eastAsia="zh-CN"/>
        </w:rPr>
      </w:pP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9E215C" w:rsidRPr="001A7DD8" w14:paraId="23EE650B" w14:textId="77777777" w:rsidTr="00752CF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11961C0D" w14:textId="77777777" w:rsidR="009E215C" w:rsidRPr="004C5A7A" w:rsidRDefault="009E215C">
            <w:pPr>
              <w:pageBreakBefore/>
              <w:spacing w:before="120" w:after="120"/>
              <w:rPr>
                <w:rFonts w:ascii="Arial" w:eastAsia="Times New Roman" w:hAnsi="Arial" w:cs="Arial"/>
                <w:bCs w:val="0"/>
                <w:color w:val="1F3864" w:themeColor="accent1" w:themeShade="80"/>
                <w:spacing w:val="-2"/>
                <w:sz w:val="18"/>
                <w:szCs w:val="20"/>
                <w:lang w:val="en-US" w:eastAsia="pt-BR"/>
              </w:rPr>
            </w:pPr>
            <w:r w:rsidRPr="004C5A7A">
              <w:rPr>
                <w:rFonts w:ascii="Arial" w:eastAsia="Times New Roman" w:hAnsi="Arial" w:cs="Arial"/>
                <w:bCs w:val="0"/>
                <w:color w:val="1F3864" w:themeColor="accent1" w:themeShade="80"/>
                <w:spacing w:val="-2"/>
                <w:sz w:val="18"/>
                <w:szCs w:val="20"/>
                <w:lang w:val="en-US" w:eastAsia="pt-BR"/>
              </w:rPr>
              <w:lastRenderedPageBreak/>
              <w:t>b.3) Investment Movement</w:t>
            </w:r>
          </w:p>
          <w:p w14:paraId="46BEE1EF" w14:textId="77777777" w:rsidR="009E215C" w:rsidRPr="004C5A7A" w:rsidRDefault="009E215C" w:rsidP="003760F5">
            <w:pPr>
              <w:pStyle w:val="01-TtulodeNota"/>
              <w:keepNext/>
              <w:keepLines/>
              <w:spacing w:before="0" w:after="0"/>
              <w:ind w:right="-107"/>
              <w:jc w:val="right"/>
              <w:rPr>
                <w:rFonts w:cs="Arial"/>
                <w:bCs w:val="0"/>
                <w:color w:val="1F3864" w:themeColor="accent1" w:themeShade="80"/>
                <w:sz w:val="18"/>
                <w:lang w:val="en-US"/>
              </w:rPr>
            </w:pPr>
            <w:r w:rsidRPr="004C5A7A">
              <w:rPr>
                <w:rFonts w:cs="Arial"/>
                <w:b/>
                <w:bCs w:val="0"/>
                <w:sz w:val="14"/>
                <w:szCs w:val="14"/>
                <w:lang w:val="en-US"/>
              </w:rPr>
              <w:t>R$ thousand</w:t>
            </w:r>
          </w:p>
        </w:tc>
      </w:tr>
      <w:tr w:rsidR="009E215C" w:rsidRPr="004C5A7A" w14:paraId="40811AD3"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0BA71AF6" w14:textId="77777777" w:rsidR="009E215C" w:rsidRPr="004C5A7A" w:rsidRDefault="009E215C">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4C1F92E"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4C5A7A">
              <w:rPr>
                <w:rFonts w:ascii="Arial" w:hAnsi="Arial" w:cs="Arial"/>
                <w:b/>
                <w:bCs/>
                <w:sz w:val="14"/>
                <w:szCs w:val="14"/>
              </w:rPr>
              <w:t>Parent</w:t>
            </w:r>
            <w:proofErr w:type="spellEnd"/>
          </w:p>
        </w:tc>
      </w:tr>
      <w:tr w:rsidR="009E215C" w:rsidRPr="004C5A7A" w14:paraId="79DDBB27"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33EEE493" w14:textId="77777777" w:rsidR="009E215C" w:rsidRPr="004C5A7A" w:rsidRDefault="009E215C">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EC39FA9"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D10270"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A578032"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4C5A7A">
              <w:rPr>
                <w:rFonts w:ascii="Arial" w:hAnsi="Arial" w:cs="Arial"/>
                <w:b/>
                <w:sz w:val="14"/>
                <w:szCs w:val="14"/>
              </w:rPr>
              <w:t>Total</w:t>
            </w:r>
          </w:p>
        </w:tc>
      </w:tr>
      <w:tr w:rsidR="009E215C" w:rsidRPr="004C5A7A" w14:paraId="4D8D5B27"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A61C1D3" w14:textId="77777777" w:rsidR="009E215C" w:rsidRPr="004C5A7A" w:rsidRDefault="009E215C">
            <w:pPr>
              <w:pStyle w:val="08-Tabelageral"/>
              <w:jc w:val="left"/>
              <w:rPr>
                <w:rFonts w:cs="Arial"/>
                <w:szCs w:val="14"/>
                <w:lang w:val="en-US"/>
              </w:rPr>
            </w:pPr>
            <w:r w:rsidRPr="004C5A7A">
              <w:rPr>
                <w:rFonts w:cs="Arial"/>
                <w:szCs w:val="14"/>
                <w:lang w:val="en-US"/>
              </w:rPr>
              <w:t>Book Balance on Dec 31, 2023</w:t>
            </w:r>
          </w:p>
        </w:tc>
        <w:tc>
          <w:tcPr>
            <w:tcW w:w="1971" w:type="dxa"/>
            <w:tcBorders>
              <w:top w:val="nil"/>
              <w:left w:val="nil"/>
              <w:bottom w:val="nil"/>
              <w:right w:val="nil"/>
            </w:tcBorders>
            <w:shd w:val="clear" w:color="auto" w:fill="FFFFFF" w:themeFill="background1"/>
            <w:vAlign w:val="center"/>
            <w:hideMark/>
          </w:tcPr>
          <w:p w14:paraId="2355A2D5"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b/>
                <w:bCs/>
                <w:color w:val="000000"/>
                <w:szCs w:val="14"/>
              </w:rPr>
              <w:t>9,122,733</w:t>
            </w:r>
          </w:p>
        </w:tc>
        <w:tc>
          <w:tcPr>
            <w:tcW w:w="1712" w:type="dxa"/>
            <w:tcBorders>
              <w:top w:val="nil"/>
              <w:left w:val="nil"/>
              <w:bottom w:val="nil"/>
              <w:right w:val="nil"/>
            </w:tcBorders>
            <w:shd w:val="clear" w:color="auto" w:fill="FFFFFF" w:themeFill="background1"/>
            <w:vAlign w:val="center"/>
            <w:hideMark/>
          </w:tcPr>
          <w:p w14:paraId="27547D6D"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b/>
                <w:bCs/>
                <w:color w:val="000000"/>
                <w:szCs w:val="14"/>
              </w:rPr>
              <w:t>5,872</w:t>
            </w:r>
          </w:p>
        </w:tc>
        <w:tc>
          <w:tcPr>
            <w:tcW w:w="1782" w:type="dxa"/>
            <w:tcBorders>
              <w:top w:val="nil"/>
              <w:left w:val="nil"/>
              <w:bottom w:val="nil"/>
              <w:right w:val="nil"/>
            </w:tcBorders>
            <w:shd w:val="clear" w:color="auto" w:fill="FFFFFF" w:themeFill="background1"/>
            <w:vAlign w:val="center"/>
            <w:hideMark/>
          </w:tcPr>
          <w:p w14:paraId="6F5C9357"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b/>
                <w:bCs/>
                <w:color w:val="000000"/>
                <w:szCs w:val="14"/>
              </w:rPr>
              <w:t>9,128,605</w:t>
            </w:r>
          </w:p>
        </w:tc>
      </w:tr>
      <w:tr w:rsidR="009E215C" w:rsidRPr="004C5A7A" w14:paraId="15A78F6C"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42EECC65" w14:textId="77777777" w:rsidR="009E215C" w:rsidRPr="004C5A7A" w:rsidRDefault="009E215C">
            <w:pPr>
              <w:ind w:left="179"/>
              <w:rPr>
                <w:rFonts w:ascii="Arial" w:hAnsi="Arial" w:cs="Arial"/>
                <w:sz w:val="14"/>
                <w:szCs w:val="14"/>
                <w:lang w:val="en-US"/>
              </w:rPr>
            </w:pPr>
            <w:proofErr w:type="spellStart"/>
            <w:r w:rsidRPr="004C5A7A">
              <w:rPr>
                <w:rFonts w:ascii="Arial" w:hAnsi="Arial" w:cs="Arial"/>
                <w:b w:val="0"/>
                <w:sz w:val="14"/>
                <w:szCs w:val="14"/>
              </w:rPr>
              <w:t>Dividends</w:t>
            </w:r>
            <w:proofErr w:type="spellEnd"/>
          </w:p>
        </w:tc>
        <w:tc>
          <w:tcPr>
            <w:tcW w:w="1971" w:type="dxa"/>
            <w:tcBorders>
              <w:top w:val="nil"/>
              <w:left w:val="nil"/>
              <w:bottom w:val="nil"/>
              <w:right w:val="nil"/>
            </w:tcBorders>
            <w:shd w:val="clear" w:color="auto" w:fill="FFFFFF" w:themeFill="background1"/>
            <w:vAlign w:val="center"/>
          </w:tcPr>
          <w:p w14:paraId="5E2427BD"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C5A7A">
              <w:rPr>
                <w:rFonts w:cs="Arial"/>
                <w:color w:val="000000"/>
                <w:szCs w:val="14"/>
              </w:rPr>
              <w:t>(4,484,260)</w:t>
            </w:r>
          </w:p>
        </w:tc>
        <w:tc>
          <w:tcPr>
            <w:tcW w:w="1712" w:type="dxa"/>
            <w:tcBorders>
              <w:top w:val="nil"/>
              <w:left w:val="nil"/>
              <w:bottom w:val="nil"/>
              <w:right w:val="nil"/>
            </w:tcBorders>
            <w:shd w:val="clear" w:color="auto" w:fill="FFFFFF" w:themeFill="background1"/>
            <w:vAlign w:val="center"/>
          </w:tcPr>
          <w:p w14:paraId="2C1570D4"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4C5A7A">
              <w:rPr>
                <w:rFonts w:cs="Arial"/>
                <w:color w:val="000000"/>
                <w:szCs w:val="14"/>
              </w:rPr>
              <w:t>(3,308,139)</w:t>
            </w:r>
          </w:p>
        </w:tc>
        <w:tc>
          <w:tcPr>
            <w:tcW w:w="1782" w:type="dxa"/>
            <w:tcBorders>
              <w:top w:val="nil"/>
              <w:left w:val="nil"/>
              <w:bottom w:val="nil"/>
              <w:right w:val="nil"/>
            </w:tcBorders>
            <w:shd w:val="clear" w:color="auto" w:fill="FFFFFF" w:themeFill="background1"/>
            <w:vAlign w:val="center"/>
          </w:tcPr>
          <w:p w14:paraId="4D962F76"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C5A7A">
              <w:rPr>
                <w:rFonts w:cs="Arial"/>
                <w:color w:val="000000"/>
                <w:szCs w:val="14"/>
              </w:rPr>
              <w:t>(7,792,399)</w:t>
            </w:r>
          </w:p>
        </w:tc>
      </w:tr>
      <w:tr w:rsidR="009E215C" w:rsidRPr="004C5A7A" w14:paraId="68632AEA"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835D5A2" w14:textId="77777777" w:rsidR="009E215C" w:rsidRPr="004C5A7A" w:rsidRDefault="009E215C">
            <w:pPr>
              <w:ind w:left="179"/>
              <w:rPr>
                <w:rFonts w:ascii="Arial" w:hAnsi="Arial" w:cs="Arial"/>
                <w:b w:val="0"/>
                <w:sz w:val="14"/>
                <w:szCs w:val="14"/>
                <w:lang w:val="en-US"/>
              </w:rPr>
            </w:pPr>
            <w:r w:rsidRPr="004C5A7A">
              <w:rPr>
                <w:rFonts w:ascii="Arial" w:hAnsi="Arial" w:cs="Arial"/>
                <w:b w:val="0"/>
                <w:sz w:val="14"/>
                <w:szCs w:val="14"/>
                <w:lang w:val="en-US"/>
              </w:rPr>
              <w:t>Other comprehensive income - Financial Instruments</w:t>
            </w:r>
          </w:p>
        </w:tc>
        <w:tc>
          <w:tcPr>
            <w:tcW w:w="1971" w:type="dxa"/>
            <w:tcBorders>
              <w:top w:val="nil"/>
              <w:left w:val="nil"/>
              <w:bottom w:val="nil"/>
              <w:right w:val="nil"/>
            </w:tcBorders>
            <w:shd w:val="clear" w:color="auto" w:fill="FFFFFF" w:themeFill="background1"/>
            <w:vAlign w:val="center"/>
          </w:tcPr>
          <w:p w14:paraId="245198EC"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4C5A7A">
              <w:rPr>
                <w:rFonts w:cs="Arial"/>
                <w:color w:val="000000"/>
                <w:szCs w:val="14"/>
              </w:rPr>
              <w:t xml:space="preserve">(279,966) </w:t>
            </w:r>
          </w:p>
        </w:tc>
        <w:tc>
          <w:tcPr>
            <w:tcW w:w="1712" w:type="dxa"/>
            <w:tcBorders>
              <w:top w:val="nil"/>
              <w:left w:val="nil"/>
              <w:bottom w:val="nil"/>
              <w:right w:val="nil"/>
            </w:tcBorders>
            <w:shd w:val="clear" w:color="auto" w:fill="FFFFFF" w:themeFill="background1"/>
            <w:vAlign w:val="center"/>
          </w:tcPr>
          <w:p w14:paraId="69644CE1"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4C5A7A">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47E647F4"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color w:val="000000"/>
                <w:szCs w:val="14"/>
              </w:rPr>
              <w:t xml:space="preserve">(279,966) </w:t>
            </w:r>
          </w:p>
        </w:tc>
      </w:tr>
      <w:tr w:rsidR="009E215C" w:rsidRPr="004C5A7A" w14:paraId="10C1F212"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3F723397" w14:textId="77777777" w:rsidR="009E215C" w:rsidRPr="004C5A7A" w:rsidRDefault="009E215C">
            <w:pPr>
              <w:ind w:firstLine="174"/>
              <w:rPr>
                <w:rFonts w:ascii="Arial" w:hAnsi="Arial" w:cs="Arial"/>
                <w:b w:val="0"/>
                <w:sz w:val="14"/>
                <w:szCs w:val="14"/>
                <w:lang w:val="en-US"/>
              </w:rPr>
            </w:pPr>
            <w:r w:rsidRPr="004C5A7A">
              <w:rPr>
                <w:rFonts w:ascii="Arial" w:hAnsi="Arial" w:cs="Arial"/>
                <w:b w:val="0"/>
                <w:sz w:val="14"/>
                <w:szCs w:val="14"/>
                <w:lang w:val="en-US"/>
              </w:rPr>
              <w:t>Other comprehensive income - CPC 50</w:t>
            </w:r>
          </w:p>
        </w:tc>
        <w:tc>
          <w:tcPr>
            <w:tcW w:w="1971" w:type="dxa"/>
            <w:tcBorders>
              <w:top w:val="nil"/>
              <w:left w:val="nil"/>
              <w:bottom w:val="nil"/>
              <w:right w:val="nil"/>
            </w:tcBorders>
            <w:shd w:val="clear" w:color="auto" w:fill="FFFFFF" w:themeFill="background1"/>
            <w:vAlign w:val="center"/>
          </w:tcPr>
          <w:p w14:paraId="1B3206DE"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4C5A7A">
              <w:rPr>
                <w:rFonts w:cs="Arial"/>
                <w:color w:val="000000"/>
                <w:szCs w:val="14"/>
              </w:rPr>
              <w:t>(267,064)</w:t>
            </w:r>
          </w:p>
        </w:tc>
        <w:tc>
          <w:tcPr>
            <w:tcW w:w="1712" w:type="dxa"/>
            <w:tcBorders>
              <w:top w:val="nil"/>
              <w:left w:val="nil"/>
              <w:bottom w:val="nil"/>
              <w:right w:val="nil"/>
            </w:tcBorders>
            <w:shd w:val="clear" w:color="auto" w:fill="FFFFFF" w:themeFill="background1"/>
            <w:vAlign w:val="center"/>
          </w:tcPr>
          <w:p w14:paraId="693E3269"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4C5A7A">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1220D617"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4C5A7A">
              <w:rPr>
                <w:rFonts w:cs="Arial"/>
                <w:color w:val="000000"/>
                <w:szCs w:val="14"/>
              </w:rPr>
              <w:t>(267,064)</w:t>
            </w:r>
          </w:p>
        </w:tc>
      </w:tr>
      <w:tr w:rsidR="009E215C" w:rsidRPr="004C5A7A" w14:paraId="5E1E5F4F"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B705B7A" w14:textId="77777777" w:rsidR="009E215C" w:rsidRPr="004C5A7A" w:rsidRDefault="009E215C">
            <w:pPr>
              <w:ind w:firstLine="174"/>
              <w:rPr>
                <w:rFonts w:ascii="Arial" w:hAnsi="Arial" w:cs="Arial"/>
                <w:b w:val="0"/>
                <w:sz w:val="14"/>
                <w:szCs w:val="14"/>
              </w:rPr>
            </w:pPr>
            <w:r w:rsidRPr="004C5A7A">
              <w:rPr>
                <w:rFonts w:ascii="Arial" w:hAnsi="Arial" w:cs="Arial"/>
                <w:b w:val="0"/>
                <w:sz w:val="14"/>
                <w:szCs w:val="14"/>
              </w:rPr>
              <w:t xml:space="preserve">Other </w:t>
            </w:r>
            <w:proofErr w:type="spellStart"/>
            <w:r w:rsidRPr="004C5A7A">
              <w:rPr>
                <w:rFonts w:ascii="Arial" w:hAnsi="Arial" w:cs="Arial"/>
                <w:b w:val="0"/>
                <w:sz w:val="14"/>
                <w:szCs w:val="14"/>
              </w:rPr>
              <w:t>comprehensive</w:t>
            </w:r>
            <w:proofErr w:type="spellEnd"/>
            <w:r w:rsidRPr="004C5A7A">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20724757"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4C5A7A">
              <w:rPr>
                <w:rFonts w:cs="Arial"/>
                <w:color w:val="000000"/>
                <w:szCs w:val="14"/>
              </w:rPr>
              <w:t>--</w:t>
            </w:r>
          </w:p>
        </w:tc>
        <w:tc>
          <w:tcPr>
            <w:tcW w:w="1712" w:type="dxa"/>
            <w:tcBorders>
              <w:top w:val="nil"/>
              <w:left w:val="nil"/>
              <w:bottom w:val="nil"/>
              <w:right w:val="nil"/>
            </w:tcBorders>
            <w:shd w:val="clear" w:color="auto" w:fill="FFFFFF" w:themeFill="background1"/>
            <w:vAlign w:val="center"/>
          </w:tcPr>
          <w:p w14:paraId="5B279D5C"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4C5A7A">
              <w:rPr>
                <w:rFonts w:cs="Arial"/>
                <w:color w:val="000000"/>
                <w:szCs w:val="14"/>
              </w:rPr>
              <w:t>246</w:t>
            </w:r>
          </w:p>
        </w:tc>
        <w:tc>
          <w:tcPr>
            <w:tcW w:w="1782" w:type="dxa"/>
            <w:tcBorders>
              <w:top w:val="nil"/>
              <w:left w:val="nil"/>
              <w:bottom w:val="nil"/>
              <w:right w:val="nil"/>
            </w:tcBorders>
            <w:shd w:val="clear" w:color="auto" w:fill="FFFFFF" w:themeFill="background1"/>
            <w:vAlign w:val="center"/>
          </w:tcPr>
          <w:p w14:paraId="19CCBA93"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color w:val="000000"/>
                <w:szCs w:val="14"/>
              </w:rPr>
              <w:t>246</w:t>
            </w:r>
          </w:p>
        </w:tc>
      </w:tr>
      <w:tr w:rsidR="009E215C" w:rsidRPr="004C5A7A" w14:paraId="3410A85E"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E3B4598" w14:textId="77777777" w:rsidR="009E215C" w:rsidRPr="004C5A7A" w:rsidRDefault="009E215C">
            <w:pPr>
              <w:ind w:firstLine="174"/>
              <w:rPr>
                <w:rFonts w:ascii="Arial" w:hAnsi="Arial" w:cs="Arial"/>
                <w:b w:val="0"/>
                <w:sz w:val="14"/>
                <w:szCs w:val="14"/>
              </w:rPr>
            </w:pPr>
            <w:proofErr w:type="spellStart"/>
            <w:r w:rsidRPr="004C5A7A">
              <w:rPr>
                <w:rFonts w:ascii="Arial" w:hAnsi="Arial" w:cs="Arial"/>
                <w:b w:val="0"/>
                <w:sz w:val="14"/>
                <w:szCs w:val="14"/>
              </w:rPr>
              <w:t>Equity</w:t>
            </w:r>
            <w:proofErr w:type="spellEnd"/>
            <w:r w:rsidRPr="004C5A7A">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52E9C7A3"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4C5A7A">
              <w:rPr>
                <w:rFonts w:cs="Arial"/>
                <w:szCs w:val="14"/>
              </w:rPr>
              <w:t>5,375,678</w:t>
            </w:r>
          </w:p>
        </w:tc>
        <w:tc>
          <w:tcPr>
            <w:tcW w:w="1712" w:type="dxa"/>
            <w:tcBorders>
              <w:top w:val="nil"/>
              <w:left w:val="nil"/>
              <w:bottom w:val="nil"/>
              <w:right w:val="nil"/>
            </w:tcBorders>
            <w:shd w:val="clear" w:color="auto" w:fill="FFFFFF" w:themeFill="background1"/>
            <w:vAlign w:val="center"/>
          </w:tcPr>
          <w:p w14:paraId="6D9C95DF"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4C5A7A">
              <w:rPr>
                <w:rFonts w:cs="Arial"/>
                <w:szCs w:val="14"/>
              </w:rPr>
              <w:t>3,308,139</w:t>
            </w:r>
          </w:p>
        </w:tc>
        <w:tc>
          <w:tcPr>
            <w:tcW w:w="1782" w:type="dxa"/>
            <w:tcBorders>
              <w:top w:val="nil"/>
              <w:left w:val="nil"/>
              <w:bottom w:val="nil"/>
              <w:right w:val="nil"/>
            </w:tcBorders>
            <w:shd w:val="clear" w:color="auto" w:fill="FFFFFF" w:themeFill="background1"/>
            <w:vAlign w:val="center"/>
          </w:tcPr>
          <w:p w14:paraId="2B2E8E2A"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4C5A7A">
              <w:rPr>
                <w:rFonts w:cs="Arial"/>
                <w:szCs w:val="14"/>
              </w:rPr>
              <w:t>8,683,817</w:t>
            </w:r>
          </w:p>
        </w:tc>
      </w:tr>
      <w:tr w:rsidR="009E215C" w:rsidRPr="004C5A7A" w14:paraId="18A97A4E"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7E17E015" w14:textId="77777777" w:rsidR="009E215C" w:rsidRPr="004C5A7A" w:rsidRDefault="009E215C">
            <w:pPr>
              <w:pStyle w:val="08-Tabelageral"/>
              <w:jc w:val="left"/>
              <w:rPr>
                <w:rFonts w:cs="Arial"/>
                <w:szCs w:val="14"/>
              </w:rPr>
            </w:pPr>
            <w:r w:rsidRPr="004C5A7A">
              <w:rPr>
                <w:rFonts w:cs="Arial"/>
                <w:szCs w:val="14"/>
                <w:lang w:val="en-US"/>
              </w:rPr>
              <w:t>Book Balance on Dec 31, 2024</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74FC7FD6"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sidRPr="004C5A7A">
              <w:rPr>
                <w:rFonts w:cs="Arial"/>
                <w:b/>
                <w:bCs/>
                <w:color w:val="000000"/>
                <w:szCs w:val="14"/>
              </w:rPr>
              <w:t>9,467,121</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15C1187A"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sidRPr="004C5A7A">
              <w:rPr>
                <w:rFonts w:cs="Arial"/>
                <w:b/>
                <w:bCs/>
                <w:color w:val="000000"/>
                <w:szCs w:val="14"/>
              </w:rPr>
              <w:t>6,118</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2BD4AACE"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4C5A7A">
              <w:rPr>
                <w:rFonts w:cs="Arial"/>
                <w:b/>
                <w:bCs/>
                <w:color w:val="000000"/>
                <w:szCs w:val="14"/>
              </w:rPr>
              <w:t>9,473,239</w:t>
            </w:r>
          </w:p>
        </w:tc>
      </w:tr>
    </w:tbl>
    <w:p w14:paraId="38C5B12B" w14:textId="77777777" w:rsidR="009E215C" w:rsidRPr="004C5A7A" w:rsidRDefault="009E215C" w:rsidP="009E215C">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132A8641" w14:textId="77777777" w:rsidR="009E215C" w:rsidRPr="004C5A7A" w:rsidRDefault="009E215C" w:rsidP="009E215C">
      <w:pPr>
        <w:pStyle w:val="paragraph"/>
        <w:spacing w:before="0" w:beforeAutospacing="0" w:after="0" w:afterAutospacing="0"/>
        <w:ind w:left="284"/>
        <w:jc w:val="both"/>
        <w:textAlignment w:val="baseline"/>
        <w:rPr>
          <w:rStyle w:val="normaltextrun"/>
          <w:rFonts w:ascii="Arial" w:hAnsi="Arial" w:cs="Arial"/>
          <w:sz w:val="14"/>
          <w:szCs w:val="14"/>
          <w:lang w:val="en-US"/>
        </w:rPr>
      </w:pPr>
    </w:p>
    <w:p w14:paraId="616D37F7" w14:textId="77777777" w:rsidR="009E215C" w:rsidRPr="004C5A7A" w:rsidRDefault="009E215C" w:rsidP="009E215C">
      <w:pPr>
        <w:pStyle w:val="01-TtulodeNota"/>
        <w:keepNext/>
        <w:keepLines/>
        <w:spacing w:before="0" w:after="0"/>
        <w:jc w:val="right"/>
        <w:rPr>
          <w:rStyle w:val="normaltextrun"/>
          <w:rFonts w:cs="Arial"/>
          <w:sz w:val="14"/>
          <w:szCs w:val="14"/>
          <w:lang w:val="en-US"/>
        </w:rPr>
      </w:pPr>
      <w:r w:rsidRPr="004C5A7A">
        <w:rPr>
          <w:rFonts w:cs="Arial"/>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126"/>
        <w:gridCol w:w="1323"/>
        <w:gridCol w:w="1042"/>
        <w:gridCol w:w="1023"/>
        <w:gridCol w:w="1239"/>
        <w:gridCol w:w="767"/>
        <w:gridCol w:w="1119"/>
      </w:tblGrid>
      <w:tr w:rsidR="009E215C" w:rsidRPr="004C5A7A" w14:paraId="7885D25D" w14:textId="77777777" w:rsidTr="00752CF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single" w:sz="2" w:space="0" w:color="1F3864" w:themeColor="accent1" w:themeShade="80"/>
              <w:left w:val="nil"/>
              <w:bottom w:val="nil"/>
              <w:right w:val="nil"/>
            </w:tcBorders>
            <w:shd w:val="clear" w:color="auto" w:fill="FFFFFF" w:themeFill="background1"/>
            <w:vAlign w:val="center"/>
          </w:tcPr>
          <w:p w14:paraId="3608DC18" w14:textId="77777777" w:rsidR="009E215C" w:rsidRPr="004C5A7A" w:rsidRDefault="009E215C">
            <w:pPr>
              <w:rPr>
                <w:rFonts w:ascii="Arial" w:hAnsi="Arial" w:cs="Arial"/>
                <w:color w:val="FF0000"/>
                <w:sz w:val="14"/>
                <w:szCs w:val="14"/>
              </w:rPr>
            </w:pPr>
          </w:p>
        </w:tc>
        <w:tc>
          <w:tcPr>
            <w:tcW w:w="651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CF044A3" w14:textId="77777777" w:rsidR="009E215C" w:rsidRPr="004C5A7A" w:rsidRDefault="009E2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4C5A7A">
              <w:rPr>
                <w:rFonts w:ascii="Arial" w:hAnsi="Arial" w:cs="Arial"/>
                <w:sz w:val="14"/>
                <w:szCs w:val="14"/>
              </w:rPr>
              <w:t>Consolidated</w:t>
            </w:r>
            <w:proofErr w:type="spellEnd"/>
          </w:p>
        </w:tc>
      </w:tr>
      <w:tr w:rsidR="009E215C" w:rsidRPr="004C5A7A" w14:paraId="11551C5E"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2" w:space="0" w:color="1F3864" w:themeColor="accent1" w:themeShade="80"/>
              <w:right w:val="nil"/>
            </w:tcBorders>
            <w:shd w:val="clear" w:color="auto" w:fill="FFFFFF" w:themeFill="background1"/>
            <w:vAlign w:val="center"/>
            <w:hideMark/>
          </w:tcPr>
          <w:p w14:paraId="40E43FFB" w14:textId="77777777" w:rsidR="009E215C" w:rsidRPr="004C5A7A" w:rsidRDefault="009E215C">
            <w:pPr>
              <w:rPr>
                <w:rFonts w:ascii="Arial" w:hAnsi="Arial" w:cs="Arial"/>
                <w:color w:val="FF0000"/>
                <w:sz w:val="14"/>
                <w:szCs w:val="14"/>
              </w:rPr>
            </w:pPr>
            <w:r w:rsidRPr="004C5A7A">
              <w:rPr>
                <w:rFonts w:ascii="Arial" w:hAnsi="Arial" w:cs="Arial"/>
                <w:color w:val="FF0000"/>
                <w:sz w:val="14"/>
                <w:szCs w:val="14"/>
              </w:rPr>
              <w:t xml:space="preserve"> </w:t>
            </w:r>
          </w:p>
        </w:tc>
        <w:tc>
          <w:tcPr>
            <w:tcW w:w="13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F776650"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BB MAPFRE</w:t>
            </w:r>
            <w:r w:rsidRPr="004C5A7A">
              <w:rPr>
                <w:rFonts w:ascii="Arial" w:hAnsi="Arial" w:cs="Arial"/>
                <w:b/>
                <w:color w:val="auto"/>
                <w:sz w:val="14"/>
                <w:szCs w:val="14"/>
                <w:vertAlign w:val="superscript"/>
              </w:rPr>
              <w:t xml:space="preserve"> (1)</w:t>
            </w:r>
          </w:p>
        </w:tc>
        <w:tc>
          <w:tcPr>
            <w:tcW w:w="104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29CD4A4"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Brasilprev</w:t>
            </w:r>
            <w:r w:rsidRPr="004C5A7A">
              <w:rPr>
                <w:rFonts w:ascii="Arial" w:hAnsi="Arial" w:cs="Arial"/>
                <w:b/>
                <w:color w:val="auto"/>
                <w:sz w:val="14"/>
                <w:szCs w:val="14"/>
                <w:vertAlign w:val="superscript"/>
              </w:rPr>
              <w:t xml:space="preserve"> (2)</w:t>
            </w:r>
          </w:p>
        </w:tc>
        <w:tc>
          <w:tcPr>
            <w:tcW w:w="10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5967FA8"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color w:val="auto"/>
                <w:sz w:val="14"/>
                <w:szCs w:val="14"/>
              </w:rPr>
              <w:t>Brasilcap</w:t>
            </w:r>
            <w:proofErr w:type="spellEnd"/>
            <w:r w:rsidRPr="004C5A7A">
              <w:rPr>
                <w:rFonts w:ascii="Arial" w:hAnsi="Arial" w:cs="Arial"/>
                <w:b/>
                <w:color w:val="auto"/>
                <w:sz w:val="14"/>
                <w:szCs w:val="14"/>
              </w:rPr>
              <w:t xml:space="preserve"> </w:t>
            </w:r>
            <w:r w:rsidRPr="004C5A7A">
              <w:rPr>
                <w:rFonts w:ascii="Arial" w:hAnsi="Arial" w:cs="Arial"/>
                <w:b/>
                <w:color w:val="auto"/>
                <w:sz w:val="14"/>
                <w:szCs w:val="14"/>
                <w:vertAlign w:val="superscript"/>
              </w:rPr>
              <w:t>(3)</w:t>
            </w:r>
          </w:p>
        </w:tc>
        <w:tc>
          <w:tcPr>
            <w:tcW w:w="123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9AC0F0B"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color w:val="auto"/>
                <w:sz w:val="14"/>
                <w:szCs w:val="14"/>
              </w:rPr>
              <w:t>Brasildental</w:t>
            </w:r>
            <w:proofErr w:type="spellEnd"/>
            <w:r w:rsidRPr="004C5A7A">
              <w:rPr>
                <w:rFonts w:ascii="Arial" w:hAnsi="Arial" w:cs="Arial"/>
                <w:b/>
                <w:color w:val="auto"/>
                <w:sz w:val="14"/>
                <w:szCs w:val="14"/>
              </w:rPr>
              <w:t xml:space="preserve"> </w:t>
            </w:r>
            <w:r w:rsidRPr="004C5A7A">
              <w:rPr>
                <w:rFonts w:ascii="Arial" w:hAnsi="Arial" w:cs="Arial"/>
                <w:b/>
                <w:color w:val="auto"/>
                <w:sz w:val="14"/>
                <w:szCs w:val="14"/>
                <w:vertAlign w:val="superscript"/>
              </w:rPr>
              <w:t>(4)</w:t>
            </w:r>
          </w:p>
        </w:tc>
        <w:tc>
          <w:tcPr>
            <w:tcW w:w="76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8CA0FFB"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4C5A7A">
              <w:rPr>
                <w:rFonts w:ascii="Arial" w:hAnsi="Arial" w:cs="Arial"/>
                <w:b/>
                <w:color w:val="auto"/>
                <w:sz w:val="14"/>
                <w:szCs w:val="14"/>
              </w:rPr>
              <w:t>Ciclic</w:t>
            </w:r>
            <w:proofErr w:type="spellEnd"/>
          </w:p>
        </w:tc>
        <w:tc>
          <w:tcPr>
            <w:tcW w:w="11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AD3FB1B" w14:textId="77777777" w:rsidR="009E215C" w:rsidRPr="004C5A7A" w:rsidRDefault="009E215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4C5A7A">
              <w:rPr>
                <w:rFonts w:ascii="Arial" w:hAnsi="Arial" w:cs="Arial"/>
                <w:b/>
                <w:color w:val="auto"/>
                <w:sz w:val="14"/>
                <w:szCs w:val="14"/>
              </w:rPr>
              <w:t>Total</w:t>
            </w:r>
          </w:p>
        </w:tc>
      </w:tr>
      <w:tr w:rsidR="009E215C" w:rsidRPr="004C5A7A" w14:paraId="330F4600"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092E08A9" w14:textId="77777777" w:rsidR="009E215C" w:rsidRPr="004C5A7A" w:rsidRDefault="009E215C">
            <w:pPr>
              <w:pStyle w:val="08-Tabelageral"/>
              <w:jc w:val="left"/>
              <w:rPr>
                <w:rFonts w:cs="Arial"/>
                <w:szCs w:val="14"/>
                <w:lang w:val="en-US"/>
              </w:rPr>
            </w:pPr>
            <w:r w:rsidRPr="004C5A7A">
              <w:rPr>
                <w:rFonts w:cs="Arial"/>
                <w:szCs w:val="14"/>
                <w:lang w:val="en-US"/>
              </w:rPr>
              <w:t>Book Balance on Dec 31, 2023</w:t>
            </w:r>
          </w:p>
        </w:tc>
        <w:tc>
          <w:tcPr>
            <w:tcW w:w="1323" w:type="dxa"/>
            <w:tcBorders>
              <w:top w:val="nil"/>
              <w:left w:val="nil"/>
              <w:bottom w:val="nil"/>
              <w:right w:val="nil"/>
            </w:tcBorders>
            <w:shd w:val="clear" w:color="auto" w:fill="FFFFFF" w:themeFill="background1"/>
            <w:vAlign w:val="center"/>
            <w:hideMark/>
          </w:tcPr>
          <w:p w14:paraId="460EEBF3"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2,998,631</w:t>
            </w:r>
          </w:p>
        </w:tc>
        <w:tc>
          <w:tcPr>
            <w:tcW w:w="1042" w:type="dxa"/>
            <w:tcBorders>
              <w:top w:val="nil"/>
              <w:left w:val="nil"/>
              <w:bottom w:val="nil"/>
              <w:right w:val="nil"/>
            </w:tcBorders>
            <w:shd w:val="clear" w:color="auto" w:fill="FFFFFF" w:themeFill="background1"/>
            <w:vAlign w:val="center"/>
            <w:hideMark/>
          </w:tcPr>
          <w:p w14:paraId="457E97BA"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5,695,326</w:t>
            </w:r>
          </w:p>
        </w:tc>
        <w:tc>
          <w:tcPr>
            <w:tcW w:w="1023" w:type="dxa"/>
            <w:tcBorders>
              <w:top w:val="nil"/>
              <w:left w:val="nil"/>
              <w:bottom w:val="nil"/>
              <w:right w:val="nil"/>
            </w:tcBorders>
            <w:shd w:val="clear" w:color="auto" w:fill="FFFFFF" w:themeFill="background1"/>
            <w:vAlign w:val="center"/>
            <w:hideMark/>
          </w:tcPr>
          <w:p w14:paraId="248F9B3B"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622,336</w:t>
            </w:r>
          </w:p>
        </w:tc>
        <w:tc>
          <w:tcPr>
            <w:tcW w:w="1239" w:type="dxa"/>
            <w:tcBorders>
              <w:top w:val="nil"/>
              <w:left w:val="nil"/>
              <w:bottom w:val="nil"/>
              <w:right w:val="nil"/>
            </w:tcBorders>
            <w:shd w:val="clear" w:color="auto" w:fill="FFFFFF" w:themeFill="background1"/>
            <w:vAlign w:val="center"/>
            <w:hideMark/>
          </w:tcPr>
          <w:p w14:paraId="3442E60C"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11,255</w:t>
            </w:r>
          </w:p>
        </w:tc>
        <w:tc>
          <w:tcPr>
            <w:tcW w:w="767" w:type="dxa"/>
            <w:tcBorders>
              <w:top w:val="nil"/>
              <w:left w:val="nil"/>
              <w:bottom w:val="nil"/>
              <w:right w:val="nil"/>
            </w:tcBorders>
            <w:shd w:val="clear" w:color="auto" w:fill="FFFFFF" w:themeFill="background1"/>
            <w:vAlign w:val="center"/>
            <w:hideMark/>
          </w:tcPr>
          <w:p w14:paraId="05803C5F"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4,359</w:t>
            </w:r>
          </w:p>
        </w:tc>
        <w:tc>
          <w:tcPr>
            <w:tcW w:w="1119" w:type="dxa"/>
            <w:tcBorders>
              <w:top w:val="nil"/>
              <w:left w:val="nil"/>
              <w:bottom w:val="nil"/>
              <w:right w:val="nil"/>
            </w:tcBorders>
            <w:shd w:val="clear" w:color="auto" w:fill="FFFFFF" w:themeFill="background1"/>
            <w:vAlign w:val="center"/>
            <w:hideMark/>
          </w:tcPr>
          <w:p w14:paraId="2398AC1B"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9,331,907</w:t>
            </w:r>
          </w:p>
        </w:tc>
      </w:tr>
      <w:tr w:rsidR="009E215C" w:rsidRPr="004C5A7A" w14:paraId="7A8AD9CA"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6BFD3EB2" w14:textId="77777777" w:rsidR="009E215C" w:rsidRPr="004C5A7A" w:rsidRDefault="009E215C">
            <w:pPr>
              <w:ind w:firstLine="174"/>
              <w:rPr>
                <w:rFonts w:ascii="Arial" w:hAnsi="Arial" w:cs="Arial"/>
                <w:b w:val="0"/>
                <w:sz w:val="14"/>
                <w:szCs w:val="14"/>
              </w:rPr>
            </w:pPr>
            <w:proofErr w:type="spellStart"/>
            <w:r w:rsidRPr="004C5A7A">
              <w:rPr>
                <w:rFonts w:ascii="Arial" w:hAnsi="Arial" w:cs="Arial"/>
                <w:b w:val="0"/>
                <w:sz w:val="14"/>
                <w:szCs w:val="14"/>
              </w:rPr>
              <w:t>Dividends</w:t>
            </w:r>
            <w:proofErr w:type="spellEnd"/>
          </w:p>
        </w:tc>
        <w:tc>
          <w:tcPr>
            <w:tcW w:w="1323" w:type="dxa"/>
            <w:tcBorders>
              <w:top w:val="nil"/>
              <w:left w:val="nil"/>
              <w:bottom w:val="nil"/>
              <w:right w:val="nil"/>
            </w:tcBorders>
            <w:shd w:val="clear" w:color="auto" w:fill="FFFFFF" w:themeFill="background1"/>
            <w:vAlign w:val="center"/>
          </w:tcPr>
          <w:p w14:paraId="6D5B248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(3,284,562)</w:t>
            </w:r>
          </w:p>
        </w:tc>
        <w:tc>
          <w:tcPr>
            <w:tcW w:w="1042" w:type="dxa"/>
            <w:tcBorders>
              <w:top w:val="nil"/>
              <w:left w:val="nil"/>
              <w:bottom w:val="nil"/>
              <w:right w:val="nil"/>
            </w:tcBorders>
            <w:shd w:val="clear" w:color="auto" w:fill="FFFFFF" w:themeFill="background1"/>
            <w:vAlign w:val="center"/>
          </w:tcPr>
          <w:p w14:paraId="5C963905"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(1,792,333)</w:t>
            </w:r>
          </w:p>
        </w:tc>
        <w:tc>
          <w:tcPr>
            <w:tcW w:w="1023" w:type="dxa"/>
            <w:tcBorders>
              <w:top w:val="nil"/>
              <w:left w:val="nil"/>
              <w:bottom w:val="nil"/>
              <w:right w:val="nil"/>
            </w:tcBorders>
            <w:shd w:val="clear" w:color="auto" w:fill="FFFFFF" w:themeFill="background1"/>
            <w:vAlign w:val="center"/>
          </w:tcPr>
          <w:p w14:paraId="0A166224"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(174,761)</w:t>
            </w:r>
          </w:p>
        </w:tc>
        <w:tc>
          <w:tcPr>
            <w:tcW w:w="1239" w:type="dxa"/>
            <w:tcBorders>
              <w:top w:val="nil"/>
              <w:left w:val="nil"/>
              <w:bottom w:val="nil"/>
              <w:right w:val="nil"/>
            </w:tcBorders>
            <w:shd w:val="clear" w:color="auto" w:fill="FFFFFF" w:themeFill="background1"/>
            <w:vAlign w:val="center"/>
          </w:tcPr>
          <w:p w14:paraId="17BFB315"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(18,975)</w:t>
            </w:r>
          </w:p>
        </w:tc>
        <w:tc>
          <w:tcPr>
            <w:tcW w:w="767" w:type="dxa"/>
            <w:tcBorders>
              <w:top w:val="nil"/>
              <w:left w:val="nil"/>
              <w:bottom w:val="nil"/>
              <w:right w:val="nil"/>
            </w:tcBorders>
            <w:shd w:val="clear" w:color="auto" w:fill="FFFFFF" w:themeFill="background1"/>
            <w:vAlign w:val="center"/>
          </w:tcPr>
          <w:p w14:paraId="3045E25B"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0409799B"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4C5A7A">
              <w:rPr>
                <w:rFonts w:cs="Arial"/>
                <w:color w:val="000000"/>
                <w:szCs w:val="14"/>
              </w:rPr>
              <w:t>(5,270,631)</w:t>
            </w:r>
          </w:p>
        </w:tc>
      </w:tr>
      <w:tr w:rsidR="009E215C" w:rsidRPr="004C5A7A" w14:paraId="683BC567"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3BD21A36" w14:textId="77777777" w:rsidR="009E215C" w:rsidRPr="004C5A7A" w:rsidRDefault="009E215C">
            <w:pPr>
              <w:ind w:left="179" w:hanging="5"/>
              <w:rPr>
                <w:rFonts w:ascii="Arial" w:hAnsi="Arial" w:cs="Arial"/>
                <w:b w:val="0"/>
                <w:sz w:val="14"/>
                <w:szCs w:val="14"/>
                <w:lang w:val="en-US"/>
              </w:rPr>
            </w:pPr>
            <w:r w:rsidRPr="004C5A7A">
              <w:rPr>
                <w:rFonts w:ascii="Arial" w:hAnsi="Arial" w:cs="Arial"/>
                <w:b w:val="0"/>
                <w:sz w:val="14"/>
                <w:szCs w:val="14"/>
                <w:lang w:val="en-US"/>
              </w:rPr>
              <w:t>Other comprehensive income - Financial Instruments</w:t>
            </w:r>
          </w:p>
        </w:tc>
        <w:tc>
          <w:tcPr>
            <w:tcW w:w="1323" w:type="dxa"/>
            <w:tcBorders>
              <w:top w:val="nil"/>
              <w:left w:val="nil"/>
              <w:bottom w:val="nil"/>
              <w:right w:val="nil"/>
            </w:tcBorders>
            <w:shd w:val="clear" w:color="auto" w:fill="FFFFFF" w:themeFill="background1"/>
            <w:vAlign w:val="center"/>
          </w:tcPr>
          <w:p w14:paraId="06445EF7"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(38,448)</w:t>
            </w:r>
          </w:p>
        </w:tc>
        <w:tc>
          <w:tcPr>
            <w:tcW w:w="1042" w:type="dxa"/>
            <w:tcBorders>
              <w:top w:val="nil"/>
              <w:left w:val="nil"/>
              <w:bottom w:val="nil"/>
              <w:right w:val="nil"/>
            </w:tcBorders>
            <w:shd w:val="clear" w:color="auto" w:fill="FFFFFF" w:themeFill="background1"/>
            <w:vAlign w:val="center"/>
          </w:tcPr>
          <w:p w14:paraId="07FBD8F0"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(253,868)</w:t>
            </w:r>
          </w:p>
        </w:tc>
        <w:tc>
          <w:tcPr>
            <w:tcW w:w="1023" w:type="dxa"/>
            <w:tcBorders>
              <w:top w:val="nil"/>
              <w:left w:val="nil"/>
              <w:bottom w:val="nil"/>
              <w:right w:val="nil"/>
            </w:tcBorders>
            <w:shd w:val="clear" w:color="auto" w:fill="FFFFFF" w:themeFill="background1"/>
            <w:vAlign w:val="center"/>
          </w:tcPr>
          <w:p w14:paraId="63BE334C"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12,350</w:t>
            </w:r>
          </w:p>
        </w:tc>
        <w:tc>
          <w:tcPr>
            <w:tcW w:w="1239" w:type="dxa"/>
            <w:tcBorders>
              <w:top w:val="nil"/>
              <w:left w:val="nil"/>
              <w:bottom w:val="nil"/>
              <w:right w:val="nil"/>
            </w:tcBorders>
            <w:shd w:val="clear" w:color="auto" w:fill="FFFFFF" w:themeFill="background1"/>
            <w:vAlign w:val="center"/>
          </w:tcPr>
          <w:p w14:paraId="12C2C8B9"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w:t>
            </w:r>
          </w:p>
        </w:tc>
        <w:tc>
          <w:tcPr>
            <w:tcW w:w="767" w:type="dxa"/>
            <w:tcBorders>
              <w:top w:val="nil"/>
              <w:left w:val="nil"/>
              <w:bottom w:val="nil"/>
              <w:right w:val="nil"/>
            </w:tcBorders>
            <w:shd w:val="clear" w:color="auto" w:fill="FFFFFF" w:themeFill="background1"/>
            <w:vAlign w:val="center"/>
          </w:tcPr>
          <w:p w14:paraId="559B1A14" w14:textId="77777777" w:rsidR="009E215C" w:rsidRPr="004C5A7A" w:rsidRDefault="009E215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C5A7A">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3A4445EF"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(279,966)</w:t>
            </w:r>
          </w:p>
        </w:tc>
      </w:tr>
      <w:tr w:rsidR="009E215C" w:rsidRPr="004C5A7A" w14:paraId="1539EC0F"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5810E99E" w14:textId="77777777" w:rsidR="009E215C" w:rsidRPr="004C5A7A" w:rsidRDefault="009E215C">
            <w:pPr>
              <w:ind w:left="179" w:hanging="5"/>
              <w:rPr>
                <w:rFonts w:ascii="Arial" w:hAnsi="Arial" w:cs="Arial"/>
                <w:b w:val="0"/>
                <w:sz w:val="14"/>
                <w:szCs w:val="14"/>
                <w:lang w:val="en-US"/>
              </w:rPr>
            </w:pPr>
            <w:r w:rsidRPr="004C5A7A">
              <w:rPr>
                <w:rFonts w:ascii="Arial" w:hAnsi="Arial" w:cs="Arial"/>
                <w:b w:val="0"/>
                <w:sz w:val="14"/>
                <w:szCs w:val="14"/>
                <w:lang w:val="en-US"/>
              </w:rPr>
              <w:t>Other comprehensive income - CPC 50</w:t>
            </w:r>
          </w:p>
        </w:tc>
        <w:tc>
          <w:tcPr>
            <w:tcW w:w="1323" w:type="dxa"/>
            <w:tcBorders>
              <w:top w:val="nil"/>
              <w:left w:val="nil"/>
              <w:bottom w:val="nil"/>
              <w:right w:val="nil"/>
            </w:tcBorders>
            <w:shd w:val="clear" w:color="auto" w:fill="FFFFFF" w:themeFill="background1"/>
            <w:vAlign w:val="center"/>
          </w:tcPr>
          <w:p w14:paraId="1BDF2D24"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(19,073)</w:t>
            </w:r>
          </w:p>
        </w:tc>
        <w:tc>
          <w:tcPr>
            <w:tcW w:w="1042" w:type="dxa"/>
            <w:tcBorders>
              <w:top w:val="nil"/>
              <w:left w:val="nil"/>
              <w:bottom w:val="nil"/>
              <w:right w:val="nil"/>
            </w:tcBorders>
            <w:shd w:val="clear" w:color="auto" w:fill="FFFFFF" w:themeFill="background1"/>
            <w:vAlign w:val="center"/>
          </w:tcPr>
          <w:p w14:paraId="5BD37047"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(247,710)</w:t>
            </w:r>
          </w:p>
        </w:tc>
        <w:tc>
          <w:tcPr>
            <w:tcW w:w="1023" w:type="dxa"/>
            <w:tcBorders>
              <w:top w:val="nil"/>
              <w:left w:val="nil"/>
              <w:bottom w:val="nil"/>
              <w:right w:val="nil"/>
            </w:tcBorders>
            <w:shd w:val="clear" w:color="auto" w:fill="FFFFFF" w:themeFill="background1"/>
            <w:vAlign w:val="center"/>
          </w:tcPr>
          <w:p w14:paraId="59874875"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35F3833A"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(281)</w:t>
            </w:r>
          </w:p>
        </w:tc>
        <w:tc>
          <w:tcPr>
            <w:tcW w:w="767" w:type="dxa"/>
            <w:tcBorders>
              <w:top w:val="nil"/>
              <w:left w:val="nil"/>
              <w:bottom w:val="nil"/>
              <w:right w:val="nil"/>
            </w:tcBorders>
            <w:shd w:val="clear" w:color="auto" w:fill="FFFFFF" w:themeFill="background1"/>
            <w:vAlign w:val="center"/>
          </w:tcPr>
          <w:p w14:paraId="59FE0FED" w14:textId="77777777" w:rsidR="009E215C" w:rsidRPr="004C5A7A" w:rsidRDefault="009E215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4C5A7A">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02B5D85C"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(267,064)</w:t>
            </w:r>
          </w:p>
        </w:tc>
      </w:tr>
      <w:tr w:rsidR="009E215C" w:rsidRPr="004C5A7A" w14:paraId="0B265C5A"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6A21BC7D" w14:textId="77777777" w:rsidR="009E215C" w:rsidRPr="004C5A7A" w:rsidRDefault="009E215C">
            <w:pPr>
              <w:ind w:firstLine="174"/>
              <w:rPr>
                <w:rFonts w:ascii="Arial" w:hAnsi="Arial" w:cs="Arial"/>
                <w:b w:val="0"/>
                <w:sz w:val="14"/>
                <w:szCs w:val="14"/>
              </w:rPr>
            </w:pPr>
            <w:r w:rsidRPr="004C5A7A">
              <w:rPr>
                <w:rFonts w:ascii="Arial" w:hAnsi="Arial" w:cs="Arial"/>
                <w:b w:val="0"/>
                <w:sz w:val="14"/>
                <w:szCs w:val="14"/>
              </w:rPr>
              <w:t xml:space="preserve">Other </w:t>
            </w:r>
            <w:proofErr w:type="spellStart"/>
            <w:r w:rsidRPr="004C5A7A">
              <w:rPr>
                <w:rFonts w:ascii="Arial" w:hAnsi="Arial" w:cs="Arial"/>
                <w:b w:val="0"/>
                <w:sz w:val="14"/>
                <w:szCs w:val="14"/>
              </w:rPr>
              <w:t>comprehensive</w:t>
            </w:r>
            <w:proofErr w:type="spellEnd"/>
            <w:r w:rsidRPr="004C5A7A">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2B48EB5E"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42" w:type="dxa"/>
            <w:tcBorders>
              <w:top w:val="nil"/>
              <w:left w:val="nil"/>
              <w:bottom w:val="nil"/>
              <w:right w:val="nil"/>
            </w:tcBorders>
            <w:shd w:val="clear" w:color="auto" w:fill="FFFFFF" w:themeFill="background1"/>
            <w:vAlign w:val="center"/>
          </w:tcPr>
          <w:p w14:paraId="277A3477"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023" w:type="dxa"/>
            <w:tcBorders>
              <w:top w:val="nil"/>
              <w:left w:val="nil"/>
              <w:bottom w:val="nil"/>
              <w:right w:val="nil"/>
            </w:tcBorders>
            <w:shd w:val="clear" w:color="auto" w:fill="FFFFFF" w:themeFill="background1"/>
            <w:vAlign w:val="center"/>
          </w:tcPr>
          <w:p w14:paraId="163B7F5E"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0391ED3A"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767" w:type="dxa"/>
            <w:tcBorders>
              <w:top w:val="nil"/>
              <w:left w:val="nil"/>
              <w:bottom w:val="nil"/>
              <w:right w:val="nil"/>
            </w:tcBorders>
            <w:shd w:val="clear" w:color="auto" w:fill="FFFFFF" w:themeFill="background1"/>
            <w:vAlign w:val="center"/>
          </w:tcPr>
          <w:p w14:paraId="104686C4"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246</w:t>
            </w:r>
          </w:p>
        </w:tc>
        <w:tc>
          <w:tcPr>
            <w:tcW w:w="1119" w:type="dxa"/>
            <w:tcBorders>
              <w:top w:val="nil"/>
              <w:left w:val="nil"/>
              <w:bottom w:val="nil"/>
              <w:right w:val="nil"/>
            </w:tcBorders>
            <w:shd w:val="clear" w:color="auto" w:fill="FFFFFF" w:themeFill="background1"/>
            <w:vAlign w:val="center"/>
          </w:tcPr>
          <w:p w14:paraId="7CACC59F"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246</w:t>
            </w:r>
          </w:p>
        </w:tc>
      </w:tr>
      <w:tr w:rsidR="009E215C" w:rsidRPr="004C5A7A" w14:paraId="55CADB0E" w14:textId="77777777" w:rsidTr="00752CF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59B19846" w14:textId="77777777" w:rsidR="009E215C" w:rsidRPr="004C5A7A" w:rsidRDefault="009E215C">
            <w:pPr>
              <w:ind w:firstLine="174"/>
              <w:rPr>
                <w:rFonts w:ascii="Arial" w:hAnsi="Arial" w:cs="Arial"/>
                <w:b w:val="0"/>
                <w:sz w:val="14"/>
                <w:szCs w:val="14"/>
              </w:rPr>
            </w:pPr>
            <w:proofErr w:type="spellStart"/>
            <w:r w:rsidRPr="004C5A7A">
              <w:rPr>
                <w:rFonts w:ascii="Arial" w:hAnsi="Arial" w:cs="Arial"/>
                <w:b w:val="0"/>
                <w:sz w:val="14"/>
                <w:szCs w:val="14"/>
              </w:rPr>
              <w:t>Equity</w:t>
            </w:r>
            <w:proofErr w:type="spellEnd"/>
            <w:r w:rsidRPr="004C5A7A">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0D2B9C62"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3,295,563</w:t>
            </w:r>
          </w:p>
        </w:tc>
        <w:tc>
          <w:tcPr>
            <w:tcW w:w="1042" w:type="dxa"/>
            <w:tcBorders>
              <w:top w:val="nil"/>
              <w:left w:val="nil"/>
              <w:bottom w:val="nil"/>
              <w:right w:val="nil"/>
            </w:tcBorders>
            <w:shd w:val="clear" w:color="auto" w:fill="FFFFFF" w:themeFill="background1"/>
            <w:vAlign w:val="center"/>
          </w:tcPr>
          <w:p w14:paraId="5D1B251B"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1,801,907</w:t>
            </w:r>
          </w:p>
        </w:tc>
        <w:tc>
          <w:tcPr>
            <w:tcW w:w="1023" w:type="dxa"/>
            <w:tcBorders>
              <w:top w:val="nil"/>
              <w:left w:val="nil"/>
              <w:bottom w:val="nil"/>
              <w:right w:val="nil"/>
            </w:tcBorders>
            <w:shd w:val="clear" w:color="auto" w:fill="FFFFFF" w:themeFill="background1"/>
            <w:vAlign w:val="center"/>
          </w:tcPr>
          <w:p w14:paraId="756B5DEA"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187,464</w:t>
            </w:r>
          </w:p>
        </w:tc>
        <w:tc>
          <w:tcPr>
            <w:tcW w:w="1239" w:type="dxa"/>
            <w:tcBorders>
              <w:top w:val="nil"/>
              <w:left w:val="nil"/>
              <w:bottom w:val="nil"/>
              <w:right w:val="nil"/>
            </w:tcBorders>
            <w:shd w:val="clear" w:color="auto" w:fill="FFFFFF" w:themeFill="background1"/>
            <w:vAlign w:val="center"/>
          </w:tcPr>
          <w:p w14:paraId="32FEC36F"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19,594</w:t>
            </w:r>
          </w:p>
        </w:tc>
        <w:tc>
          <w:tcPr>
            <w:tcW w:w="767" w:type="dxa"/>
            <w:tcBorders>
              <w:top w:val="nil"/>
              <w:left w:val="nil"/>
              <w:bottom w:val="nil"/>
              <w:right w:val="nil"/>
            </w:tcBorders>
            <w:shd w:val="clear" w:color="auto" w:fill="FFFFFF" w:themeFill="background1"/>
            <w:vAlign w:val="center"/>
          </w:tcPr>
          <w:p w14:paraId="729C42A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7,436</w:t>
            </w:r>
          </w:p>
        </w:tc>
        <w:tc>
          <w:tcPr>
            <w:tcW w:w="1119" w:type="dxa"/>
            <w:tcBorders>
              <w:top w:val="nil"/>
              <w:left w:val="nil"/>
              <w:bottom w:val="nil"/>
              <w:right w:val="nil"/>
            </w:tcBorders>
            <w:shd w:val="clear" w:color="auto" w:fill="FFFFFF" w:themeFill="background1"/>
            <w:vAlign w:val="center"/>
          </w:tcPr>
          <w:p w14:paraId="6FB6E061"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5,311,964</w:t>
            </w:r>
          </w:p>
        </w:tc>
      </w:tr>
      <w:tr w:rsidR="009E215C" w:rsidRPr="004C5A7A" w14:paraId="744B403A" w14:textId="77777777" w:rsidTr="00752CF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6" w:space="0" w:color="1F3864" w:themeColor="accent1" w:themeShade="80"/>
              <w:right w:val="nil"/>
            </w:tcBorders>
            <w:shd w:val="clear" w:color="auto" w:fill="FFFFFF" w:themeFill="background1"/>
            <w:vAlign w:val="center"/>
            <w:hideMark/>
          </w:tcPr>
          <w:p w14:paraId="62427EA0" w14:textId="77777777" w:rsidR="009E215C" w:rsidRPr="004C5A7A" w:rsidRDefault="009E215C">
            <w:pPr>
              <w:pStyle w:val="08-Tabelageral"/>
              <w:jc w:val="left"/>
              <w:rPr>
                <w:rFonts w:eastAsia="MS Mincho" w:cs="Arial"/>
                <w:b w:val="0"/>
                <w:spacing w:val="0"/>
                <w:szCs w:val="14"/>
                <w:lang w:eastAsia="en-US"/>
              </w:rPr>
            </w:pPr>
            <w:r w:rsidRPr="004C5A7A">
              <w:rPr>
                <w:rFonts w:cs="Arial"/>
                <w:szCs w:val="14"/>
                <w:lang w:val="en-US"/>
              </w:rPr>
              <w:t xml:space="preserve">Book Balance on </w:t>
            </w:r>
            <w:proofErr w:type="spellStart"/>
            <w:r w:rsidRPr="004C5A7A">
              <w:rPr>
                <w:rFonts w:cs="Arial"/>
                <w:szCs w:val="14"/>
                <w:lang w:val="en-US"/>
              </w:rPr>
              <w:t>Dect</w:t>
            </w:r>
            <w:proofErr w:type="spellEnd"/>
            <w:r w:rsidRPr="004C5A7A">
              <w:rPr>
                <w:rFonts w:cs="Arial"/>
                <w:szCs w:val="14"/>
                <w:lang w:val="en-US"/>
              </w:rPr>
              <w:t xml:space="preserve"> 31, 2024</w:t>
            </w:r>
          </w:p>
        </w:tc>
        <w:tc>
          <w:tcPr>
            <w:tcW w:w="1323" w:type="dxa"/>
            <w:tcBorders>
              <w:top w:val="nil"/>
              <w:left w:val="nil"/>
              <w:bottom w:val="single" w:sz="6" w:space="0" w:color="1F3864" w:themeColor="accent1" w:themeShade="80"/>
              <w:right w:val="nil"/>
            </w:tcBorders>
            <w:shd w:val="clear" w:color="auto" w:fill="FFFFFF" w:themeFill="background1"/>
            <w:vAlign w:val="center"/>
          </w:tcPr>
          <w:p w14:paraId="2C00B876"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2,952,111</w:t>
            </w:r>
          </w:p>
        </w:tc>
        <w:tc>
          <w:tcPr>
            <w:tcW w:w="1042" w:type="dxa"/>
            <w:tcBorders>
              <w:top w:val="nil"/>
              <w:left w:val="nil"/>
              <w:bottom w:val="single" w:sz="6" w:space="0" w:color="1F3864" w:themeColor="accent1" w:themeShade="80"/>
              <w:right w:val="nil"/>
            </w:tcBorders>
            <w:shd w:val="clear" w:color="auto" w:fill="FFFFFF" w:themeFill="background1"/>
            <w:vAlign w:val="center"/>
          </w:tcPr>
          <w:p w14:paraId="32B155C5"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5,203,322</w:t>
            </w:r>
          </w:p>
        </w:tc>
        <w:tc>
          <w:tcPr>
            <w:tcW w:w="1023" w:type="dxa"/>
            <w:tcBorders>
              <w:top w:val="nil"/>
              <w:left w:val="nil"/>
              <w:bottom w:val="single" w:sz="6" w:space="0" w:color="1F3864" w:themeColor="accent1" w:themeShade="80"/>
              <w:right w:val="nil"/>
            </w:tcBorders>
            <w:shd w:val="clear" w:color="auto" w:fill="FFFFFF" w:themeFill="background1"/>
            <w:vAlign w:val="center"/>
          </w:tcPr>
          <w:p w14:paraId="5834244E"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647,389</w:t>
            </w:r>
          </w:p>
        </w:tc>
        <w:tc>
          <w:tcPr>
            <w:tcW w:w="1239" w:type="dxa"/>
            <w:tcBorders>
              <w:top w:val="nil"/>
              <w:left w:val="nil"/>
              <w:bottom w:val="single" w:sz="6" w:space="0" w:color="1F3864" w:themeColor="accent1" w:themeShade="80"/>
              <w:right w:val="nil"/>
            </w:tcBorders>
            <w:shd w:val="clear" w:color="auto" w:fill="FFFFFF" w:themeFill="background1"/>
            <w:vAlign w:val="center"/>
          </w:tcPr>
          <w:p w14:paraId="6361B7F3"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11,593</w:t>
            </w:r>
          </w:p>
        </w:tc>
        <w:tc>
          <w:tcPr>
            <w:tcW w:w="767" w:type="dxa"/>
            <w:tcBorders>
              <w:top w:val="nil"/>
              <w:left w:val="nil"/>
              <w:bottom w:val="single" w:sz="6" w:space="0" w:color="1F3864" w:themeColor="accent1" w:themeShade="80"/>
              <w:right w:val="nil"/>
            </w:tcBorders>
            <w:shd w:val="clear" w:color="auto" w:fill="FFFFFF" w:themeFill="background1"/>
            <w:vAlign w:val="center"/>
          </w:tcPr>
          <w:p w14:paraId="36DAC988"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12,041</w:t>
            </w:r>
          </w:p>
        </w:tc>
        <w:tc>
          <w:tcPr>
            <w:tcW w:w="1119" w:type="dxa"/>
            <w:tcBorders>
              <w:top w:val="nil"/>
              <w:left w:val="nil"/>
              <w:bottom w:val="single" w:sz="6" w:space="0" w:color="1F3864" w:themeColor="accent1" w:themeShade="80"/>
              <w:right w:val="nil"/>
            </w:tcBorders>
            <w:shd w:val="clear" w:color="auto" w:fill="FFFFFF" w:themeFill="background1"/>
            <w:vAlign w:val="center"/>
          </w:tcPr>
          <w:p w14:paraId="02724199"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8,826,456</w:t>
            </w:r>
          </w:p>
        </w:tc>
      </w:tr>
    </w:tbl>
    <w:p w14:paraId="05EBF360" w14:textId="77777777" w:rsidR="009E215C" w:rsidRPr="004C5A7A" w:rsidRDefault="009E215C" w:rsidP="00A76AF4">
      <w:pPr>
        <w:pStyle w:val="05-Textonormal"/>
        <w:numPr>
          <w:ilvl w:val="0"/>
          <w:numId w:val="29"/>
        </w:numPr>
        <w:spacing w:before="0" w:after="80" w:line="240" w:lineRule="auto"/>
        <w:ind w:left="284" w:hanging="284"/>
        <w:rPr>
          <w:rStyle w:val="normaltextrun"/>
          <w:rFonts w:cs="Arial"/>
          <w:spacing w:val="0"/>
          <w:sz w:val="14"/>
          <w:szCs w:val="14"/>
          <w:lang w:val="en-US"/>
        </w:rPr>
      </w:pPr>
      <w:r w:rsidRPr="004C5A7A">
        <w:rPr>
          <w:rStyle w:val="normaltextrun"/>
          <w:rFonts w:cs="Arial"/>
          <w:spacing w:val="0"/>
          <w:sz w:val="14"/>
          <w:szCs w:val="14"/>
          <w:lang w:val="en-US"/>
        </w:rPr>
        <w:t>The book balance, on December 31, 2024, of the investment in BB MAPFRE of R$ 2,952,111 thousand, includes intangible assets defined in the net amortization amount of R$ 124.693 thousand (R$ 140,874 thousand on 12,31,2023), with the amortization amount of R$ 16,181 thousand in 2024 (R$ 15,407 thousand in 2023) and intangible assets with an indefinite useful life in the amount of R$ 339,004 thousand resulting from the partnership agreement with Grupo MAPFRE.</w:t>
      </w:r>
    </w:p>
    <w:p w14:paraId="47E46F7C" w14:textId="68E2BA47" w:rsidR="009E215C" w:rsidRPr="004C5A7A" w:rsidRDefault="009E215C" w:rsidP="00A76AF4">
      <w:pPr>
        <w:pStyle w:val="05-Textonormal"/>
        <w:numPr>
          <w:ilvl w:val="0"/>
          <w:numId w:val="29"/>
        </w:numPr>
        <w:spacing w:before="0" w:after="80" w:line="240" w:lineRule="auto"/>
        <w:ind w:left="284" w:hanging="284"/>
        <w:rPr>
          <w:rStyle w:val="normaltextrun"/>
          <w:rFonts w:cs="Arial"/>
          <w:spacing w:val="0"/>
          <w:sz w:val="14"/>
          <w:szCs w:val="14"/>
          <w:lang w:val="en-US"/>
        </w:rPr>
      </w:pPr>
      <w:r w:rsidRPr="004C5A7A">
        <w:rPr>
          <w:rStyle w:val="normaltextrun"/>
          <w:rFonts w:cs="Arial"/>
          <w:spacing w:val="0"/>
          <w:sz w:val="14"/>
          <w:szCs w:val="14"/>
          <w:lang w:val="en-US"/>
        </w:rPr>
        <w:t xml:space="preserve">The accounting balance on December 31, 2024, of the investment in </w:t>
      </w:r>
      <w:proofErr w:type="spellStart"/>
      <w:r w:rsidRPr="004C5A7A">
        <w:rPr>
          <w:rStyle w:val="normaltextrun"/>
          <w:rFonts w:cs="Arial"/>
          <w:spacing w:val="0"/>
          <w:sz w:val="14"/>
          <w:szCs w:val="14"/>
          <w:lang w:val="en-US"/>
        </w:rPr>
        <w:t>Brasilprev</w:t>
      </w:r>
      <w:proofErr w:type="spellEnd"/>
      <w:r w:rsidRPr="004C5A7A">
        <w:rPr>
          <w:rStyle w:val="normaltextrun"/>
          <w:rFonts w:cs="Arial"/>
          <w:spacing w:val="0"/>
          <w:sz w:val="14"/>
          <w:szCs w:val="14"/>
          <w:lang w:val="en-US"/>
        </w:rPr>
        <w:t>, of R$ 5,203,322 thousand, includes R$ 12,127 thousand of unrealized results from the sale of M</w:t>
      </w:r>
      <w:r w:rsidR="00F734EB">
        <w:rPr>
          <w:rStyle w:val="normaltextrun"/>
          <w:rFonts w:cs="Arial"/>
          <w:spacing w:val="0"/>
          <w:sz w:val="14"/>
          <w:szCs w:val="14"/>
          <w:lang w:val="en-US"/>
        </w:rPr>
        <w:t>APFRE</w:t>
      </w:r>
      <w:r w:rsidRPr="004C5A7A">
        <w:rPr>
          <w:rStyle w:val="normaltextrun"/>
          <w:rFonts w:cs="Arial"/>
          <w:spacing w:val="0"/>
          <w:sz w:val="14"/>
          <w:szCs w:val="14"/>
          <w:lang w:val="en-US"/>
        </w:rPr>
        <w:t xml:space="preserve"> </w:t>
      </w:r>
      <w:proofErr w:type="spellStart"/>
      <w:r w:rsidRPr="004C5A7A">
        <w:rPr>
          <w:rStyle w:val="normaltextrun"/>
          <w:rFonts w:cs="Arial"/>
          <w:spacing w:val="0"/>
          <w:sz w:val="14"/>
          <w:szCs w:val="14"/>
          <w:lang w:val="en-US"/>
        </w:rPr>
        <w:t>Nossa</w:t>
      </w:r>
      <w:proofErr w:type="spellEnd"/>
      <w:r w:rsidRPr="004C5A7A">
        <w:rPr>
          <w:rStyle w:val="normaltextrun"/>
          <w:rFonts w:cs="Arial"/>
          <w:spacing w:val="0"/>
          <w:sz w:val="14"/>
          <w:szCs w:val="14"/>
          <w:lang w:val="en-US"/>
        </w:rPr>
        <w:t xml:space="preserve"> Caixa Vida e </w:t>
      </w:r>
      <w:proofErr w:type="spellStart"/>
      <w:r w:rsidRPr="004C5A7A">
        <w:rPr>
          <w:rStyle w:val="normaltextrun"/>
          <w:rFonts w:cs="Arial"/>
          <w:spacing w:val="0"/>
          <w:sz w:val="14"/>
          <w:szCs w:val="14"/>
          <w:lang w:val="en-US"/>
        </w:rPr>
        <w:t>Previdência</w:t>
      </w:r>
      <w:proofErr w:type="spellEnd"/>
      <w:r w:rsidRPr="004C5A7A">
        <w:rPr>
          <w:rStyle w:val="normaltextrun"/>
          <w:rFonts w:cs="Arial"/>
          <w:spacing w:val="0"/>
          <w:sz w:val="14"/>
          <w:szCs w:val="14"/>
          <w:lang w:val="en-US"/>
        </w:rPr>
        <w:t xml:space="preserve"> (MNCVP).</w:t>
      </w:r>
    </w:p>
    <w:p w14:paraId="2195B813" w14:textId="77777777" w:rsidR="009E215C" w:rsidRPr="004C5A7A" w:rsidRDefault="009E215C" w:rsidP="00A76AF4">
      <w:pPr>
        <w:pStyle w:val="05-Textonormal"/>
        <w:numPr>
          <w:ilvl w:val="0"/>
          <w:numId w:val="29"/>
        </w:numPr>
        <w:spacing w:before="0" w:after="80" w:line="240" w:lineRule="auto"/>
        <w:ind w:left="284" w:hanging="284"/>
        <w:rPr>
          <w:rStyle w:val="normaltextrun"/>
          <w:rFonts w:cs="Arial"/>
          <w:spacing w:val="0"/>
          <w:sz w:val="14"/>
          <w:szCs w:val="14"/>
          <w:lang w:val="en-US"/>
        </w:rPr>
      </w:pPr>
      <w:r w:rsidRPr="004C5A7A">
        <w:rPr>
          <w:rStyle w:val="normaltextrun"/>
          <w:rFonts w:cs="Arial"/>
          <w:spacing w:val="0"/>
          <w:sz w:val="14"/>
          <w:szCs w:val="14"/>
          <w:lang w:val="en-US"/>
        </w:rPr>
        <w:t xml:space="preserve">The book balance on December 31, 2024, of the investment in </w:t>
      </w:r>
      <w:proofErr w:type="spellStart"/>
      <w:r w:rsidRPr="004C5A7A">
        <w:rPr>
          <w:rStyle w:val="normaltextrun"/>
          <w:rFonts w:cs="Arial"/>
          <w:spacing w:val="0"/>
          <w:sz w:val="14"/>
          <w:szCs w:val="14"/>
          <w:lang w:val="en-US"/>
        </w:rPr>
        <w:t>Brasilcap</w:t>
      </w:r>
      <w:proofErr w:type="spellEnd"/>
      <w:r w:rsidRPr="004C5A7A">
        <w:rPr>
          <w:rStyle w:val="normaltextrun"/>
          <w:rFonts w:cs="Arial"/>
          <w:spacing w:val="0"/>
          <w:sz w:val="14"/>
          <w:szCs w:val="14"/>
          <w:lang w:val="en-US"/>
        </w:rPr>
        <w:t xml:space="preserve"> of R$ 647,389 thousand, includes the goodwill of R$ 110,749 thousand, in the acquisition of equity interest in the company </w:t>
      </w:r>
      <w:proofErr w:type="spellStart"/>
      <w:r w:rsidRPr="004C5A7A">
        <w:rPr>
          <w:rStyle w:val="normaltextrun"/>
          <w:rFonts w:cs="Arial"/>
          <w:spacing w:val="0"/>
          <w:sz w:val="14"/>
          <w:szCs w:val="14"/>
          <w:lang w:val="en-US"/>
        </w:rPr>
        <w:t>Sulacap</w:t>
      </w:r>
      <w:proofErr w:type="spellEnd"/>
      <w:r w:rsidRPr="004C5A7A">
        <w:rPr>
          <w:rStyle w:val="normaltextrun"/>
          <w:rFonts w:cs="Arial"/>
          <w:spacing w:val="0"/>
          <w:sz w:val="14"/>
          <w:szCs w:val="14"/>
          <w:lang w:val="en-US"/>
        </w:rPr>
        <w:t xml:space="preserve"> by BB </w:t>
      </w:r>
      <w:proofErr w:type="spellStart"/>
      <w:r w:rsidRPr="004C5A7A">
        <w:rPr>
          <w:rStyle w:val="normaltextrun"/>
          <w:rFonts w:cs="Arial"/>
          <w:spacing w:val="0"/>
          <w:sz w:val="14"/>
          <w:szCs w:val="14"/>
          <w:lang w:val="en-US"/>
        </w:rPr>
        <w:t>Seguros</w:t>
      </w:r>
      <w:proofErr w:type="spellEnd"/>
      <w:r w:rsidRPr="004C5A7A">
        <w:rPr>
          <w:rStyle w:val="normaltextrun"/>
          <w:rFonts w:cs="Arial"/>
          <w:spacing w:val="0"/>
          <w:sz w:val="14"/>
          <w:szCs w:val="14"/>
          <w:lang w:val="en-US"/>
        </w:rPr>
        <w:t>, which occurred on 07,22,2011.</w:t>
      </w:r>
    </w:p>
    <w:p w14:paraId="6DE32F6D" w14:textId="4A87A552" w:rsidR="009E215C" w:rsidRPr="00A570DC" w:rsidRDefault="009E215C" w:rsidP="00621C5F">
      <w:pPr>
        <w:pStyle w:val="05-Textonormal"/>
        <w:numPr>
          <w:ilvl w:val="0"/>
          <w:numId w:val="29"/>
        </w:numPr>
        <w:spacing w:before="0" w:after="80" w:line="240" w:lineRule="auto"/>
        <w:ind w:left="284" w:hanging="284"/>
        <w:rPr>
          <w:rStyle w:val="normaltextrun"/>
          <w:rFonts w:cs="Arial"/>
          <w:spacing w:val="0"/>
          <w:sz w:val="14"/>
          <w:szCs w:val="14"/>
          <w:lang w:val="en-US"/>
        </w:rPr>
      </w:pPr>
      <w:r w:rsidRPr="00A570DC">
        <w:rPr>
          <w:rStyle w:val="normaltextrun"/>
          <w:rFonts w:cs="Arial"/>
          <w:sz w:val="14"/>
          <w:szCs w:val="14"/>
          <w:lang w:val="en-US"/>
        </w:rPr>
        <w:t xml:space="preserve">At </w:t>
      </w:r>
      <w:proofErr w:type="spellStart"/>
      <w:r w:rsidRPr="00A570DC">
        <w:rPr>
          <w:rStyle w:val="normaltextrun"/>
          <w:rFonts w:cs="Arial"/>
          <w:sz w:val="14"/>
          <w:szCs w:val="14"/>
          <w:lang w:val="en-US"/>
        </w:rPr>
        <w:t>Brasildental</w:t>
      </w:r>
      <w:proofErr w:type="spellEnd"/>
      <w:r w:rsidRPr="00A570DC">
        <w:rPr>
          <w:rStyle w:val="normaltextrun"/>
          <w:rFonts w:cs="Arial"/>
          <w:sz w:val="14"/>
          <w:szCs w:val="14"/>
          <w:lang w:val="en-US"/>
        </w:rPr>
        <w:t xml:space="preserve">, despite the one-month delay in the accounting recognition of equity, the dividends received in December </w:t>
      </w:r>
      <w:r w:rsidR="00621C5F" w:rsidRPr="00A570DC">
        <w:rPr>
          <w:rStyle w:val="normaltextrun"/>
          <w:rFonts w:cs="Arial"/>
          <w:sz w:val="14"/>
          <w:szCs w:val="14"/>
          <w:lang w:val="en-US"/>
        </w:rPr>
        <w:t xml:space="preserve">2024 and December 2023 </w:t>
      </w:r>
      <w:r w:rsidRPr="00A570DC">
        <w:rPr>
          <w:rStyle w:val="normaltextrun"/>
          <w:rFonts w:cs="Arial"/>
          <w:sz w:val="14"/>
          <w:szCs w:val="14"/>
          <w:lang w:val="en-US"/>
        </w:rPr>
        <w:t xml:space="preserve">are reflected in the investment balances, </w:t>
      </w:r>
      <w:r w:rsidR="00621C5F" w:rsidRPr="00A570DC">
        <w:rPr>
          <w:rStyle w:val="normaltextrun"/>
          <w:rFonts w:cs="Arial"/>
          <w:sz w:val="14"/>
          <w:szCs w:val="14"/>
          <w:lang w:val="en-US"/>
        </w:rPr>
        <w:t>being R$</w:t>
      </w:r>
      <w:r w:rsidR="00153A96" w:rsidRPr="00A570DC">
        <w:rPr>
          <w:rStyle w:val="normaltextrun"/>
          <w:rFonts w:cs="Arial"/>
          <w:sz w:val="14"/>
          <w:szCs w:val="14"/>
          <w:lang w:val="en-US"/>
        </w:rPr>
        <w:t xml:space="preserve"> </w:t>
      </w:r>
      <w:r w:rsidR="00621C5F" w:rsidRPr="00A570DC">
        <w:rPr>
          <w:rStyle w:val="normaltextrun"/>
          <w:rFonts w:cs="Arial"/>
          <w:sz w:val="14"/>
          <w:szCs w:val="14"/>
          <w:lang w:val="en-US"/>
        </w:rPr>
        <w:t xml:space="preserve">1,350 thousand on </w:t>
      </w:r>
      <w:r w:rsidR="00153A96" w:rsidRPr="00A570DC">
        <w:rPr>
          <w:rStyle w:val="normaltextrun"/>
          <w:rFonts w:cs="Arial"/>
          <w:sz w:val="14"/>
          <w:szCs w:val="14"/>
          <w:lang w:val="en-US"/>
        </w:rPr>
        <w:t>Dec</w:t>
      </w:r>
      <w:r w:rsidR="00A570DC" w:rsidRPr="00A570DC">
        <w:rPr>
          <w:rStyle w:val="normaltextrun"/>
          <w:rFonts w:cs="Arial"/>
          <w:sz w:val="14"/>
          <w:szCs w:val="14"/>
          <w:lang w:val="en-US"/>
        </w:rPr>
        <w:t>ember</w:t>
      </w:r>
      <w:r w:rsidR="00BB7587" w:rsidRPr="00A570DC">
        <w:rPr>
          <w:rStyle w:val="normaltextrun"/>
          <w:rFonts w:cs="Arial"/>
          <w:sz w:val="14"/>
          <w:szCs w:val="14"/>
          <w:lang w:val="en-US"/>
        </w:rPr>
        <w:t xml:space="preserve"> </w:t>
      </w:r>
      <w:r w:rsidR="00621C5F" w:rsidRPr="00A570DC">
        <w:rPr>
          <w:rStyle w:val="normaltextrun"/>
          <w:rFonts w:cs="Arial"/>
          <w:sz w:val="14"/>
          <w:szCs w:val="14"/>
          <w:lang w:val="en-US"/>
        </w:rPr>
        <w:t>31</w:t>
      </w:r>
      <w:r w:rsidR="00BF0523" w:rsidRPr="00A570DC">
        <w:rPr>
          <w:rStyle w:val="normaltextrun"/>
          <w:rFonts w:cs="Arial"/>
          <w:sz w:val="14"/>
          <w:szCs w:val="14"/>
          <w:lang w:val="en-US"/>
        </w:rPr>
        <w:t xml:space="preserve">, </w:t>
      </w:r>
      <w:proofErr w:type="gramStart"/>
      <w:r w:rsidR="00621C5F" w:rsidRPr="00A570DC">
        <w:rPr>
          <w:rStyle w:val="normaltextrun"/>
          <w:rFonts w:cs="Arial"/>
          <w:sz w:val="14"/>
          <w:szCs w:val="14"/>
          <w:lang w:val="en-US"/>
        </w:rPr>
        <w:t>2024</w:t>
      </w:r>
      <w:proofErr w:type="gramEnd"/>
      <w:r w:rsidR="00621C5F" w:rsidRPr="00A570DC">
        <w:rPr>
          <w:rStyle w:val="normaltextrun"/>
          <w:rFonts w:cs="Arial"/>
          <w:sz w:val="14"/>
          <w:szCs w:val="14"/>
          <w:lang w:val="en-US"/>
        </w:rPr>
        <w:t xml:space="preserve"> and R$</w:t>
      </w:r>
      <w:r w:rsidRPr="00A570DC">
        <w:rPr>
          <w:rStyle w:val="normaltextrun"/>
          <w:rFonts w:cs="Arial"/>
          <w:sz w:val="14"/>
          <w:szCs w:val="14"/>
          <w:lang w:val="en-US"/>
        </w:rPr>
        <w:t xml:space="preserve"> 3,750 thousand on </w:t>
      </w:r>
      <w:r w:rsidR="006F618E" w:rsidRPr="00A570DC">
        <w:rPr>
          <w:rStyle w:val="normaltextrun"/>
          <w:rFonts w:cs="Arial"/>
          <w:sz w:val="14"/>
          <w:szCs w:val="14"/>
          <w:lang w:val="en-US"/>
        </w:rPr>
        <w:t>Dec</w:t>
      </w:r>
      <w:r w:rsidR="00A570DC" w:rsidRPr="00A570DC">
        <w:rPr>
          <w:rStyle w:val="normaltextrun"/>
          <w:rFonts w:cs="Arial"/>
          <w:sz w:val="14"/>
          <w:szCs w:val="14"/>
          <w:lang w:val="en-US"/>
        </w:rPr>
        <w:t>ember</w:t>
      </w:r>
      <w:r w:rsidR="006F618E" w:rsidRPr="00A570DC">
        <w:rPr>
          <w:rStyle w:val="normaltextrun"/>
          <w:rFonts w:cs="Arial"/>
          <w:sz w:val="14"/>
          <w:szCs w:val="14"/>
          <w:lang w:val="en-US"/>
        </w:rPr>
        <w:t xml:space="preserve"> </w:t>
      </w:r>
      <w:r w:rsidRPr="00A570DC">
        <w:rPr>
          <w:rStyle w:val="normaltextrun"/>
          <w:rFonts w:cs="Arial"/>
          <w:sz w:val="14"/>
          <w:szCs w:val="14"/>
          <w:lang w:val="en-US"/>
        </w:rPr>
        <w:t>31,</w:t>
      </w:r>
      <w:r w:rsidR="002A02C8" w:rsidRPr="00A570DC">
        <w:rPr>
          <w:rStyle w:val="normaltextrun"/>
          <w:rFonts w:cs="Arial"/>
          <w:sz w:val="14"/>
          <w:szCs w:val="14"/>
          <w:lang w:val="en-US"/>
        </w:rPr>
        <w:t xml:space="preserve"> </w:t>
      </w:r>
      <w:r w:rsidR="00621C5F" w:rsidRPr="00A570DC">
        <w:rPr>
          <w:rStyle w:val="normaltextrun"/>
          <w:rFonts w:cs="Arial"/>
          <w:sz w:val="14"/>
          <w:szCs w:val="14"/>
          <w:lang w:val="en-US"/>
        </w:rPr>
        <w:t>2023.</w:t>
      </w:r>
    </w:p>
    <w:p w14:paraId="495B80AF" w14:textId="77777777" w:rsidR="0089563B" w:rsidRPr="00621C5F" w:rsidRDefault="0089563B" w:rsidP="0089563B">
      <w:pPr>
        <w:pStyle w:val="05-Textonormal"/>
        <w:spacing w:before="0" w:after="80" w:line="240" w:lineRule="auto"/>
        <w:rPr>
          <w:rStyle w:val="normaltextrun"/>
          <w:spacing w:val="0"/>
          <w:lang w:val="en-US"/>
        </w:rPr>
      </w:pPr>
    </w:p>
    <w:p w14:paraId="3F9F5279" w14:textId="77777777" w:rsidR="009E215C" w:rsidRPr="004C5A7A" w:rsidRDefault="009E215C" w:rsidP="009E215C">
      <w:pPr>
        <w:pStyle w:val="05-Textonormal"/>
        <w:spacing w:before="0" w:after="80" w:line="240" w:lineRule="auto"/>
        <w:rPr>
          <w:rFonts w:cs="Arial"/>
          <w:lang w:val="en-US"/>
        </w:rPr>
      </w:pPr>
      <w:r w:rsidRPr="004C5A7A">
        <w:rPr>
          <w:rFonts w:cs="Arial"/>
          <w:lang w:val="en-US"/>
        </w:rPr>
        <w:t xml:space="preserve">Due to operational issues, from January 2023 the accounting recognition of the investment in </w:t>
      </w:r>
      <w:proofErr w:type="spellStart"/>
      <w:r w:rsidRPr="004C5A7A">
        <w:rPr>
          <w:rFonts w:cs="Arial"/>
          <w:lang w:val="en-US"/>
        </w:rPr>
        <w:t>Brasildental</w:t>
      </w:r>
      <w:proofErr w:type="spellEnd"/>
      <w:r w:rsidRPr="004C5A7A">
        <w:rPr>
          <w:rFonts w:cs="Arial"/>
          <w:lang w:val="en-US"/>
        </w:rPr>
        <w:t>, through equity equivalence, is being carried out with a delay of one month, as provided for in CPC 18 [IAS 28], According to the aforementioned standard, the recognition of investment using the equity method must be carried out based on the balance sheet or verification balance drawn up on the same date or up to two months out of date.</w:t>
      </w:r>
    </w:p>
    <w:p w14:paraId="5E2BB8C2" w14:textId="77777777" w:rsidR="009E215C" w:rsidRPr="004C5A7A" w:rsidRDefault="009E215C" w:rsidP="009E215C">
      <w:pPr>
        <w:pStyle w:val="05-Textonormal"/>
        <w:spacing w:before="0" w:after="80" w:line="240" w:lineRule="auto"/>
        <w:rPr>
          <w:rFonts w:cs="Arial"/>
          <w:lang w:val="en-US"/>
        </w:rPr>
      </w:pPr>
      <w:r w:rsidRPr="004C5A7A">
        <w:rPr>
          <w:rFonts w:cs="Arial"/>
          <w:lang w:val="en-US"/>
        </w:rPr>
        <w:t xml:space="preserve">BB MAPFRE adopts BRGAAP in its accounting information, Therefore, it makes the necessary adjustments to standardize the practices adopted by its subsidiaries, </w:t>
      </w:r>
      <w:proofErr w:type="spellStart"/>
      <w:r w:rsidRPr="004C5A7A">
        <w:rPr>
          <w:rFonts w:cs="Arial"/>
          <w:lang w:val="en-US"/>
        </w:rPr>
        <w:t>Brasilseg</w:t>
      </w:r>
      <w:proofErr w:type="spellEnd"/>
      <w:r w:rsidRPr="004C5A7A">
        <w:rPr>
          <w:rFonts w:cs="Arial"/>
          <w:lang w:val="en-US"/>
        </w:rPr>
        <w:t xml:space="preserve"> and </w:t>
      </w:r>
      <w:proofErr w:type="spellStart"/>
      <w:r w:rsidRPr="004C5A7A">
        <w:rPr>
          <w:rFonts w:cs="Arial"/>
          <w:lang w:val="en-US"/>
        </w:rPr>
        <w:t>Aliança</w:t>
      </w:r>
      <w:proofErr w:type="spellEnd"/>
      <w:r w:rsidRPr="004C5A7A">
        <w:rPr>
          <w:rFonts w:cs="Arial"/>
          <w:lang w:val="en-US"/>
        </w:rPr>
        <w:t xml:space="preserve"> do </w:t>
      </w:r>
      <w:proofErr w:type="spellStart"/>
      <w:r w:rsidRPr="004C5A7A">
        <w:rPr>
          <w:rFonts w:cs="Arial"/>
          <w:lang w:val="en-US"/>
        </w:rPr>
        <w:t>Brasil</w:t>
      </w:r>
      <w:proofErr w:type="spellEnd"/>
      <w:r w:rsidRPr="004C5A7A">
        <w:rPr>
          <w:rFonts w:cs="Arial"/>
          <w:lang w:val="en-US"/>
        </w:rPr>
        <w:t>, which adopt the accounting standards defined by SUSEP (SUSEPGAAP).</w:t>
      </w:r>
    </w:p>
    <w:p w14:paraId="4E5BCB49" w14:textId="77777777" w:rsidR="009E215C" w:rsidRPr="004C5A7A" w:rsidRDefault="009E215C" w:rsidP="009E215C">
      <w:pPr>
        <w:pStyle w:val="05-Textonormal"/>
        <w:spacing w:line="240" w:lineRule="auto"/>
        <w:rPr>
          <w:rFonts w:cs="Arial"/>
          <w:lang w:val="en-US"/>
        </w:rPr>
      </w:pPr>
      <w:r w:rsidRPr="004C5A7A">
        <w:rPr>
          <w:rFonts w:cs="Arial"/>
          <w:lang w:val="en-US"/>
        </w:rPr>
        <w:t>R$ 6,043,027 thousand in dividends were received from investments in equity interests valued using the equity method in 2024 (R$ 8,174,409 thousand in 2023) by the Controller and R$ 5,173,629 thousand of dividends in the 2024 (R$ 3,650,067 thousand in 2023) by Consolidated.</w:t>
      </w:r>
    </w:p>
    <w:p w14:paraId="32927D12" w14:textId="77777777" w:rsidR="009E215C" w:rsidRPr="004C5A7A" w:rsidRDefault="009E215C" w:rsidP="009E215C">
      <w:pPr>
        <w:pStyle w:val="04-TtuloNegrito"/>
        <w:keepNext/>
        <w:keepLines/>
        <w:pageBreakBefore/>
        <w:rPr>
          <w:rFonts w:cs="Arial"/>
          <w:color w:val="1F3864" w:themeColor="accent1" w:themeShade="80"/>
          <w:sz w:val="18"/>
          <w:szCs w:val="18"/>
          <w:lang w:val="en-US"/>
        </w:rPr>
      </w:pPr>
      <w:bookmarkStart w:id="44" w:name="_Hlk86925654"/>
      <w:r w:rsidRPr="004C5A7A">
        <w:rPr>
          <w:rFonts w:cs="Arial"/>
          <w:color w:val="1F3864" w:themeColor="accent1" w:themeShade="80"/>
          <w:sz w:val="18"/>
          <w:szCs w:val="18"/>
          <w:lang w:val="en-US"/>
        </w:rPr>
        <w:lastRenderedPageBreak/>
        <w:t>c) Summary financial information on Investments in Equity Holdings</w:t>
      </w:r>
    </w:p>
    <w:p w14:paraId="38D4F54E" w14:textId="77777777" w:rsidR="009E215C" w:rsidRPr="004C5A7A" w:rsidRDefault="009E215C" w:rsidP="009E215C">
      <w:pPr>
        <w:pStyle w:val="01-TtulodeNota"/>
        <w:spacing w:before="0" w:after="0"/>
        <w:rPr>
          <w:rFonts w:cs="Arial"/>
          <w:b w:val="0"/>
          <w:sz w:val="18"/>
          <w:lang w:val="en-US" w:eastAsia="zh-CN"/>
        </w:rPr>
      </w:pPr>
      <w:r w:rsidRPr="004C5A7A">
        <w:rPr>
          <w:rFonts w:cs="Arial"/>
          <w:b w:val="0"/>
          <w:sz w:val="18"/>
          <w:lang w:val="en-US" w:eastAsia="zh-CN"/>
        </w:rPr>
        <w:t>The amounts presented below refer to the financial statements of the investees with accounting practices in the international standard (IFRS).</w:t>
      </w:r>
    </w:p>
    <w:p w14:paraId="5CD37C0A" w14:textId="77777777" w:rsidR="009E215C" w:rsidRPr="004C5A7A" w:rsidRDefault="009E215C" w:rsidP="009E215C">
      <w:pPr>
        <w:spacing w:before="120" w:after="120" w:line="240" w:lineRule="auto"/>
        <w:rPr>
          <w:rFonts w:ascii="Arial" w:eastAsia="Times New Roman" w:hAnsi="Arial" w:cs="Arial"/>
          <w:b/>
          <w:color w:val="1F3864" w:themeColor="accent1" w:themeShade="80"/>
          <w:spacing w:val="-2"/>
          <w:sz w:val="18"/>
          <w:szCs w:val="20"/>
          <w:lang w:eastAsia="pt-BR"/>
        </w:rPr>
      </w:pPr>
      <w:bookmarkStart w:id="45" w:name="_Hlk117187389"/>
      <w:bookmarkStart w:id="46" w:name="_Hlk86328757"/>
      <w:r w:rsidRPr="004C5A7A">
        <w:rPr>
          <w:rFonts w:ascii="Arial" w:eastAsia="Times New Roman" w:hAnsi="Arial" w:cs="Arial"/>
          <w:b/>
          <w:color w:val="1F3864" w:themeColor="accent1" w:themeShade="80"/>
          <w:spacing w:val="-2"/>
          <w:sz w:val="18"/>
          <w:szCs w:val="20"/>
          <w:lang w:eastAsia="pt-BR"/>
        </w:rPr>
        <w:t xml:space="preserve">c.1) BB MAPFRE Participações, </w:t>
      </w:r>
      <w:proofErr w:type="spellStart"/>
      <w:r w:rsidRPr="004C5A7A">
        <w:rPr>
          <w:rFonts w:ascii="Arial" w:eastAsia="Times New Roman" w:hAnsi="Arial" w:cs="Arial"/>
          <w:b/>
          <w:color w:val="1F3864" w:themeColor="accent1" w:themeShade="80"/>
          <w:spacing w:val="-2"/>
          <w:sz w:val="18"/>
          <w:szCs w:val="20"/>
          <w:lang w:eastAsia="pt-BR"/>
        </w:rPr>
        <w:t>Brasilseg</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and</w:t>
      </w:r>
      <w:proofErr w:type="spellEnd"/>
      <w:r w:rsidRPr="004C5A7A">
        <w:rPr>
          <w:rFonts w:ascii="Arial" w:eastAsia="Times New Roman" w:hAnsi="Arial" w:cs="Arial"/>
          <w:b/>
          <w:color w:val="1F3864" w:themeColor="accent1" w:themeShade="80"/>
          <w:spacing w:val="-2"/>
          <w:sz w:val="18"/>
          <w:szCs w:val="20"/>
          <w:lang w:eastAsia="pt-BR"/>
        </w:rPr>
        <w:t xml:space="preserve"> Aliança do Brasil Seguros </w:t>
      </w:r>
    </w:p>
    <w:p w14:paraId="384A6925" w14:textId="77777777" w:rsidR="009E215C" w:rsidRPr="004C5A7A" w:rsidRDefault="009E215C" w:rsidP="009E215C">
      <w:pPr>
        <w:keepNext/>
        <w:keepLines/>
        <w:spacing w:before="120" w:after="12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t>c.1.1) BB MAPFRE Participações S.A. (BB MAPFRE)</w:t>
      </w:r>
    </w:p>
    <w:p w14:paraId="19B07E4B"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t xml:space="preserve">Income </w:t>
      </w:r>
      <w:proofErr w:type="spellStart"/>
      <w:r w:rsidRPr="004C5A7A">
        <w:rPr>
          <w:rFonts w:ascii="Arial" w:eastAsia="Times New Roman" w:hAnsi="Arial" w:cs="Arial"/>
          <w:b/>
          <w:color w:val="1F3864" w:themeColor="accent1" w:themeShade="80"/>
          <w:spacing w:val="-2"/>
          <w:sz w:val="18"/>
          <w:szCs w:val="20"/>
          <w:lang w:eastAsia="pt-BR"/>
        </w:rPr>
        <w:t>Statement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22E9D286"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E215C" w:rsidRPr="004C5A7A" w14:paraId="324BA99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3E18E5" w14:textId="77777777" w:rsidR="009E215C" w:rsidRPr="004C5A7A" w:rsidRDefault="009E215C">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4E0E91"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919071"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5F08A1"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4C5A7A">
              <w:rPr>
                <w:rFonts w:cs="Arial"/>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DAF090"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4C5A7A">
              <w:rPr>
                <w:rFonts w:cs="Arial"/>
                <w:szCs w:val="14"/>
              </w:rPr>
              <w:t>2023</w:t>
            </w:r>
          </w:p>
        </w:tc>
      </w:tr>
      <w:tr w:rsidR="009E215C" w:rsidRPr="004C5A7A" w14:paraId="535F01A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1BB6DC0E" w14:textId="77777777" w:rsidR="009E215C" w:rsidRPr="004C5A7A" w:rsidRDefault="009E215C">
            <w:pPr>
              <w:keepNext/>
              <w:keepLines/>
              <w:rPr>
                <w:rFonts w:ascii="Arial" w:eastAsia="Times New Roman" w:hAnsi="Arial" w:cs="Arial"/>
                <w:spacing w:val="-2"/>
                <w:sz w:val="14"/>
                <w:szCs w:val="14"/>
              </w:rPr>
            </w:pPr>
            <w:proofErr w:type="spellStart"/>
            <w:r w:rsidRPr="004C5A7A">
              <w:rPr>
                <w:rFonts w:ascii="Arial" w:hAnsi="Arial" w:cs="Arial"/>
                <w:sz w:val="14"/>
                <w:szCs w:val="14"/>
              </w:rPr>
              <w:t>Equity</w:t>
            </w:r>
            <w:proofErr w:type="spellEnd"/>
            <w:r w:rsidRPr="004C5A7A">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shd w:val="clear" w:color="auto" w:fill="auto"/>
            <w:vAlign w:val="center"/>
          </w:tcPr>
          <w:p w14:paraId="5124CDC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0BF6B96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332D4F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4,411,764</w:t>
            </w:r>
          </w:p>
        </w:tc>
        <w:tc>
          <w:tcPr>
            <w:tcW w:w="1709" w:type="dxa"/>
            <w:tcBorders>
              <w:top w:val="single" w:sz="2" w:space="0" w:color="1F3864" w:themeColor="accent1" w:themeShade="80"/>
              <w:left w:val="nil"/>
              <w:bottom w:val="nil"/>
              <w:right w:val="nil"/>
            </w:tcBorders>
            <w:shd w:val="clear" w:color="auto" w:fill="auto"/>
            <w:vAlign w:val="center"/>
          </w:tcPr>
          <w:p w14:paraId="2021FFC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3,887,620</w:t>
            </w:r>
          </w:p>
        </w:tc>
      </w:tr>
      <w:tr w:rsidR="009E215C" w:rsidRPr="004C5A7A" w14:paraId="5B2712B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ED088D6" w14:textId="77777777" w:rsidR="009E215C" w:rsidRPr="004C5A7A" w:rsidRDefault="009E215C">
            <w:pPr>
              <w:keepNext/>
              <w:keepLines/>
              <w:spacing w:before="40" w:after="40"/>
              <w:rPr>
                <w:rFonts w:ascii="Arial" w:hAnsi="Arial" w:cs="Arial"/>
                <w:sz w:val="14"/>
                <w:szCs w:val="14"/>
              </w:rPr>
            </w:pPr>
            <w:r w:rsidRPr="004C5A7A">
              <w:rPr>
                <w:rFonts w:ascii="Arial" w:hAnsi="Arial" w:cs="Arial"/>
                <w:sz w:val="14"/>
                <w:szCs w:val="14"/>
              </w:rPr>
              <w:t xml:space="preserve">Financial </w:t>
            </w:r>
            <w:proofErr w:type="spellStart"/>
            <w:r w:rsidRPr="004C5A7A">
              <w:rPr>
                <w:rFonts w:ascii="Arial" w:hAnsi="Arial" w:cs="Arial"/>
                <w:sz w:val="14"/>
                <w:szCs w:val="14"/>
              </w:rPr>
              <w:t>result</w:t>
            </w:r>
            <w:proofErr w:type="spellEnd"/>
          </w:p>
        </w:tc>
        <w:tc>
          <w:tcPr>
            <w:tcW w:w="1709" w:type="dxa"/>
            <w:tcBorders>
              <w:top w:val="nil"/>
              <w:left w:val="nil"/>
              <w:bottom w:val="nil"/>
              <w:right w:val="nil"/>
            </w:tcBorders>
            <w:shd w:val="clear" w:color="auto" w:fill="auto"/>
            <w:vAlign w:val="center"/>
          </w:tcPr>
          <w:p w14:paraId="211E7A0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293BEA7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7A9E5FC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8,293</w:t>
            </w:r>
          </w:p>
        </w:tc>
        <w:tc>
          <w:tcPr>
            <w:tcW w:w="1709" w:type="dxa"/>
            <w:tcBorders>
              <w:top w:val="nil"/>
              <w:left w:val="nil"/>
              <w:bottom w:val="nil"/>
              <w:right w:val="nil"/>
            </w:tcBorders>
            <w:shd w:val="clear" w:color="auto" w:fill="auto"/>
            <w:vAlign w:val="center"/>
          </w:tcPr>
          <w:p w14:paraId="28CCFD8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 xml:space="preserve">1,304 </w:t>
            </w:r>
          </w:p>
        </w:tc>
      </w:tr>
      <w:tr w:rsidR="009E215C" w:rsidRPr="004C5A7A" w14:paraId="67DC35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505B4D3"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Financial income</w:t>
            </w:r>
          </w:p>
        </w:tc>
        <w:tc>
          <w:tcPr>
            <w:tcW w:w="1709" w:type="dxa"/>
            <w:tcBorders>
              <w:top w:val="nil"/>
              <w:left w:val="nil"/>
              <w:bottom w:val="nil"/>
              <w:right w:val="nil"/>
            </w:tcBorders>
            <w:shd w:val="clear" w:color="auto" w:fill="auto"/>
            <w:vAlign w:val="center"/>
          </w:tcPr>
          <w:p w14:paraId="46F6BAE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26DD96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B3962C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8,293</w:t>
            </w:r>
          </w:p>
        </w:tc>
        <w:tc>
          <w:tcPr>
            <w:tcW w:w="1709" w:type="dxa"/>
            <w:tcBorders>
              <w:top w:val="nil"/>
              <w:left w:val="nil"/>
              <w:bottom w:val="nil"/>
              <w:right w:val="nil"/>
            </w:tcBorders>
            <w:shd w:val="clear" w:color="auto" w:fill="auto"/>
            <w:vAlign w:val="center"/>
          </w:tcPr>
          <w:p w14:paraId="738F9F3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1,304 </w:t>
            </w:r>
          </w:p>
        </w:tc>
      </w:tr>
      <w:tr w:rsidR="009E215C" w:rsidRPr="004C5A7A" w14:paraId="4718F0E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5F40005" w14:textId="77777777" w:rsidR="009E215C" w:rsidRPr="004C5A7A" w:rsidRDefault="009E215C">
            <w:pPr>
              <w:keepNext/>
              <w:keepLines/>
              <w:rPr>
                <w:rFonts w:ascii="Arial" w:hAnsi="Arial" w:cs="Arial"/>
                <w:color w:val="000000"/>
                <w:sz w:val="14"/>
                <w:szCs w:val="14"/>
              </w:rPr>
            </w:pPr>
            <w:r w:rsidRPr="004C5A7A">
              <w:rPr>
                <w:rFonts w:ascii="Arial" w:hAnsi="Arial" w:cs="Arial"/>
                <w:sz w:val="14"/>
                <w:szCs w:val="14"/>
              </w:rPr>
              <w:t xml:space="preserve">Other income </w:t>
            </w:r>
            <w:proofErr w:type="spellStart"/>
            <w:r w:rsidRPr="004C5A7A">
              <w:rPr>
                <w:rFonts w:ascii="Arial" w:hAnsi="Arial" w:cs="Arial"/>
                <w:sz w:val="14"/>
                <w:szCs w:val="14"/>
              </w:rPr>
              <w:t>and</w:t>
            </w:r>
            <w:proofErr w:type="spellEnd"/>
            <w:r w:rsidRPr="004C5A7A">
              <w:rPr>
                <w:rFonts w:ascii="Arial" w:hAnsi="Arial" w:cs="Arial"/>
                <w:sz w:val="14"/>
                <w:szCs w:val="14"/>
              </w:rPr>
              <w:t xml:space="preserve"> </w:t>
            </w:r>
            <w:proofErr w:type="spellStart"/>
            <w:r w:rsidRPr="004C5A7A">
              <w:rPr>
                <w:rFonts w:ascii="Arial" w:hAnsi="Arial" w:cs="Arial"/>
                <w:sz w:val="14"/>
                <w:szCs w:val="14"/>
              </w:rPr>
              <w:t>expenses</w:t>
            </w:r>
            <w:proofErr w:type="spellEnd"/>
          </w:p>
        </w:tc>
        <w:tc>
          <w:tcPr>
            <w:tcW w:w="1709" w:type="dxa"/>
            <w:tcBorders>
              <w:top w:val="nil"/>
              <w:left w:val="nil"/>
              <w:bottom w:val="nil"/>
              <w:right w:val="nil"/>
            </w:tcBorders>
            <w:shd w:val="clear" w:color="auto" w:fill="auto"/>
            <w:vAlign w:val="center"/>
          </w:tcPr>
          <w:p w14:paraId="7CB1678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3CDD8A3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1A0C810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(1,500)</w:t>
            </w:r>
          </w:p>
        </w:tc>
        <w:tc>
          <w:tcPr>
            <w:tcW w:w="1709" w:type="dxa"/>
            <w:tcBorders>
              <w:top w:val="nil"/>
              <w:left w:val="nil"/>
              <w:bottom w:val="nil"/>
              <w:right w:val="nil"/>
            </w:tcBorders>
            <w:shd w:val="clear" w:color="auto" w:fill="auto"/>
            <w:vAlign w:val="center"/>
          </w:tcPr>
          <w:p w14:paraId="6CBDC41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(1,215)</w:t>
            </w:r>
          </w:p>
        </w:tc>
      </w:tr>
      <w:tr w:rsidR="009E215C" w:rsidRPr="004C5A7A" w14:paraId="59A9585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2DE0D68" w14:textId="77777777" w:rsidR="009E215C" w:rsidRPr="004C5A7A" w:rsidRDefault="009E215C">
            <w:pPr>
              <w:keepNext/>
              <w:keepLines/>
              <w:spacing w:before="40" w:after="40"/>
              <w:rPr>
                <w:rFonts w:ascii="Arial" w:hAnsi="Arial" w:cs="Arial"/>
                <w:sz w:val="14"/>
                <w:szCs w:val="14"/>
              </w:rPr>
            </w:pPr>
            <w:r w:rsidRPr="004C5A7A">
              <w:rPr>
                <w:rFonts w:ascii="Arial" w:hAnsi="Arial" w:cs="Arial"/>
                <w:sz w:val="14"/>
                <w:szCs w:val="14"/>
              </w:rPr>
              <w:t xml:space="preserve">Income </w:t>
            </w:r>
            <w:proofErr w:type="spellStart"/>
            <w:r w:rsidRPr="004C5A7A">
              <w:rPr>
                <w:rFonts w:ascii="Arial" w:hAnsi="Arial" w:cs="Arial"/>
                <w:sz w:val="14"/>
                <w:szCs w:val="14"/>
              </w:rPr>
              <w:t>before</w:t>
            </w:r>
            <w:proofErr w:type="spellEnd"/>
            <w:r w:rsidRPr="004C5A7A">
              <w:rPr>
                <w:rFonts w:ascii="Arial" w:hAnsi="Arial" w:cs="Arial"/>
                <w:sz w:val="14"/>
                <w:szCs w:val="14"/>
              </w:rPr>
              <w:t xml:space="preserve"> taxes</w:t>
            </w:r>
          </w:p>
        </w:tc>
        <w:tc>
          <w:tcPr>
            <w:tcW w:w="1709" w:type="dxa"/>
            <w:tcBorders>
              <w:top w:val="nil"/>
              <w:left w:val="nil"/>
              <w:bottom w:val="nil"/>
              <w:right w:val="nil"/>
            </w:tcBorders>
            <w:shd w:val="clear" w:color="auto" w:fill="auto"/>
            <w:vAlign w:val="center"/>
          </w:tcPr>
          <w:p w14:paraId="3BB5198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2DA2676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4A66B0B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4,418,557</w:t>
            </w:r>
          </w:p>
        </w:tc>
        <w:tc>
          <w:tcPr>
            <w:tcW w:w="1709" w:type="dxa"/>
            <w:tcBorders>
              <w:top w:val="nil"/>
              <w:left w:val="nil"/>
              <w:bottom w:val="nil"/>
              <w:right w:val="nil"/>
            </w:tcBorders>
            <w:shd w:val="clear" w:color="auto" w:fill="auto"/>
            <w:vAlign w:val="center"/>
          </w:tcPr>
          <w:p w14:paraId="609545F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3,887,709</w:t>
            </w:r>
          </w:p>
        </w:tc>
      </w:tr>
      <w:tr w:rsidR="009E215C" w:rsidRPr="004C5A7A" w14:paraId="4F9CBE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0AECC02" w14:textId="77777777" w:rsidR="009E215C" w:rsidRPr="004C5A7A" w:rsidRDefault="009E215C">
            <w:pPr>
              <w:keepNext/>
              <w:keepLines/>
              <w:spacing w:before="40" w:after="40"/>
              <w:ind w:left="113"/>
              <w:rPr>
                <w:rFonts w:ascii="Arial" w:hAnsi="Arial" w:cs="Arial"/>
                <w:b w:val="0"/>
                <w:bCs w:val="0"/>
                <w:color w:val="000000"/>
                <w:sz w:val="14"/>
                <w:szCs w:val="14"/>
                <w:lang w:val="en-US"/>
              </w:rPr>
            </w:pPr>
            <w:r w:rsidRPr="004C5A7A">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auto"/>
            <w:vAlign w:val="center"/>
          </w:tcPr>
          <w:p w14:paraId="5CD550BA"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09" w:type="dxa"/>
            <w:tcBorders>
              <w:top w:val="nil"/>
              <w:left w:val="nil"/>
              <w:bottom w:val="nil"/>
              <w:right w:val="nil"/>
            </w:tcBorders>
            <w:shd w:val="clear" w:color="auto" w:fill="auto"/>
            <w:vAlign w:val="center"/>
          </w:tcPr>
          <w:p w14:paraId="7E86CDE7"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09" w:type="dxa"/>
            <w:tcBorders>
              <w:top w:val="nil"/>
              <w:left w:val="nil"/>
              <w:bottom w:val="nil"/>
              <w:right w:val="nil"/>
            </w:tcBorders>
            <w:shd w:val="clear" w:color="auto" w:fill="auto"/>
            <w:vAlign w:val="center"/>
          </w:tcPr>
          <w:p w14:paraId="14960B0F"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(2,310)</w:t>
            </w:r>
          </w:p>
        </w:tc>
        <w:tc>
          <w:tcPr>
            <w:tcW w:w="1709" w:type="dxa"/>
            <w:tcBorders>
              <w:top w:val="nil"/>
              <w:left w:val="nil"/>
              <w:bottom w:val="nil"/>
              <w:right w:val="nil"/>
            </w:tcBorders>
            <w:shd w:val="clear" w:color="auto" w:fill="auto"/>
            <w:vAlign w:val="center"/>
          </w:tcPr>
          <w:p w14:paraId="5B3306E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(21)</w:t>
            </w:r>
          </w:p>
        </w:tc>
      </w:tr>
      <w:tr w:rsidR="009E215C" w:rsidRPr="004C5A7A" w14:paraId="126B4B5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B474A57" w14:textId="77777777" w:rsidR="009E215C" w:rsidRPr="004C5A7A" w:rsidRDefault="009E215C">
            <w:pPr>
              <w:keepNext/>
              <w:keepLines/>
              <w:spacing w:before="40" w:after="40"/>
              <w:rPr>
                <w:rFonts w:ascii="Arial" w:hAnsi="Arial" w:cs="Arial"/>
                <w:color w:val="000000"/>
                <w:sz w:val="14"/>
                <w:szCs w:val="14"/>
              </w:rPr>
            </w:pPr>
            <w:r w:rsidRPr="004C5A7A">
              <w:rPr>
                <w:rFonts w:ascii="Arial" w:hAnsi="Arial" w:cs="Arial"/>
                <w:sz w:val="14"/>
                <w:szCs w:val="14"/>
              </w:rPr>
              <w:t>Net income</w:t>
            </w:r>
          </w:p>
        </w:tc>
        <w:tc>
          <w:tcPr>
            <w:tcW w:w="1709" w:type="dxa"/>
            <w:tcBorders>
              <w:top w:val="nil"/>
              <w:left w:val="nil"/>
              <w:bottom w:val="nil"/>
              <w:right w:val="nil"/>
            </w:tcBorders>
            <w:shd w:val="clear" w:color="auto" w:fill="auto"/>
            <w:vAlign w:val="center"/>
          </w:tcPr>
          <w:p w14:paraId="08FBD602"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404DBB81"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011F2739"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4,416,247</w:t>
            </w:r>
          </w:p>
        </w:tc>
        <w:tc>
          <w:tcPr>
            <w:tcW w:w="1709" w:type="dxa"/>
            <w:tcBorders>
              <w:top w:val="nil"/>
              <w:left w:val="nil"/>
              <w:bottom w:val="nil"/>
              <w:right w:val="nil"/>
            </w:tcBorders>
            <w:shd w:val="clear" w:color="auto" w:fill="auto"/>
            <w:vAlign w:val="center"/>
          </w:tcPr>
          <w:p w14:paraId="233063A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 xml:space="preserve">3,887,688 </w:t>
            </w:r>
          </w:p>
        </w:tc>
      </w:tr>
      <w:tr w:rsidR="009E215C" w:rsidRPr="004C5A7A" w14:paraId="410148F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935455F"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auto"/>
            <w:vAlign w:val="center"/>
          </w:tcPr>
          <w:p w14:paraId="4BB30EA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F4653F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80F29A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(76,705)</w:t>
            </w:r>
          </w:p>
        </w:tc>
        <w:tc>
          <w:tcPr>
            <w:tcW w:w="1709" w:type="dxa"/>
            <w:tcBorders>
              <w:top w:val="nil"/>
              <w:left w:val="nil"/>
              <w:bottom w:val="nil"/>
              <w:right w:val="nil"/>
            </w:tcBorders>
            <w:shd w:val="clear" w:color="auto" w:fill="auto"/>
            <w:vAlign w:val="center"/>
          </w:tcPr>
          <w:p w14:paraId="38BCE09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106,756 </w:t>
            </w:r>
          </w:p>
        </w:tc>
      </w:tr>
      <w:tr w:rsidR="009E215C" w:rsidRPr="004C5A7A" w14:paraId="6463E6F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959F1F7"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sz w:val="14"/>
                <w:szCs w:val="14"/>
              </w:rPr>
              <w:t>Comprehensive</w:t>
            </w:r>
            <w:proofErr w:type="spellEnd"/>
            <w:r w:rsidRPr="004C5A7A">
              <w:rPr>
                <w:rFonts w:ascii="Arial" w:hAnsi="Arial" w:cs="Arial"/>
                <w:sz w:val="14"/>
                <w:szCs w:val="14"/>
              </w:rPr>
              <w:t xml:space="preserve"> income</w:t>
            </w:r>
          </w:p>
        </w:tc>
        <w:tc>
          <w:tcPr>
            <w:tcW w:w="1709" w:type="dxa"/>
            <w:tcBorders>
              <w:top w:val="nil"/>
              <w:left w:val="nil"/>
              <w:bottom w:val="nil"/>
              <w:right w:val="nil"/>
            </w:tcBorders>
            <w:shd w:val="clear" w:color="auto" w:fill="auto"/>
            <w:vAlign w:val="center"/>
          </w:tcPr>
          <w:p w14:paraId="3AA48BB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558FBB8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061AD72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4,339,542</w:t>
            </w:r>
          </w:p>
        </w:tc>
        <w:tc>
          <w:tcPr>
            <w:tcW w:w="1709" w:type="dxa"/>
            <w:tcBorders>
              <w:top w:val="nil"/>
              <w:left w:val="nil"/>
              <w:bottom w:val="nil"/>
              <w:right w:val="nil"/>
            </w:tcBorders>
            <w:shd w:val="clear" w:color="auto" w:fill="auto"/>
            <w:vAlign w:val="center"/>
          </w:tcPr>
          <w:p w14:paraId="4EBDDA1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 xml:space="preserve">3,994,444 </w:t>
            </w:r>
          </w:p>
        </w:tc>
      </w:tr>
      <w:tr w:rsidR="009E215C" w:rsidRPr="004C5A7A" w14:paraId="4E93436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7A15AD0" w14:textId="77777777" w:rsidR="009E215C" w:rsidRPr="004C5A7A" w:rsidRDefault="009E215C">
            <w:pPr>
              <w:keepNext/>
              <w:keepLines/>
              <w:rPr>
                <w:rFonts w:ascii="Arial" w:hAnsi="Arial" w:cs="Arial"/>
                <w:sz w:val="14"/>
                <w:szCs w:val="14"/>
              </w:rPr>
            </w:pPr>
            <w:proofErr w:type="spellStart"/>
            <w:r w:rsidRPr="004C5A7A">
              <w:rPr>
                <w:rFonts w:ascii="Arial" w:eastAsia="Times New Roman" w:hAnsi="Arial" w:cs="Arial"/>
                <w:color w:val="000000"/>
                <w:spacing w:val="-2"/>
                <w:sz w:val="14"/>
                <w:szCs w:val="14"/>
                <w:lang w:eastAsia="pt-BR"/>
              </w:rPr>
              <w:t>Attributable</w:t>
            </w:r>
            <w:proofErr w:type="spellEnd"/>
            <w:r w:rsidRPr="004C5A7A">
              <w:rPr>
                <w:rFonts w:ascii="Arial" w:eastAsia="Times New Roman" w:hAnsi="Arial" w:cs="Arial"/>
                <w:color w:val="000000"/>
                <w:spacing w:val="-2"/>
                <w:sz w:val="14"/>
                <w:szCs w:val="14"/>
                <w:lang w:eastAsia="pt-BR"/>
              </w:rPr>
              <w:t xml:space="preserve"> </w:t>
            </w:r>
            <w:proofErr w:type="spellStart"/>
            <w:r w:rsidRPr="004C5A7A">
              <w:rPr>
                <w:rFonts w:ascii="Arial" w:eastAsia="Times New Roman" w:hAnsi="Arial" w:cs="Arial"/>
                <w:color w:val="000000"/>
                <w:spacing w:val="-2"/>
                <w:sz w:val="14"/>
                <w:szCs w:val="14"/>
                <w:lang w:eastAsia="pt-BR"/>
              </w:rPr>
              <w:t>to</w:t>
            </w:r>
            <w:proofErr w:type="spellEnd"/>
            <w:r w:rsidRPr="004C5A7A">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auto"/>
            <w:vAlign w:val="center"/>
          </w:tcPr>
          <w:p w14:paraId="3425D4C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2A60896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auto"/>
            <w:vAlign w:val="center"/>
          </w:tcPr>
          <w:p w14:paraId="5483BCE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3,311,744</w:t>
            </w:r>
          </w:p>
        </w:tc>
        <w:tc>
          <w:tcPr>
            <w:tcW w:w="1709" w:type="dxa"/>
            <w:tcBorders>
              <w:top w:val="nil"/>
              <w:left w:val="nil"/>
              <w:bottom w:val="nil"/>
              <w:right w:val="nil"/>
            </w:tcBorders>
            <w:shd w:val="clear" w:color="auto" w:fill="auto"/>
            <w:vAlign w:val="center"/>
          </w:tcPr>
          <w:p w14:paraId="5CF2181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2,915,377</w:t>
            </w:r>
          </w:p>
        </w:tc>
      </w:tr>
      <w:tr w:rsidR="009E215C" w:rsidRPr="004C5A7A" w14:paraId="586B8FE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28ED6B0"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Amortization</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of</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intangible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assets</w:t>
            </w:r>
            <w:proofErr w:type="spellEnd"/>
            <w:r w:rsidRPr="004C5A7A">
              <w:rPr>
                <w:rFonts w:ascii="Arial" w:hAnsi="Arial" w:cs="Arial"/>
                <w:b w:val="0"/>
                <w:bCs w:val="0"/>
                <w:sz w:val="14"/>
                <w:szCs w:val="14"/>
              </w:rPr>
              <w:t xml:space="preserve"> </w:t>
            </w:r>
            <w:r w:rsidRPr="004C5A7A">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3CCEDDD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721CBB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690FBF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(16,181)</w:t>
            </w:r>
          </w:p>
        </w:tc>
        <w:tc>
          <w:tcPr>
            <w:tcW w:w="1709" w:type="dxa"/>
            <w:tcBorders>
              <w:top w:val="nil"/>
              <w:left w:val="nil"/>
              <w:bottom w:val="nil"/>
              <w:right w:val="nil"/>
            </w:tcBorders>
            <w:shd w:val="clear" w:color="auto" w:fill="auto"/>
            <w:vAlign w:val="center"/>
          </w:tcPr>
          <w:p w14:paraId="531E9CA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(15,407)</w:t>
            </w:r>
          </w:p>
        </w:tc>
      </w:tr>
      <w:tr w:rsidR="009E215C" w:rsidRPr="004C5A7A" w14:paraId="5DE2184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317D3CDB" w14:textId="77777777" w:rsidR="009E215C" w:rsidRPr="004C5A7A" w:rsidRDefault="009E215C">
            <w:pPr>
              <w:keepNext/>
              <w:keepLines/>
              <w:rPr>
                <w:rFonts w:ascii="Arial" w:hAnsi="Arial" w:cs="Arial"/>
                <w:color w:val="000000"/>
                <w:sz w:val="14"/>
                <w:szCs w:val="14"/>
              </w:rPr>
            </w:pPr>
            <w:proofErr w:type="spellStart"/>
            <w:r w:rsidRPr="004C5A7A">
              <w:rPr>
                <w:rFonts w:ascii="Arial" w:eastAsia="Times New Roman" w:hAnsi="Arial" w:cs="Arial"/>
                <w:color w:val="000000"/>
                <w:spacing w:val="-2"/>
                <w:sz w:val="14"/>
                <w:szCs w:val="14"/>
                <w:lang w:eastAsia="pt-BR"/>
              </w:rPr>
              <w:t>Equity</w:t>
            </w:r>
            <w:proofErr w:type="spellEnd"/>
            <w:r w:rsidRPr="004C5A7A">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auto"/>
            <w:vAlign w:val="center"/>
          </w:tcPr>
          <w:p w14:paraId="2C947B8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57536E9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36C759F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3,295,563</w:t>
            </w:r>
          </w:p>
        </w:tc>
        <w:tc>
          <w:tcPr>
            <w:tcW w:w="1709" w:type="dxa"/>
            <w:tcBorders>
              <w:top w:val="nil"/>
              <w:left w:val="nil"/>
              <w:bottom w:val="single" w:sz="2" w:space="0" w:color="1F3864" w:themeColor="accent1" w:themeShade="80"/>
              <w:right w:val="nil"/>
            </w:tcBorders>
            <w:shd w:val="clear" w:color="auto" w:fill="auto"/>
            <w:vAlign w:val="center"/>
          </w:tcPr>
          <w:p w14:paraId="18D27BBF"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2,899,970</w:t>
            </w:r>
          </w:p>
        </w:tc>
      </w:tr>
    </w:tbl>
    <w:p w14:paraId="45C9C64A" w14:textId="77777777" w:rsidR="009E215C" w:rsidRPr="004C5A7A" w:rsidRDefault="009E215C" w:rsidP="00A76AF4">
      <w:pPr>
        <w:pStyle w:val="PargrafodaLista"/>
        <w:numPr>
          <w:ilvl w:val="0"/>
          <w:numId w:val="19"/>
        </w:numPr>
        <w:spacing w:after="0" w:line="240" w:lineRule="auto"/>
        <w:ind w:left="284" w:hanging="284"/>
        <w:rPr>
          <w:rFonts w:ascii="Arial" w:hAnsi="Arial" w:cs="Arial"/>
          <w:b/>
          <w:sz w:val="14"/>
          <w:lang w:val="en-US" w:eastAsia="pt-BR"/>
        </w:rPr>
      </w:pPr>
      <w:r w:rsidRPr="004C5A7A">
        <w:rPr>
          <w:rFonts w:ascii="Arial" w:eastAsia="Times New Roman" w:hAnsi="Arial" w:cs="Arial"/>
          <w:spacing w:val="-2"/>
          <w:sz w:val="14"/>
          <w:szCs w:val="18"/>
          <w:lang w:val="en-US" w:eastAsia="pt-BR"/>
        </w:rPr>
        <w:t>Arising from the partnership agreement with MAPFRE.</w:t>
      </w:r>
    </w:p>
    <w:p w14:paraId="68C8D9B3" w14:textId="77777777" w:rsidR="009E215C" w:rsidRPr="004C5A7A" w:rsidRDefault="009E215C" w:rsidP="009E215C">
      <w:pPr>
        <w:pStyle w:val="05-Textonormal"/>
        <w:rPr>
          <w:rFonts w:cs="Arial"/>
          <w:lang w:val="en-US"/>
        </w:rPr>
      </w:pPr>
    </w:p>
    <w:p w14:paraId="7C54998A" w14:textId="77777777" w:rsidR="009E215C" w:rsidRPr="004C5A7A" w:rsidRDefault="009E215C" w:rsidP="009E215C">
      <w:pPr>
        <w:pStyle w:val="05-Textonormal"/>
        <w:rPr>
          <w:rFonts w:cs="Arial"/>
          <w:lang w:val="en-US"/>
        </w:rPr>
      </w:pPr>
      <w:r w:rsidRPr="004C5A7A">
        <w:rPr>
          <w:rFonts w:cs="Arial"/>
          <w:lang w:val="en-US"/>
        </w:rPr>
        <w:t>The impacts of adopting CPC 50 [IFRS 17], in 2024 and 2023, and of CPC 48 [IFRS 9], in 2023, on Net income and Comprehensive Income, for comparability purposes, are shown in the following table:</w:t>
      </w:r>
    </w:p>
    <w:p w14:paraId="54934A74"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9E215C" w:rsidRPr="004C5A7A" w14:paraId="56185021"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9C1FC7" w14:textId="77777777" w:rsidR="009E215C" w:rsidRPr="004C5A7A" w:rsidRDefault="009E215C">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7BF4C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695353"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AE6E5F"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szCs w:val="14"/>
              </w:rPr>
              <w:t>2024</w:t>
            </w:r>
          </w:p>
        </w:tc>
        <w:tc>
          <w:tcPr>
            <w:tcW w:w="16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4CCF679"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szCs w:val="14"/>
              </w:rPr>
              <w:t>2023</w:t>
            </w:r>
          </w:p>
        </w:tc>
      </w:tr>
      <w:tr w:rsidR="009E215C" w:rsidRPr="004C5A7A" w14:paraId="0EB678F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shd w:val="clear" w:color="auto" w:fill="auto"/>
            <w:vAlign w:val="center"/>
          </w:tcPr>
          <w:p w14:paraId="7DC6E976" w14:textId="77777777" w:rsidR="009E215C" w:rsidRPr="004C5A7A" w:rsidRDefault="009E215C">
            <w:pPr>
              <w:keepNext/>
              <w:keepLines/>
              <w:rPr>
                <w:rFonts w:ascii="Arial" w:eastAsia="Times New Roman" w:hAnsi="Arial" w:cs="Arial"/>
                <w:b w:val="0"/>
                <w:bCs w:val="0"/>
                <w:spacing w:val="-2"/>
                <w:sz w:val="14"/>
                <w:szCs w:val="14"/>
                <w:lang w:val="en-US"/>
              </w:rPr>
            </w:pPr>
            <w:r w:rsidRPr="004C5A7A">
              <w:rPr>
                <w:rFonts w:ascii="Arial" w:hAnsi="Arial" w:cs="Arial"/>
                <w:b w:val="0"/>
                <w:bCs w:val="0"/>
                <w:sz w:val="14"/>
                <w:szCs w:val="14"/>
                <w:lang w:val="en-US"/>
              </w:rPr>
              <w:t>Net income - BRGAAP and IFRS</w:t>
            </w:r>
          </w:p>
        </w:tc>
        <w:tc>
          <w:tcPr>
            <w:tcW w:w="1563" w:type="dxa"/>
            <w:tcBorders>
              <w:top w:val="single" w:sz="2" w:space="0" w:color="1F3864" w:themeColor="accent1" w:themeShade="80"/>
              <w:left w:val="nil"/>
              <w:bottom w:val="nil"/>
              <w:right w:val="nil"/>
            </w:tcBorders>
            <w:shd w:val="clear" w:color="auto" w:fill="auto"/>
            <w:vAlign w:val="center"/>
          </w:tcPr>
          <w:p w14:paraId="52F74E2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25" w:type="dxa"/>
            <w:tcBorders>
              <w:top w:val="single" w:sz="2" w:space="0" w:color="1F3864" w:themeColor="accent1" w:themeShade="80"/>
              <w:left w:val="nil"/>
              <w:bottom w:val="nil"/>
              <w:right w:val="nil"/>
            </w:tcBorders>
            <w:shd w:val="clear" w:color="auto" w:fill="auto"/>
            <w:vAlign w:val="center"/>
          </w:tcPr>
          <w:p w14:paraId="747DF26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7" w:type="dxa"/>
            <w:tcBorders>
              <w:top w:val="single" w:sz="2" w:space="0" w:color="1F3864" w:themeColor="accent1" w:themeShade="80"/>
              <w:left w:val="nil"/>
              <w:bottom w:val="nil"/>
              <w:right w:val="nil"/>
            </w:tcBorders>
            <w:shd w:val="clear" w:color="auto" w:fill="auto"/>
            <w:vAlign w:val="center"/>
          </w:tcPr>
          <w:p w14:paraId="1ECA2BA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4,416,247 </w:t>
            </w:r>
          </w:p>
        </w:tc>
        <w:tc>
          <w:tcPr>
            <w:tcW w:w="1677" w:type="dxa"/>
            <w:tcBorders>
              <w:top w:val="single" w:sz="2" w:space="0" w:color="1F3864" w:themeColor="accent1" w:themeShade="80"/>
              <w:left w:val="nil"/>
              <w:bottom w:val="nil"/>
              <w:right w:val="nil"/>
            </w:tcBorders>
            <w:shd w:val="clear" w:color="auto" w:fill="auto"/>
            <w:vAlign w:val="center"/>
          </w:tcPr>
          <w:p w14:paraId="4CF9301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             3,887,688</w:t>
            </w:r>
          </w:p>
        </w:tc>
      </w:tr>
      <w:tr w:rsidR="009E215C" w:rsidRPr="004C5A7A" w14:paraId="6ED8BE9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094C2FD8"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Net income - SUSEPGAAP</w:t>
            </w:r>
          </w:p>
        </w:tc>
        <w:tc>
          <w:tcPr>
            <w:tcW w:w="1563" w:type="dxa"/>
            <w:tcBorders>
              <w:top w:val="nil"/>
              <w:left w:val="nil"/>
              <w:bottom w:val="nil"/>
              <w:right w:val="nil"/>
            </w:tcBorders>
            <w:shd w:val="clear" w:color="auto" w:fill="auto"/>
            <w:vAlign w:val="center"/>
          </w:tcPr>
          <w:p w14:paraId="4AD4323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4996F2B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3EE96F8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4,468,463 </w:t>
            </w:r>
          </w:p>
        </w:tc>
        <w:tc>
          <w:tcPr>
            <w:tcW w:w="1677" w:type="dxa"/>
            <w:tcBorders>
              <w:top w:val="nil"/>
              <w:left w:val="nil"/>
              <w:bottom w:val="nil"/>
              <w:right w:val="nil"/>
            </w:tcBorders>
            <w:shd w:val="clear" w:color="auto" w:fill="auto"/>
            <w:vAlign w:val="center"/>
          </w:tcPr>
          <w:p w14:paraId="1C68783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             4,043,925</w:t>
            </w:r>
          </w:p>
        </w:tc>
      </w:tr>
      <w:tr w:rsidR="009E215C" w:rsidRPr="004C5A7A" w14:paraId="58165D5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0C14237D" w14:textId="77777777" w:rsidR="009E215C" w:rsidRPr="004C5A7A" w:rsidRDefault="009E215C">
            <w:pPr>
              <w:keepNext/>
              <w:keepLines/>
              <w:rPr>
                <w:rFonts w:ascii="Arial" w:hAnsi="Arial" w:cs="Arial"/>
                <w:b w:val="0"/>
                <w:bCs w:val="0"/>
                <w:sz w:val="14"/>
                <w:szCs w:val="14"/>
              </w:rPr>
            </w:pPr>
          </w:p>
        </w:tc>
        <w:tc>
          <w:tcPr>
            <w:tcW w:w="1563" w:type="dxa"/>
            <w:tcBorders>
              <w:top w:val="nil"/>
              <w:left w:val="nil"/>
              <w:bottom w:val="nil"/>
              <w:right w:val="nil"/>
            </w:tcBorders>
            <w:shd w:val="clear" w:color="auto" w:fill="auto"/>
            <w:vAlign w:val="center"/>
          </w:tcPr>
          <w:p w14:paraId="7BA21F4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auto"/>
            <w:vAlign w:val="center"/>
          </w:tcPr>
          <w:p w14:paraId="1597528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69457CE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auto"/>
            <w:vAlign w:val="center"/>
          </w:tcPr>
          <w:p w14:paraId="29D47EE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E215C" w:rsidRPr="004C5A7A" w14:paraId="7A42D1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auto"/>
            <w:vAlign w:val="center"/>
          </w:tcPr>
          <w:p w14:paraId="6D075CCB" w14:textId="77777777" w:rsidR="009E215C" w:rsidRPr="004C5A7A" w:rsidRDefault="009E215C">
            <w:pPr>
              <w:keepNext/>
              <w:keepLines/>
              <w:spacing w:before="40" w:after="40"/>
              <w:rPr>
                <w:rFonts w:ascii="Arial" w:hAnsi="Arial" w:cs="Arial"/>
                <w:b w:val="0"/>
                <w:bCs w:val="0"/>
                <w:sz w:val="14"/>
                <w:szCs w:val="14"/>
                <w:lang w:val="en-US"/>
              </w:rPr>
            </w:pPr>
            <w:r w:rsidRPr="004C5A7A">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auto"/>
            <w:vAlign w:val="center"/>
          </w:tcPr>
          <w:p w14:paraId="4E7FCC8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25" w:type="dxa"/>
            <w:tcBorders>
              <w:top w:val="nil"/>
              <w:left w:val="nil"/>
              <w:bottom w:val="nil"/>
              <w:right w:val="nil"/>
            </w:tcBorders>
            <w:shd w:val="clear" w:color="auto" w:fill="auto"/>
            <w:vAlign w:val="center"/>
          </w:tcPr>
          <w:p w14:paraId="17D76AA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77" w:type="dxa"/>
            <w:tcBorders>
              <w:top w:val="nil"/>
              <w:left w:val="nil"/>
              <w:bottom w:val="nil"/>
              <w:right w:val="nil"/>
            </w:tcBorders>
            <w:shd w:val="clear" w:color="auto" w:fill="auto"/>
            <w:vAlign w:val="center"/>
          </w:tcPr>
          <w:p w14:paraId="3E24822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4,339,542 </w:t>
            </w:r>
          </w:p>
        </w:tc>
        <w:tc>
          <w:tcPr>
            <w:tcW w:w="1677" w:type="dxa"/>
            <w:tcBorders>
              <w:top w:val="nil"/>
              <w:left w:val="nil"/>
              <w:bottom w:val="nil"/>
              <w:right w:val="nil"/>
            </w:tcBorders>
            <w:shd w:val="clear" w:color="auto" w:fill="auto"/>
            <w:vAlign w:val="center"/>
          </w:tcPr>
          <w:p w14:paraId="19A2166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             3,994,444</w:t>
            </w:r>
          </w:p>
        </w:tc>
      </w:tr>
      <w:tr w:rsidR="009E215C" w:rsidRPr="004C5A7A" w14:paraId="3DA2A1B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shd w:val="clear" w:color="auto" w:fill="auto"/>
            <w:vAlign w:val="center"/>
          </w:tcPr>
          <w:p w14:paraId="7060728F"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income - SUSEPGAAP</w:t>
            </w:r>
          </w:p>
        </w:tc>
        <w:tc>
          <w:tcPr>
            <w:tcW w:w="1563" w:type="dxa"/>
            <w:tcBorders>
              <w:top w:val="nil"/>
              <w:left w:val="nil"/>
              <w:bottom w:val="single" w:sz="2" w:space="0" w:color="1F3864" w:themeColor="accent1" w:themeShade="80"/>
              <w:right w:val="nil"/>
            </w:tcBorders>
            <w:shd w:val="clear" w:color="auto" w:fill="auto"/>
            <w:vAlign w:val="center"/>
          </w:tcPr>
          <w:p w14:paraId="3F17BA7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single" w:sz="2" w:space="0" w:color="1F3864" w:themeColor="accent1" w:themeShade="80"/>
              <w:right w:val="nil"/>
            </w:tcBorders>
            <w:shd w:val="clear" w:color="auto" w:fill="auto"/>
            <w:vAlign w:val="center"/>
          </w:tcPr>
          <w:p w14:paraId="0C59D52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single" w:sz="2" w:space="0" w:color="1F3864" w:themeColor="accent1" w:themeShade="80"/>
              <w:right w:val="nil"/>
            </w:tcBorders>
            <w:shd w:val="clear" w:color="auto" w:fill="auto"/>
            <w:vAlign w:val="center"/>
          </w:tcPr>
          <w:p w14:paraId="6D5221A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4,418,130 </w:t>
            </w:r>
          </w:p>
        </w:tc>
        <w:tc>
          <w:tcPr>
            <w:tcW w:w="1677" w:type="dxa"/>
            <w:tcBorders>
              <w:top w:val="nil"/>
              <w:left w:val="nil"/>
              <w:bottom w:val="single" w:sz="2" w:space="0" w:color="1F3864" w:themeColor="accent1" w:themeShade="80"/>
              <w:right w:val="nil"/>
            </w:tcBorders>
            <w:shd w:val="clear" w:color="auto" w:fill="auto"/>
            <w:vAlign w:val="center"/>
          </w:tcPr>
          <w:p w14:paraId="02E245F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             4,121,109</w:t>
            </w:r>
          </w:p>
        </w:tc>
      </w:tr>
    </w:tbl>
    <w:p w14:paraId="2321ED67" w14:textId="77777777" w:rsidR="009E215C" w:rsidRPr="004C5A7A" w:rsidRDefault="009E215C" w:rsidP="009E215C">
      <w:pPr>
        <w:pStyle w:val="05-Textonormal"/>
        <w:rPr>
          <w:rFonts w:cs="Arial"/>
          <w:lang w:val="en-US"/>
        </w:rPr>
      </w:pPr>
    </w:p>
    <w:p w14:paraId="679D5AB0" w14:textId="77777777" w:rsidR="009E215C" w:rsidRPr="004C5A7A" w:rsidRDefault="009E215C" w:rsidP="009E215C">
      <w:pPr>
        <w:jc w:val="both"/>
        <w:rPr>
          <w:rFonts w:ascii="Arial" w:eastAsia="Times New Roman" w:hAnsi="Arial" w:cs="Arial"/>
          <w:sz w:val="18"/>
          <w:szCs w:val="20"/>
          <w:lang w:val="en-US" w:eastAsia="pt-BR"/>
        </w:rPr>
      </w:pPr>
    </w:p>
    <w:p w14:paraId="1AACFCB7" w14:textId="77777777"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7967A5BC"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184E126A" w14:textId="77777777" w:rsidR="009E215C" w:rsidRPr="004C5A7A" w:rsidRDefault="009E215C" w:rsidP="009E215C">
      <w:pPr>
        <w:spacing w:after="0" w:line="240" w:lineRule="auto"/>
        <w:jc w:val="right"/>
        <w:rPr>
          <w:rFonts w:ascii="Arial" w:hAnsi="Arial" w:cs="Arial"/>
          <w:b/>
          <w:sz w:val="14"/>
          <w:lang w:eastAsia="pt-BR"/>
        </w:rPr>
      </w:pPr>
      <w:r w:rsidRPr="004C5A7A">
        <w:rPr>
          <w:rFonts w:ascii="Arial" w:hAnsi="Arial" w:cs="Arial"/>
          <w:b/>
          <w:sz w:val="14"/>
          <w:lang w:eastAsia="pt-BR"/>
        </w:rPr>
        <w:t xml:space="preserve">R$ </w:t>
      </w:r>
      <w:proofErr w:type="spellStart"/>
      <w:r w:rsidRPr="004C5A7A">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395"/>
        <w:gridCol w:w="2622"/>
        <w:gridCol w:w="2623"/>
      </w:tblGrid>
      <w:tr w:rsidR="009E215C" w:rsidRPr="004C5A7A" w14:paraId="0448B1C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251C64" w14:textId="77777777" w:rsidR="009E215C" w:rsidRPr="004C5A7A" w:rsidRDefault="009E215C">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8BEDE6D"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262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67DAFC"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31, 20223</w:t>
            </w:r>
          </w:p>
        </w:tc>
      </w:tr>
      <w:tr w:rsidR="009E215C" w:rsidRPr="004C5A7A" w14:paraId="16EFE4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shd w:val="clear" w:color="auto" w:fill="auto"/>
            <w:vAlign w:val="center"/>
          </w:tcPr>
          <w:p w14:paraId="73D96DB8" w14:textId="77777777" w:rsidR="009E215C" w:rsidRPr="004C5A7A" w:rsidRDefault="009E215C">
            <w:pPr>
              <w:keepNext/>
              <w:keepLines/>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shd w:val="clear" w:color="auto" w:fill="auto"/>
            <w:vAlign w:val="center"/>
          </w:tcPr>
          <w:p w14:paraId="775315C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277,505</w:t>
            </w:r>
          </w:p>
        </w:tc>
        <w:tc>
          <w:tcPr>
            <w:tcW w:w="2623" w:type="dxa"/>
            <w:tcBorders>
              <w:top w:val="single" w:sz="2" w:space="0" w:color="1F3864" w:themeColor="accent1" w:themeShade="80"/>
              <w:left w:val="nil"/>
              <w:bottom w:val="nil"/>
              <w:right w:val="nil"/>
            </w:tcBorders>
            <w:shd w:val="clear" w:color="auto" w:fill="auto"/>
            <w:vAlign w:val="center"/>
          </w:tcPr>
          <w:p w14:paraId="4977E09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11,864</w:t>
            </w:r>
          </w:p>
        </w:tc>
      </w:tr>
      <w:tr w:rsidR="009E215C" w:rsidRPr="004C5A7A" w14:paraId="255284B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C211F45" w14:textId="77777777" w:rsidR="009E215C" w:rsidRPr="004C5A7A" w:rsidRDefault="009E215C">
            <w:pPr>
              <w:keepNext/>
              <w:keepLines/>
              <w:ind w:left="113"/>
              <w:rPr>
                <w:rFonts w:ascii="Arial" w:hAnsi="Arial" w:cs="Arial"/>
                <w:color w:val="000000"/>
                <w:sz w:val="14"/>
                <w:szCs w:val="14"/>
              </w:rPr>
            </w:pPr>
            <w:r w:rsidRPr="004C5A7A">
              <w:rPr>
                <w:rFonts w:ascii="Arial" w:hAnsi="Arial" w:cs="Arial"/>
                <w:b w:val="0"/>
                <w:bCs w:val="0"/>
                <w:color w:val="000000"/>
                <w:sz w:val="14"/>
                <w:szCs w:val="14"/>
              </w:rPr>
              <w:t xml:space="preserve">Cash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cash </w:t>
            </w:r>
            <w:proofErr w:type="spellStart"/>
            <w:r w:rsidRPr="004C5A7A">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auto"/>
            <w:vAlign w:val="center"/>
          </w:tcPr>
          <w:p w14:paraId="6DB9463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2623" w:type="dxa"/>
            <w:tcBorders>
              <w:top w:val="nil"/>
              <w:left w:val="nil"/>
              <w:bottom w:val="nil"/>
              <w:right w:val="nil"/>
            </w:tcBorders>
            <w:shd w:val="clear" w:color="auto" w:fill="auto"/>
            <w:vAlign w:val="center"/>
          </w:tcPr>
          <w:p w14:paraId="77C6EBD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18</w:t>
            </w:r>
          </w:p>
        </w:tc>
      </w:tr>
      <w:tr w:rsidR="009E215C" w:rsidRPr="004C5A7A" w14:paraId="647E4BE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9BAA384" w14:textId="77777777" w:rsidR="009E215C" w:rsidRPr="004C5A7A" w:rsidRDefault="009E215C">
            <w:pPr>
              <w:keepNext/>
              <w:keepLines/>
              <w:ind w:left="113"/>
              <w:rPr>
                <w:rFonts w:ascii="Arial" w:eastAsia="Times New Roman" w:hAnsi="Arial" w:cs="Arial"/>
                <w:b w:val="0"/>
                <w:bCs w:val="0"/>
                <w:spacing w:val="-2"/>
                <w:sz w:val="14"/>
                <w:szCs w:val="14"/>
                <w:highlight w:val="yellow"/>
              </w:rPr>
            </w:pPr>
            <w:proofErr w:type="spellStart"/>
            <w:r w:rsidRPr="004C5A7A">
              <w:rPr>
                <w:rFonts w:ascii="Arial" w:hAnsi="Arial" w:cs="Arial"/>
                <w:b w:val="0"/>
                <w:bCs w:val="0"/>
                <w:color w:val="000000"/>
                <w:sz w:val="14"/>
                <w:szCs w:val="14"/>
              </w:rPr>
              <w:t>Receivables</w:t>
            </w:r>
            <w:proofErr w:type="spellEnd"/>
          </w:p>
        </w:tc>
        <w:tc>
          <w:tcPr>
            <w:tcW w:w="2622" w:type="dxa"/>
            <w:tcBorders>
              <w:top w:val="nil"/>
              <w:left w:val="nil"/>
              <w:bottom w:val="nil"/>
              <w:right w:val="nil"/>
            </w:tcBorders>
            <w:shd w:val="clear" w:color="auto" w:fill="auto"/>
            <w:vAlign w:val="center"/>
          </w:tcPr>
          <w:p w14:paraId="381FF7E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400</w:t>
            </w:r>
          </w:p>
        </w:tc>
        <w:tc>
          <w:tcPr>
            <w:tcW w:w="2623" w:type="dxa"/>
            <w:tcBorders>
              <w:top w:val="nil"/>
              <w:left w:val="nil"/>
              <w:bottom w:val="nil"/>
              <w:right w:val="nil"/>
            </w:tcBorders>
            <w:shd w:val="clear" w:color="auto" w:fill="auto"/>
            <w:vAlign w:val="center"/>
          </w:tcPr>
          <w:p w14:paraId="3D759FC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438</w:t>
            </w:r>
          </w:p>
        </w:tc>
      </w:tr>
      <w:tr w:rsidR="009E215C" w:rsidRPr="004C5A7A" w14:paraId="732EA42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C3213B6"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auto"/>
            <w:vAlign w:val="center"/>
          </w:tcPr>
          <w:p w14:paraId="082B1B9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275,645</w:t>
            </w:r>
          </w:p>
        </w:tc>
        <w:tc>
          <w:tcPr>
            <w:tcW w:w="2623" w:type="dxa"/>
            <w:tcBorders>
              <w:top w:val="nil"/>
              <w:left w:val="nil"/>
              <w:bottom w:val="nil"/>
              <w:right w:val="nil"/>
            </w:tcBorders>
            <w:shd w:val="clear" w:color="auto" w:fill="auto"/>
            <w:vAlign w:val="center"/>
          </w:tcPr>
          <w:p w14:paraId="78CD331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9,906</w:t>
            </w:r>
          </w:p>
        </w:tc>
      </w:tr>
      <w:tr w:rsidR="009E215C" w:rsidRPr="004C5A7A" w14:paraId="6C879A8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F5CEE25"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center"/>
          </w:tcPr>
          <w:p w14:paraId="0B28EA4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1,335</w:t>
            </w:r>
          </w:p>
        </w:tc>
        <w:tc>
          <w:tcPr>
            <w:tcW w:w="2623" w:type="dxa"/>
            <w:tcBorders>
              <w:top w:val="nil"/>
              <w:left w:val="nil"/>
              <w:bottom w:val="nil"/>
              <w:right w:val="nil"/>
            </w:tcBorders>
            <w:shd w:val="clear" w:color="auto" w:fill="auto"/>
            <w:vAlign w:val="center"/>
          </w:tcPr>
          <w:p w14:paraId="3BB010F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1,361</w:t>
            </w:r>
          </w:p>
        </w:tc>
      </w:tr>
      <w:tr w:rsidR="009E215C" w:rsidRPr="004C5A7A" w14:paraId="6999112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9406C90"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auto"/>
            <w:vAlign w:val="center"/>
          </w:tcPr>
          <w:p w14:paraId="27918E4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125</w:t>
            </w:r>
          </w:p>
        </w:tc>
        <w:tc>
          <w:tcPr>
            <w:tcW w:w="2623" w:type="dxa"/>
            <w:tcBorders>
              <w:top w:val="nil"/>
              <w:left w:val="nil"/>
              <w:bottom w:val="nil"/>
              <w:right w:val="nil"/>
            </w:tcBorders>
            <w:shd w:val="clear" w:color="auto" w:fill="auto"/>
            <w:vAlign w:val="center"/>
          </w:tcPr>
          <w:p w14:paraId="160C1BF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141</w:t>
            </w:r>
          </w:p>
        </w:tc>
      </w:tr>
      <w:tr w:rsidR="009E215C" w:rsidRPr="004C5A7A" w14:paraId="03681C9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0347AEF" w14:textId="77777777" w:rsidR="009E215C" w:rsidRPr="004C5A7A" w:rsidRDefault="009E215C">
            <w:pPr>
              <w:keepNext/>
              <w:keepLines/>
              <w:rPr>
                <w:rFonts w:ascii="Arial" w:hAnsi="Arial" w:cs="Arial"/>
                <w:color w:val="000000"/>
                <w:sz w:val="14"/>
                <w:szCs w:val="14"/>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685CF44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3,041,869</w:t>
            </w:r>
          </w:p>
        </w:tc>
        <w:tc>
          <w:tcPr>
            <w:tcW w:w="2623" w:type="dxa"/>
            <w:tcBorders>
              <w:top w:val="nil"/>
              <w:left w:val="nil"/>
              <w:bottom w:val="nil"/>
              <w:right w:val="nil"/>
            </w:tcBorders>
            <w:shd w:val="clear" w:color="auto" w:fill="auto"/>
            <w:vAlign w:val="center"/>
          </w:tcPr>
          <w:p w14:paraId="5113E5E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3,347,092</w:t>
            </w:r>
          </w:p>
        </w:tc>
      </w:tr>
      <w:tr w:rsidR="009E215C" w:rsidRPr="004C5A7A" w14:paraId="4D6FC38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C1DE436" w14:textId="77777777" w:rsidR="009E215C" w:rsidRPr="004C5A7A" w:rsidRDefault="009E215C">
            <w:pPr>
              <w:keepNext/>
              <w:keepLines/>
              <w:ind w:left="113"/>
              <w:rPr>
                <w:rFonts w:ascii="Arial" w:hAnsi="Arial" w:cs="Arial"/>
                <w:color w:val="000000"/>
                <w:sz w:val="14"/>
                <w:szCs w:val="14"/>
              </w:rPr>
            </w:pPr>
            <w:proofErr w:type="spellStart"/>
            <w:r w:rsidRPr="004C5A7A">
              <w:rPr>
                <w:rFonts w:ascii="Arial" w:hAnsi="Arial" w:cs="Arial"/>
                <w:b w:val="0"/>
                <w:bCs w:val="0"/>
                <w:color w:val="000000"/>
                <w:sz w:val="14"/>
                <w:szCs w:val="14"/>
              </w:rPr>
              <w:t>Deferred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auto"/>
            <w:vAlign w:val="center"/>
          </w:tcPr>
          <w:p w14:paraId="31C8C22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2623" w:type="dxa"/>
            <w:tcBorders>
              <w:top w:val="nil"/>
              <w:left w:val="nil"/>
              <w:bottom w:val="nil"/>
              <w:right w:val="nil"/>
            </w:tcBorders>
            <w:shd w:val="clear" w:color="auto" w:fill="auto"/>
            <w:vAlign w:val="center"/>
          </w:tcPr>
          <w:p w14:paraId="7DCD70D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282</w:t>
            </w:r>
          </w:p>
        </w:tc>
      </w:tr>
      <w:tr w:rsidR="009E215C" w:rsidRPr="004C5A7A" w14:paraId="5661AA1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3ADB60A"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Investments in </w:t>
            </w:r>
            <w:proofErr w:type="spellStart"/>
            <w:r w:rsidRPr="004C5A7A">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auto"/>
            <w:vAlign w:val="center"/>
          </w:tcPr>
          <w:p w14:paraId="4A2D71D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3,041,869</w:t>
            </w:r>
          </w:p>
        </w:tc>
        <w:tc>
          <w:tcPr>
            <w:tcW w:w="2623" w:type="dxa"/>
            <w:tcBorders>
              <w:top w:val="nil"/>
              <w:left w:val="nil"/>
              <w:bottom w:val="nil"/>
              <w:right w:val="nil"/>
            </w:tcBorders>
            <w:shd w:val="clear" w:color="auto" w:fill="auto"/>
            <w:vAlign w:val="center"/>
          </w:tcPr>
          <w:p w14:paraId="4C75985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3,346,810</w:t>
            </w:r>
          </w:p>
        </w:tc>
      </w:tr>
      <w:tr w:rsidR="009E215C" w:rsidRPr="004C5A7A" w14:paraId="4A1EB77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BC699C1" w14:textId="77777777" w:rsidR="009E215C" w:rsidRPr="004C5A7A" w:rsidRDefault="009E215C">
            <w:pPr>
              <w:keepNext/>
              <w:keepLines/>
              <w:rPr>
                <w:rFonts w:ascii="Arial" w:hAnsi="Arial" w:cs="Arial"/>
                <w:color w:val="000000"/>
                <w:sz w:val="14"/>
                <w:szCs w:val="14"/>
              </w:rPr>
            </w:pPr>
            <w:r w:rsidRPr="004C5A7A">
              <w:rPr>
                <w:rFonts w:ascii="Arial" w:hAnsi="Arial" w:cs="Arial"/>
                <w:color w:val="000000"/>
                <w:sz w:val="14"/>
                <w:szCs w:val="14"/>
              </w:rPr>
              <w:t xml:space="preserve">Total </w:t>
            </w:r>
            <w:proofErr w:type="spellStart"/>
            <w:r w:rsidRPr="004C5A7A">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auto"/>
            <w:vAlign w:val="center"/>
          </w:tcPr>
          <w:p w14:paraId="0D056ED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3,319,374</w:t>
            </w:r>
          </w:p>
        </w:tc>
        <w:tc>
          <w:tcPr>
            <w:tcW w:w="2623" w:type="dxa"/>
            <w:tcBorders>
              <w:top w:val="nil"/>
              <w:left w:val="nil"/>
              <w:bottom w:val="nil"/>
              <w:right w:val="nil"/>
            </w:tcBorders>
            <w:shd w:val="clear" w:color="auto" w:fill="auto"/>
            <w:vAlign w:val="center"/>
          </w:tcPr>
          <w:p w14:paraId="2478D20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3,358,956</w:t>
            </w:r>
          </w:p>
        </w:tc>
      </w:tr>
      <w:tr w:rsidR="009E215C" w:rsidRPr="004C5A7A" w14:paraId="647E131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771A81A" w14:textId="77777777" w:rsidR="009E215C" w:rsidRPr="004C5A7A" w:rsidRDefault="009E215C">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auto"/>
            <w:vAlign w:val="center"/>
          </w:tcPr>
          <w:p w14:paraId="7E4AACA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623" w:type="dxa"/>
            <w:tcBorders>
              <w:top w:val="nil"/>
              <w:left w:val="nil"/>
              <w:bottom w:val="nil"/>
              <w:right w:val="nil"/>
            </w:tcBorders>
            <w:shd w:val="clear" w:color="auto" w:fill="auto"/>
            <w:vAlign w:val="center"/>
          </w:tcPr>
          <w:p w14:paraId="11CF9B1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E215C" w:rsidRPr="004C5A7A" w14:paraId="50D32EE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3AECFEA"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2622" w:type="dxa"/>
            <w:tcBorders>
              <w:top w:val="nil"/>
              <w:left w:val="nil"/>
              <w:bottom w:val="nil"/>
              <w:right w:val="nil"/>
            </w:tcBorders>
            <w:shd w:val="clear" w:color="auto" w:fill="auto"/>
            <w:vAlign w:val="center"/>
          </w:tcPr>
          <w:p w14:paraId="746B223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1,046</w:t>
            </w:r>
          </w:p>
        </w:tc>
        <w:tc>
          <w:tcPr>
            <w:tcW w:w="2623" w:type="dxa"/>
            <w:tcBorders>
              <w:top w:val="nil"/>
              <w:left w:val="nil"/>
              <w:bottom w:val="nil"/>
              <w:right w:val="nil"/>
            </w:tcBorders>
            <w:shd w:val="clear" w:color="auto" w:fill="auto"/>
            <w:vAlign w:val="center"/>
          </w:tcPr>
          <w:p w14:paraId="4D0B980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171</w:t>
            </w:r>
          </w:p>
        </w:tc>
      </w:tr>
      <w:tr w:rsidR="009E215C" w:rsidRPr="004C5A7A" w14:paraId="62F9CB6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0BB8499"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Amounts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auto"/>
            <w:vAlign w:val="center"/>
          </w:tcPr>
          <w:p w14:paraId="44DAC74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w:t>
            </w:r>
          </w:p>
        </w:tc>
        <w:tc>
          <w:tcPr>
            <w:tcW w:w="2623" w:type="dxa"/>
            <w:tcBorders>
              <w:top w:val="nil"/>
              <w:left w:val="nil"/>
              <w:bottom w:val="nil"/>
              <w:right w:val="nil"/>
            </w:tcBorders>
            <w:shd w:val="clear" w:color="auto" w:fill="auto"/>
            <w:vAlign w:val="center"/>
          </w:tcPr>
          <w:p w14:paraId="181B1B7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w:t>
            </w:r>
          </w:p>
        </w:tc>
      </w:tr>
      <w:tr w:rsidR="009E215C" w:rsidRPr="004C5A7A" w14:paraId="0361AE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3FCC4C0"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liability</w:t>
            </w:r>
            <w:proofErr w:type="spellEnd"/>
          </w:p>
        </w:tc>
        <w:tc>
          <w:tcPr>
            <w:tcW w:w="2622" w:type="dxa"/>
            <w:tcBorders>
              <w:top w:val="nil"/>
              <w:left w:val="nil"/>
              <w:bottom w:val="nil"/>
              <w:right w:val="nil"/>
            </w:tcBorders>
            <w:shd w:val="clear" w:color="auto" w:fill="auto"/>
            <w:vAlign w:val="center"/>
          </w:tcPr>
          <w:p w14:paraId="3314B22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1,044</w:t>
            </w:r>
          </w:p>
        </w:tc>
        <w:tc>
          <w:tcPr>
            <w:tcW w:w="2623" w:type="dxa"/>
            <w:tcBorders>
              <w:top w:val="nil"/>
              <w:left w:val="nil"/>
              <w:bottom w:val="nil"/>
              <w:right w:val="nil"/>
            </w:tcBorders>
            <w:shd w:val="clear" w:color="auto" w:fill="auto"/>
            <w:vAlign w:val="center"/>
          </w:tcPr>
          <w:p w14:paraId="3C04133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167</w:t>
            </w:r>
          </w:p>
        </w:tc>
      </w:tr>
      <w:tr w:rsidR="009E215C" w:rsidRPr="004C5A7A" w14:paraId="68129D1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5649B1D" w14:textId="77777777" w:rsidR="009E215C" w:rsidRPr="004C5A7A" w:rsidRDefault="009E215C">
            <w:pPr>
              <w:keepNext/>
              <w:keepLines/>
              <w:spacing w:before="40" w:after="40"/>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center"/>
          </w:tcPr>
          <w:p w14:paraId="0F9F976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3,318,328</w:t>
            </w:r>
          </w:p>
        </w:tc>
        <w:tc>
          <w:tcPr>
            <w:tcW w:w="2623" w:type="dxa"/>
            <w:tcBorders>
              <w:top w:val="nil"/>
              <w:left w:val="nil"/>
              <w:bottom w:val="nil"/>
              <w:right w:val="nil"/>
            </w:tcBorders>
            <w:shd w:val="clear" w:color="auto" w:fill="auto"/>
            <w:vAlign w:val="center"/>
          </w:tcPr>
          <w:p w14:paraId="78802B8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3,358,785</w:t>
            </w:r>
          </w:p>
        </w:tc>
      </w:tr>
      <w:tr w:rsidR="009E215C" w:rsidRPr="004C5A7A" w14:paraId="5F85A83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D21DE2A" w14:textId="77777777" w:rsidR="009E215C" w:rsidRPr="004C5A7A" w:rsidRDefault="009E215C">
            <w:pPr>
              <w:keepNext/>
              <w:keepLines/>
              <w:spacing w:before="40" w:after="40"/>
              <w:ind w:left="113"/>
              <w:rPr>
                <w:rFonts w:ascii="Arial" w:eastAsia="Times New Roman" w:hAnsi="Arial" w:cs="Arial"/>
                <w:b w:val="0"/>
                <w:bCs w:val="0"/>
                <w:spacing w:val="-2"/>
                <w:sz w:val="14"/>
                <w:szCs w:val="14"/>
              </w:rPr>
            </w:pPr>
            <w:r w:rsidRPr="004C5A7A">
              <w:rPr>
                <w:rFonts w:ascii="Arial" w:hAnsi="Arial" w:cs="Arial"/>
                <w:b w:val="0"/>
                <w:bCs w:val="0"/>
                <w:color w:val="000000"/>
                <w:sz w:val="14"/>
                <w:szCs w:val="14"/>
              </w:rPr>
              <w:t xml:space="preserve">Capital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reserves</w:t>
            </w:r>
          </w:p>
        </w:tc>
        <w:tc>
          <w:tcPr>
            <w:tcW w:w="2622" w:type="dxa"/>
            <w:tcBorders>
              <w:top w:val="nil"/>
              <w:left w:val="nil"/>
              <w:bottom w:val="nil"/>
              <w:right w:val="nil"/>
            </w:tcBorders>
            <w:shd w:val="clear" w:color="auto" w:fill="auto"/>
            <w:vAlign w:val="center"/>
          </w:tcPr>
          <w:p w14:paraId="0754C46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3,410,449</w:t>
            </w:r>
          </w:p>
        </w:tc>
        <w:tc>
          <w:tcPr>
            <w:tcW w:w="2623" w:type="dxa"/>
            <w:tcBorders>
              <w:top w:val="nil"/>
              <w:left w:val="nil"/>
              <w:bottom w:val="nil"/>
              <w:right w:val="nil"/>
            </w:tcBorders>
            <w:shd w:val="clear" w:color="auto" w:fill="auto"/>
            <w:vAlign w:val="center"/>
          </w:tcPr>
          <w:p w14:paraId="5A007B4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3,374,202</w:t>
            </w:r>
          </w:p>
        </w:tc>
      </w:tr>
      <w:tr w:rsidR="009E215C" w:rsidRPr="004C5A7A" w14:paraId="6DE55FF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2593D90B"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comprehensive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results</w:t>
            </w:r>
            <w:proofErr w:type="spellEnd"/>
          </w:p>
        </w:tc>
        <w:tc>
          <w:tcPr>
            <w:tcW w:w="2622" w:type="dxa"/>
            <w:tcBorders>
              <w:top w:val="nil"/>
              <w:left w:val="nil"/>
              <w:bottom w:val="nil"/>
              <w:right w:val="nil"/>
            </w:tcBorders>
            <w:shd w:val="clear" w:color="auto" w:fill="auto"/>
            <w:vAlign w:val="center"/>
          </w:tcPr>
          <w:p w14:paraId="33FA4D45"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(92,121)</w:t>
            </w:r>
          </w:p>
        </w:tc>
        <w:tc>
          <w:tcPr>
            <w:tcW w:w="2623" w:type="dxa"/>
            <w:tcBorders>
              <w:top w:val="nil"/>
              <w:left w:val="nil"/>
              <w:bottom w:val="nil"/>
              <w:right w:val="nil"/>
            </w:tcBorders>
            <w:shd w:val="clear" w:color="auto" w:fill="auto"/>
            <w:vAlign w:val="center"/>
          </w:tcPr>
          <w:p w14:paraId="2473147A"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(15,417)</w:t>
            </w:r>
          </w:p>
        </w:tc>
      </w:tr>
      <w:tr w:rsidR="009E215C" w:rsidRPr="004C5A7A" w14:paraId="1E77CB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39E6F4E"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color w:val="000000"/>
                <w:sz w:val="14"/>
                <w:szCs w:val="14"/>
              </w:rPr>
              <w:t>Liabilities</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and</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auto"/>
            <w:vAlign w:val="center"/>
          </w:tcPr>
          <w:p w14:paraId="4020B33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3,319,374</w:t>
            </w:r>
          </w:p>
        </w:tc>
        <w:tc>
          <w:tcPr>
            <w:tcW w:w="2623" w:type="dxa"/>
            <w:tcBorders>
              <w:top w:val="nil"/>
              <w:left w:val="nil"/>
              <w:bottom w:val="nil"/>
              <w:right w:val="nil"/>
            </w:tcBorders>
            <w:shd w:val="clear" w:color="auto" w:fill="auto"/>
            <w:vAlign w:val="center"/>
          </w:tcPr>
          <w:p w14:paraId="4188217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3,358,956</w:t>
            </w:r>
          </w:p>
        </w:tc>
      </w:tr>
      <w:tr w:rsidR="009E215C" w:rsidRPr="004C5A7A" w14:paraId="29BCBB0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4C443ED" w14:textId="77777777" w:rsidR="009E215C" w:rsidRPr="004C5A7A" w:rsidRDefault="009E215C">
            <w:pPr>
              <w:keepNext/>
              <w:keepLines/>
              <w:rPr>
                <w:rFonts w:ascii="Arial" w:hAnsi="Arial" w:cs="Arial"/>
                <w:b w:val="0"/>
                <w:bCs w:val="0"/>
                <w:color w:val="000000"/>
                <w:sz w:val="14"/>
                <w:szCs w:val="14"/>
              </w:rPr>
            </w:pPr>
            <w:proofErr w:type="spellStart"/>
            <w:r w:rsidRPr="004C5A7A">
              <w:rPr>
                <w:rFonts w:ascii="Arial" w:hAnsi="Arial" w:cs="Arial"/>
                <w:sz w:val="14"/>
                <w:szCs w:val="14"/>
              </w:rPr>
              <w:t>Attributable</w:t>
            </w:r>
            <w:proofErr w:type="spellEnd"/>
            <w:r w:rsidRPr="004C5A7A">
              <w:rPr>
                <w:rFonts w:ascii="Arial" w:hAnsi="Arial" w:cs="Arial"/>
                <w:sz w:val="14"/>
                <w:szCs w:val="14"/>
              </w:rPr>
              <w:t xml:space="preserve"> </w:t>
            </w:r>
            <w:proofErr w:type="spellStart"/>
            <w:r w:rsidRPr="004C5A7A">
              <w:rPr>
                <w:rFonts w:ascii="Arial" w:hAnsi="Arial" w:cs="Arial"/>
                <w:sz w:val="14"/>
                <w:szCs w:val="14"/>
              </w:rPr>
              <w:t>to</w:t>
            </w:r>
            <w:proofErr w:type="spellEnd"/>
            <w:r w:rsidRPr="004C5A7A">
              <w:rPr>
                <w:rFonts w:ascii="Arial" w:hAnsi="Arial" w:cs="Arial"/>
                <w:sz w:val="14"/>
                <w:szCs w:val="14"/>
              </w:rPr>
              <w:t xml:space="preserve"> BB Seguridade</w:t>
            </w:r>
          </w:p>
        </w:tc>
        <w:tc>
          <w:tcPr>
            <w:tcW w:w="2622" w:type="dxa"/>
            <w:tcBorders>
              <w:top w:val="nil"/>
              <w:left w:val="nil"/>
              <w:bottom w:val="nil"/>
              <w:right w:val="nil"/>
            </w:tcBorders>
            <w:shd w:val="clear" w:color="auto" w:fill="auto"/>
            <w:vAlign w:val="center"/>
          </w:tcPr>
          <w:p w14:paraId="286EDCC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2,488,414</w:t>
            </w:r>
          </w:p>
        </w:tc>
        <w:tc>
          <w:tcPr>
            <w:tcW w:w="2623" w:type="dxa"/>
            <w:tcBorders>
              <w:top w:val="nil"/>
              <w:left w:val="nil"/>
              <w:bottom w:val="nil"/>
              <w:right w:val="nil"/>
            </w:tcBorders>
            <w:shd w:val="clear" w:color="auto" w:fill="auto"/>
            <w:vAlign w:val="center"/>
          </w:tcPr>
          <w:p w14:paraId="4019682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2,518,753</w:t>
            </w:r>
          </w:p>
        </w:tc>
      </w:tr>
      <w:tr w:rsidR="009E215C" w:rsidRPr="004C5A7A" w14:paraId="61DB48C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85F5A0D" w14:textId="77777777" w:rsidR="009E215C" w:rsidRPr="004C5A7A" w:rsidRDefault="009E215C">
            <w:pPr>
              <w:keepNext/>
              <w:keepLines/>
              <w:spacing w:before="40" w:after="40"/>
              <w:rPr>
                <w:rFonts w:ascii="Arial" w:hAnsi="Arial" w:cs="Arial"/>
                <w:color w:val="000000"/>
                <w:sz w:val="14"/>
                <w:szCs w:val="14"/>
              </w:rPr>
            </w:pPr>
            <w:proofErr w:type="spellStart"/>
            <w:r w:rsidRPr="004C5A7A">
              <w:rPr>
                <w:rFonts w:ascii="Arial" w:hAnsi="Arial" w:cs="Arial"/>
                <w:color w:val="000000"/>
                <w:sz w:val="14"/>
                <w:szCs w:val="14"/>
              </w:rPr>
              <w:t>Intangible</w:t>
            </w:r>
            <w:proofErr w:type="spellEnd"/>
            <w:r w:rsidRPr="004C5A7A">
              <w:rPr>
                <w:rFonts w:ascii="Arial" w:hAnsi="Arial" w:cs="Arial"/>
                <w:color w:val="000000"/>
                <w:sz w:val="14"/>
                <w:szCs w:val="14"/>
              </w:rPr>
              <w:t xml:space="preserve"> </w:t>
            </w:r>
            <w:r w:rsidRPr="004C5A7A">
              <w:rPr>
                <w:rFonts w:ascii="Arial" w:hAnsi="Arial" w:cs="Arial"/>
                <w:color w:val="000000"/>
                <w:sz w:val="14"/>
                <w:szCs w:val="14"/>
                <w:vertAlign w:val="superscript"/>
              </w:rPr>
              <w:t>(1)</w:t>
            </w:r>
          </w:p>
        </w:tc>
        <w:tc>
          <w:tcPr>
            <w:tcW w:w="2622" w:type="dxa"/>
            <w:tcBorders>
              <w:top w:val="nil"/>
              <w:left w:val="nil"/>
              <w:bottom w:val="nil"/>
              <w:right w:val="nil"/>
            </w:tcBorders>
            <w:shd w:val="clear" w:color="auto" w:fill="auto"/>
            <w:vAlign w:val="center"/>
          </w:tcPr>
          <w:p w14:paraId="0D0E772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463,697</w:t>
            </w:r>
          </w:p>
        </w:tc>
        <w:tc>
          <w:tcPr>
            <w:tcW w:w="2623" w:type="dxa"/>
            <w:tcBorders>
              <w:top w:val="nil"/>
              <w:left w:val="nil"/>
              <w:bottom w:val="nil"/>
              <w:right w:val="nil"/>
            </w:tcBorders>
            <w:shd w:val="clear" w:color="auto" w:fill="auto"/>
            <w:vAlign w:val="center"/>
          </w:tcPr>
          <w:p w14:paraId="7EFD98C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479,878</w:t>
            </w:r>
          </w:p>
        </w:tc>
      </w:tr>
      <w:tr w:rsidR="009E215C" w:rsidRPr="004C5A7A" w14:paraId="2774B56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shd w:val="clear" w:color="auto" w:fill="auto"/>
            <w:vAlign w:val="center"/>
          </w:tcPr>
          <w:p w14:paraId="3483307D"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sz w:val="14"/>
                <w:szCs w:val="14"/>
              </w:rPr>
              <w:t>Investment</w:t>
            </w:r>
            <w:proofErr w:type="spellEnd"/>
            <w:r w:rsidRPr="004C5A7A">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shd w:val="clear" w:color="auto" w:fill="auto"/>
            <w:vAlign w:val="center"/>
          </w:tcPr>
          <w:p w14:paraId="27E8087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2,952,111</w:t>
            </w:r>
          </w:p>
        </w:tc>
        <w:tc>
          <w:tcPr>
            <w:tcW w:w="2623" w:type="dxa"/>
            <w:tcBorders>
              <w:top w:val="nil"/>
              <w:left w:val="nil"/>
              <w:bottom w:val="single" w:sz="2" w:space="0" w:color="1F3864" w:themeColor="accent1" w:themeShade="80"/>
              <w:right w:val="nil"/>
            </w:tcBorders>
            <w:shd w:val="clear" w:color="auto" w:fill="auto"/>
            <w:vAlign w:val="center"/>
          </w:tcPr>
          <w:p w14:paraId="0B99D45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2,998,631</w:t>
            </w:r>
          </w:p>
        </w:tc>
      </w:tr>
    </w:tbl>
    <w:p w14:paraId="4360CE92" w14:textId="77777777" w:rsidR="009E215C" w:rsidRPr="004C5A7A" w:rsidRDefault="009E215C" w:rsidP="00A76AF4">
      <w:pPr>
        <w:numPr>
          <w:ilvl w:val="0"/>
          <w:numId w:val="14"/>
        </w:numPr>
        <w:spacing w:after="160" w:line="257" w:lineRule="auto"/>
        <w:ind w:left="284" w:hanging="284"/>
        <w:contextualSpacing/>
        <w:jc w:val="both"/>
        <w:rPr>
          <w:rFonts w:ascii="Arial" w:eastAsia="Times New Roman" w:hAnsi="Arial" w:cs="Arial"/>
          <w:spacing w:val="-2"/>
          <w:sz w:val="14"/>
          <w:szCs w:val="18"/>
          <w:lang w:val="en-US" w:eastAsia="pt-BR"/>
        </w:rPr>
      </w:pPr>
      <w:r w:rsidRPr="004C5A7A">
        <w:rPr>
          <w:rFonts w:ascii="Arial" w:eastAsia="Times New Roman" w:hAnsi="Arial" w:cs="Arial"/>
          <w:spacing w:val="-2"/>
          <w:sz w:val="14"/>
          <w:szCs w:val="18"/>
          <w:lang w:val="en-US" w:eastAsia="pt-BR"/>
        </w:rPr>
        <w:t>Includes in the book value of the investment, intangible assets with a defined useful life in the amount net of amortizations of R$ 124,693 thousand (R$ 140,874 thousand on Dec 31, 2023) and intangible assets with an indefinite useful life in the amount of R$ 339,004 thousand arising from of the partnership agreement with the MAPFRE Group.</w:t>
      </w:r>
    </w:p>
    <w:p w14:paraId="73E184D0" w14:textId="77777777" w:rsidR="009E215C" w:rsidRPr="004C5A7A" w:rsidRDefault="009E215C" w:rsidP="009E215C">
      <w:pPr>
        <w:pStyle w:val="01-TtulodeNota"/>
        <w:spacing w:before="0" w:after="0"/>
        <w:rPr>
          <w:rFonts w:cs="Arial"/>
          <w:b w:val="0"/>
          <w:sz w:val="18"/>
          <w:lang w:val="en-US" w:eastAsia="zh-CN"/>
        </w:rPr>
      </w:pPr>
    </w:p>
    <w:p w14:paraId="2DB10E3C" w14:textId="77777777" w:rsidR="009E215C" w:rsidRPr="004C5A7A" w:rsidRDefault="009E215C" w:rsidP="009E215C">
      <w:pPr>
        <w:pStyle w:val="01-TtulodeNota"/>
        <w:spacing w:before="0" w:after="0"/>
        <w:rPr>
          <w:rFonts w:cs="Arial"/>
          <w:b w:val="0"/>
          <w:sz w:val="18"/>
          <w:lang w:val="en-US" w:eastAsia="zh-CN"/>
        </w:rPr>
      </w:pPr>
      <w:r w:rsidRPr="004C5A7A">
        <w:rPr>
          <w:rFonts w:cs="Arial"/>
          <w:b w:val="0"/>
          <w:sz w:val="18"/>
          <w:lang w:val="en-US" w:eastAsia="zh-CN"/>
        </w:rPr>
        <w:t>The impacts of CPC 50 [IFRS 17], in 2024 and 2023, and of CPC 48 [IFRS 9], in 2023, on Shareholders' Equity, for comparability purposes, are shown in the table below:</w:t>
      </w:r>
    </w:p>
    <w:p w14:paraId="7C7BD235"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E215C" w:rsidRPr="004C5A7A" w14:paraId="7209FCB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3C4739" w14:textId="77777777" w:rsidR="009E215C" w:rsidRPr="004C5A7A" w:rsidRDefault="009E215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8514D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7E8D92"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4E5735E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04310127" w14:textId="77777777" w:rsidR="009E215C" w:rsidRPr="004C5A7A" w:rsidRDefault="009E215C">
            <w:pPr>
              <w:keepNext/>
              <w:keepLines/>
              <w:rPr>
                <w:rFonts w:ascii="Arial" w:eastAsia="Times New Roman" w:hAnsi="Arial" w:cs="Arial"/>
                <w:b w:val="0"/>
                <w:bCs w:val="0"/>
                <w:spacing w:val="-2"/>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BRGAAP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6705F4A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3,318,328 </w:t>
            </w:r>
          </w:p>
        </w:tc>
        <w:tc>
          <w:tcPr>
            <w:tcW w:w="2126" w:type="dxa"/>
            <w:tcBorders>
              <w:top w:val="single" w:sz="2" w:space="0" w:color="1F3864" w:themeColor="accent1" w:themeShade="80"/>
              <w:left w:val="nil"/>
              <w:bottom w:val="nil"/>
              <w:right w:val="nil"/>
            </w:tcBorders>
            <w:shd w:val="clear" w:color="auto" w:fill="auto"/>
            <w:vAlign w:val="center"/>
          </w:tcPr>
          <w:p w14:paraId="6A86BEE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3,358,785 </w:t>
            </w:r>
          </w:p>
        </w:tc>
      </w:tr>
      <w:tr w:rsidR="009E215C" w:rsidRPr="004C5A7A" w14:paraId="4F1E001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02BCCF45"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20683B7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3,358,514 </w:t>
            </w:r>
          </w:p>
        </w:tc>
        <w:tc>
          <w:tcPr>
            <w:tcW w:w="2126" w:type="dxa"/>
            <w:tcBorders>
              <w:top w:val="nil"/>
              <w:left w:val="nil"/>
              <w:bottom w:val="single" w:sz="2" w:space="0" w:color="1F3864" w:themeColor="accent1" w:themeShade="80"/>
              <w:right w:val="nil"/>
            </w:tcBorders>
            <w:shd w:val="clear" w:color="auto" w:fill="auto"/>
            <w:vAlign w:val="center"/>
          </w:tcPr>
          <w:p w14:paraId="59BD52C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3,330,534 </w:t>
            </w:r>
          </w:p>
        </w:tc>
      </w:tr>
    </w:tbl>
    <w:p w14:paraId="4CF5B9EF" w14:textId="77777777" w:rsidR="009E215C" w:rsidRPr="004C5A7A" w:rsidRDefault="009E215C" w:rsidP="009E215C">
      <w:pPr>
        <w:keepNext/>
        <w:keepLines/>
        <w:spacing w:after="0" w:line="240" w:lineRule="auto"/>
        <w:rPr>
          <w:rFonts w:ascii="Arial" w:eastAsia="Times New Roman" w:hAnsi="Arial" w:cs="Arial"/>
          <w:spacing w:val="-2"/>
          <w:sz w:val="18"/>
          <w:szCs w:val="20"/>
          <w:highlight w:val="yellow"/>
          <w:lang w:val="en-US" w:eastAsia="zh-CN"/>
        </w:rPr>
      </w:pPr>
    </w:p>
    <w:p w14:paraId="09EAE849" w14:textId="16E853EB"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 xml:space="preserve">c.1.2) </w:t>
      </w:r>
      <w:proofErr w:type="spellStart"/>
      <w:r w:rsidRPr="004C5A7A">
        <w:rPr>
          <w:rFonts w:ascii="Arial" w:eastAsia="Times New Roman" w:hAnsi="Arial" w:cs="Arial"/>
          <w:b/>
          <w:color w:val="1F3864" w:themeColor="accent1" w:themeShade="80"/>
          <w:spacing w:val="-2"/>
          <w:sz w:val="18"/>
          <w:szCs w:val="20"/>
          <w:lang w:eastAsia="pt-BR"/>
        </w:rPr>
        <w:t>Brasilseg</w:t>
      </w:r>
      <w:proofErr w:type="spellEnd"/>
      <w:r w:rsidRPr="004C5A7A">
        <w:rPr>
          <w:rFonts w:ascii="Arial" w:eastAsia="Times New Roman" w:hAnsi="Arial" w:cs="Arial"/>
          <w:b/>
          <w:color w:val="1F3864" w:themeColor="accent1" w:themeShade="80"/>
          <w:spacing w:val="-2"/>
          <w:sz w:val="18"/>
          <w:szCs w:val="20"/>
          <w:lang w:eastAsia="pt-BR"/>
        </w:rPr>
        <w:t xml:space="preserve"> Companhia de Seguros (</w:t>
      </w:r>
      <w:proofErr w:type="spellStart"/>
      <w:r w:rsidRPr="004C5A7A">
        <w:rPr>
          <w:rFonts w:ascii="Arial" w:eastAsia="Times New Roman" w:hAnsi="Arial" w:cs="Arial"/>
          <w:b/>
          <w:color w:val="1F3864" w:themeColor="accent1" w:themeShade="80"/>
          <w:spacing w:val="-2"/>
          <w:sz w:val="18"/>
          <w:szCs w:val="20"/>
          <w:lang w:eastAsia="pt-BR"/>
        </w:rPr>
        <w:t>Brasilseg</w:t>
      </w:r>
      <w:proofErr w:type="spellEnd"/>
      <w:r w:rsidRPr="004C5A7A">
        <w:rPr>
          <w:rFonts w:ascii="Arial" w:eastAsia="Times New Roman" w:hAnsi="Arial" w:cs="Arial"/>
          <w:b/>
          <w:color w:val="1F3864" w:themeColor="accent1" w:themeShade="80"/>
          <w:spacing w:val="-2"/>
          <w:sz w:val="18"/>
          <w:szCs w:val="20"/>
          <w:lang w:eastAsia="pt-BR"/>
        </w:rPr>
        <w:t>)</w:t>
      </w:r>
    </w:p>
    <w:p w14:paraId="13DDDF8F"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41D63CC7"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t>Income Statement Information</w:t>
      </w:r>
    </w:p>
    <w:p w14:paraId="52E6713D"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6D930DEB"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9E215C" w:rsidRPr="004C5A7A" w14:paraId="55EC1882"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D89EBA1" w14:textId="77777777" w:rsidR="009E215C" w:rsidRPr="004C5A7A" w:rsidRDefault="009E215C">
            <w:pPr>
              <w:jc w:val="cente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F2151A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478A6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9482FC"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rPr>
              <w:t>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71A5A2"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4C5A7A">
              <w:rPr>
                <w:rFonts w:cs="Arial"/>
                <w:szCs w:val="14"/>
              </w:rPr>
              <w:t>2023</w:t>
            </w:r>
          </w:p>
        </w:tc>
      </w:tr>
      <w:tr w:rsidR="009E215C" w:rsidRPr="004C5A7A" w14:paraId="49DF2A5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5D751934" w14:textId="77777777" w:rsidR="009E215C" w:rsidRPr="004C5A7A" w:rsidRDefault="009E215C">
            <w:pPr>
              <w:keepNext/>
              <w:keepLines/>
              <w:rPr>
                <w:rFonts w:ascii="Arial" w:eastAsia="Times New Roman" w:hAnsi="Arial" w:cs="Arial"/>
                <w:spacing w:val="-2"/>
                <w:sz w:val="14"/>
                <w:szCs w:val="14"/>
              </w:rPr>
            </w:pPr>
            <w:proofErr w:type="spellStart"/>
            <w:r w:rsidRPr="004C5A7A">
              <w:rPr>
                <w:rFonts w:ascii="Arial" w:hAnsi="Arial" w:cs="Arial"/>
                <w:color w:val="000000"/>
                <w:sz w:val="14"/>
                <w:szCs w:val="14"/>
              </w:rPr>
              <w:t>Result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of</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insurance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contracts</w:t>
            </w:r>
            <w:proofErr w:type="spellEnd"/>
          </w:p>
        </w:tc>
        <w:tc>
          <w:tcPr>
            <w:tcW w:w="1818" w:type="dxa"/>
            <w:tcBorders>
              <w:top w:val="single" w:sz="2" w:space="0" w:color="1F3864" w:themeColor="accent1" w:themeShade="80"/>
              <w:left w:val="nil"/>
              <w:bottom w:val="nil"/>
              <w:right w:val="nil"/>
            </w:tcBorders>
            <w:shd w:val="clear" w:color="auto" w:fill="auto"/>
            <w:vAlign w:val="center"/>
          </w:tcPr>
          <w:p w14:paraId="7054C1E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7E9F5E8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42F985D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15,695,194</w:t>
            </w:r>
          </w:p>
        </w:tc>
        <w:tc>
          <w:tcPr>
            <w:tcW w:w="1819" w:type="dxa"/>
            <w:tcBorders>
              <w:top w:val="single" w:sz="2" w:space="0" w:color="1F3864" w:themeColor="accent1" w:themeShade="80"/>
              <w:left w:val="nil"/>
              <w:bottom w:val="nil"/>
              <w:right w:val="nil"/>
            </w:tcBorders>
            <w:shd w:val="clear" w:color="auto" w:fill="auto"/>
            <w:vAlign w:val="center"/>
          </w:tcPr>
          <w:p w14:paraId="7990FA4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4"/>
                <w:szCs w:val="14"/>
              </w:rPr>
            </w:pPr>
            <w:r w:rsidRPr="004C5A7A">
              <w:rPr>
                <w:rFonts w:ascii="Arial" w:hAnsi="Arial" w:cs="Arial"/>
                <w:b/>
                <w:bCs/>
                <w:color w:val="000000"/>
                <w:sz w:val="14"/>
                <w:szCs w:val="14"/>
              </w:rPr>
              <w:t>14,815,055</w:t>
            </w:r>
          </w:p>
        </w:tc>
      </w:tr>
      <w:tr w:rsidR="009E215C" w:rsidRPr="004C5A7A" w14:paraId="631461A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168722D"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Result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of</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BBA </w:t>
            </w:r>
            <w:r w:rsidRPr="004C5A7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6EF0D3A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7F4AD6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0ADD68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3,302,073</w:t>
            </w:r>
          </w:p>
        </w:tc>
        <w:tc>
          <w:tcPr>
            <w:tcW w:w="1819" w:type="dxa"/>
            <w:tcBorders>
              <w:top w:val="nil"/>
              <w:left w:val="nil"/>
              <w:bottom w:val="nil"/>
              <w:right w:val="nil"/>
            </w:tcBorders>
            <w:shd w:val="clear" w:color="auto" w:fill="auto"/>
            <w:vAlign w:val="center"/>
          </w:tcPr>
          <w:p w14:paraId="580C187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2,835,165</w:t>
            </w:r>
          </w:p>
        </w:tc>
      </w:tr>
      <w:tr w:rsidR="009E215C" w:rsidRPr="004C5A7A" w14:paraId="3FDEBD8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FF23EBF"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Result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of</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PAA </w:t>
            </w:r>
            <w:r w:rsidRPr="004C5A7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2B5DF66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EC1F50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1E0F45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12,393,121</w:t>
            </w:r>
          </w:p>
        </w:tc>
        <w:tc>
          <w:tcPr>
            <w:tcW w:w="1819" w:type="dxa"/>
            <w:tcBorders>
              <w:top w:val="nil"/>
              <w:left w:val="nil"/>
              <w:bottom w:val="nil"/>
              <w:right w:val="nil"/>
            </w:tcBorders>
            <w:shd w:val="clear" w:color="auto" w:fill="auto"/>
            <w:vAlign w:val="center"/>
          </w:tcPr>
          <w:p w14:paraId="2E098FC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11,979,889</w:t>
            </w:r>
          </w:p>
        </w:tc>
      </w:tr>
      <w:tr w:rsidR="009E215C" w:rsidRPr="004C5A7A" w14:paraId="20DC3D4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F1915BE" w14:textId="77777777" w:rsidR="009E215C" w:rsidRPr="004C5A7A" w:rsidRDefault="009E215C">
            <w:pPr>
              <w:keepNext/>
              <w:keepLines/>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6063FAF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6A04AA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E5D7A0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(9,690,294)</w:t>
            </w:r>
          </w:p>
        </w:tc>
        <w:tc>
          <w:tcPr>
            <w:tcW w:w="1819" w:type="dxa"/>
            <w:tcBorders>
              <w:top w:val="nil"/>
              <w:left w:val="nil"/>
              <w:bottom w:val="nil"/>
              <w:right w:val="nil"/>
            </w:tcBorders>
            <w:shd w:val="clear" w:color="auto" w:fill="auto"/>
            <w:vAlign w:val="center"/>
          </w:tcPr>
          <w:p w14:paraId="631E6A2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(9,403,343)</w:t>
            </w:r>
          </w:p>
        </w:tc>
      </w:tr>
      <w:tr w:rsidR="009E215C" w:rsidRPr="004C5A7A" w14:paraId="1377DF5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C26B896"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color w:val="000000"/>
                <w:sz w:val="14"/>
                <w:szCs w:val="14"/>
              </w:rPr>
              <w:t>Insurance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margin</w:t>
            </w:r>
            <w:proofErr w:type="spellEnd"/>
          </w:p>
        </w:tc>
        <w:tc>
          <w:tcPr>
            <w:tcW w:w="1818" w:type="dxa"/>
            <w:tcBorders>
              <w:top w:val="nil"/>
              <w:left w:val="nil"/>
              <w:bottom w:val="nil"/>
              <w:right w:val="nil"/>
            </w:tcBorders>
            <w:shd w:val="clear" w:color="auto" w:fill="auto"/>
            <w:vAlign w:val="center"/>
          </w:tcPr>
          <w:p w14:paraId="3484216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C01DD6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7E98B89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6,004,900</w:t>
            </w:r>
          </w:p>
        </w:tc>
        <w:tc>
          <w:tcPr>
            <w:tcW w:w="1819" w:type="dxa"/>
            <w:tcBorders>
              <w:top w:val="nil"/>
              <w:left w:val="nil"/>
              <w:bottom w:val="nil"/>
              <w:right w:val="nil"/>
            </w:tcBorders>
            <w:shd w:val="clear" w:color="auto" w:fill="auto"/>
            <w:vAlign w:val="center"/>
          </w:tcPr>
          <w:p w14:paraId="43EDC3A8"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5,411,711</w:t>
            </w:r>
          </w:p>
        </w:tc>
      </w:tr>
      <w:tr w:rsidR="009E215C" w:rsidRPr="004C5A7A" w14:paraId="1093365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8C10318" w14:textId="77777777" w:rsidR="009E215C" w:rsidRPr="004C5A7A" w:rsidRDefault="009E215C">
            <w:pPr>
              <w:keepNext/>
              <w:keepLines/>
              <w:rPr>
                <w:rFonts w:ascii="Arial" w:hAnsi="Arial" w:cs="Arial"/>
                <w:color w:val="000000"/>
                <w:sz w:val="14"/>
                <w:szCs w:val="14"/>
              </w:rPr>
            </w:pPr>
            <w:r w:rsidRPr="004C5A7A">
              <w:rPr>
                <w:rFonts w:ascii="Arial" w:hAnsi="Arial" w:cs="Arial"/>
                <w:color w:val="000000"/>
                <w:sz w:val="14"/>
                <w:szCs w:val="14"/>
              </w:rPr>
              <w:t xml:space="preserve">Financial </w:t>
            </w:r>
            <w:proofErr w:type="spellStart"/>
            <w:r w:rsidRPr="004C5A7A">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1FA0A9C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719E0D1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768DE0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550,303</w:t>
            </w:r>
          </w:p>
        </w:tc>
        <w:tc>
          <w:tcPr>
            <w:tcW w:w="1819" w:type="dxa"/>
            <w:tcBorders>
              <w:top w:val="nil"/>
              <w:left w:val="nil"/>
              <w:bottom w:val="nil"/>
              <w:right w:val="nil"/>
            </w:tcBorders>
            <w:shd w:val="clear" w:color="auto" w:fill="auto"/>
            <w:vAlign w:val="center"/>
          </w:tcPr>
          <w:p w14:paraId="6D19C47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614,303</w:t>
            </w:r>
          </w:p>
        </w:tc>
      </w:tr>
      <w:tr w:rsidR="009E215C" w:rsidRPr="004C5A7A" w14:paraId="3176E6D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A978BAD"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Financial income</w:t>
            </w:r>
          </w:p>
        </w:tc>
        <w:tc>
          <w:tcPr>
            <w:tcW w:w="1818" w:type="dxa"/>
            <w:tcBorders>
              <w:top w:val="nil"/>
              <w:left w:val="nil"/>
              <w:bottom w:val="nil"/>
              <w:right w:val="nil"/>
            </w:tcBorders>
            <w:shd w:val="clear" w:color="auto" w:fill="auto"/>
            <w:vAlign w:val="center"/>
          </w:tcPr>
          <w:p w14:paraId="22D66C4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704A02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780F97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945,689</w:t>
            </w:r>
          </w:p>
        </w:tc>
        <w:tc>
          <w:tcPr>
            <w:tcW w:w="1819" w:type="dxa"/>
            <w:tcBorders>
              <w:top w:val="nil"/>
              <w:left w:val="nil"/>
              <w:bottom w:val="nil"/>
              <w:right w:val="nil"/>
            </w:tcBorders>
            <w:shd w:val="clear" w:color="auto" w:fill="auto"/>
            <w:vAlign w:val="center"/>
          </w:tcPr>
          <w:p w14:paraId="19F0443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994,907</w:t>
            </w:r>
          </w:p>
        </w:tc>
      </w:tr>
      <w:tr w:rsidR="009E215C" w:rsidRPr="004C5A7A" w14:paraId="5F2F972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982007F"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4B59EBCA" w14:textId="77777777" w:rsidR="009E215C" w:rsidRPr="004C5A7A" w:rsidRDefault="009E215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3B7948D" w14:textId="77777777" w:rsidR="009E215C" w:rsidRPr="004C5A7A" w:rsidRDefault="009E215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4CABBD7" w14:textId="77777777" w:rsidR="009E215C" w:rsidRPr="004C5A7A" w:rsidRDefault="009E215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(395,386)</w:t>
            </w:r>
          </w:p>
        </w:tc>
        <w:tc>
          <w:tcPr>
            <w:tcW w:w="1819" w:type="dxa"/>
            <w:tcBorders>
              <w:top w:val="nil"/>
              <w:left w:val="nil"/>
              <w:bottom w:val="nil"/>
              <w:right w:val="nil"/>
            </w:tcBorders>
            <w:shd w:val="clear" w:color="auto" w:fill="auto"/>
            <w:vAlign w:val="center"/>
          </w:tcPr>
          <w:p w14:paraId="3095000C" w14:textId="77777777" w:rsidR="009E215C" w:rsidRPr="004C5A7A" w:rsidRDefault="009E215C">
            <w:pPr>
              <w:keepNext/>
              <w:keepLines/>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(380,604)</w:t>
            </w:r>
          </w:p>
        </w:tc>
      </w:tr>
      <w:tr w:rsidR="009E215C" w:rsidRPr="004C5A7A" w14:paraId="07B7D44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FC5FE32" w14:textId="77777777" w:rsidR="009E215C" w:rsidRPr="004C5A7A" w:rsidRDefault="009E215C">
            <w:pPr>
              <w:keepNext/>
              <w:keepLines/>
              <w:rPr>
                <w:rFonts w:ascii="Arial" w:hAnsi="Arial" w:cs="Arial"/>
                <w:b w:val="0"/>
                <w:bCs w:val="0"/>
                <w:color w:val="000000"/>
                <w:sz w:val="14"/>
                <w:szCs w:val="14"/>
              </w:rPr>
            </w:pPr>
            <w:r w:rsidRPr="004C5A7A">
              <w:rPr>
                <w:rFonts w:ascii="Arial" w:hAnsi="Arial" w:cs="Arial"/>
                <w:b w:val="0"/>
                <w:bCs w:val="0"/>
                <w:color w:val="000000"/>
                <w:sz w:val="14"/>
                <w:szCs w:val="14"/>
              </w:rPr>
              <w:t>Non-</w:t>
            </w:r>
            <w:proofErr w:type="spellStart"/>
            <w:r w:rsidRPr="004C5A7A">
              <w:rPr>
                <w:rFonts w:ascii="Arial" w:hAnsi="Arial" w:cs="Arial"/>
                <w:b w:val="0"/>
                <w:bCs w:val="0"/>
                <w:color w:val="000000"/>
                <w:sz w:val="14"/>
                <w:szCs w:val="14"/>
              </w:rPr>
              <w:t>Attributable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29B58DE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51159D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5B06A2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(993,303)</w:t>
            </w:r>
          </w:p>
        </w:tc>
        <w:tc>
          <w:tcPr>
            <w:tcW w:w="1819" w:type="dxa"/>
            <w:tcBorders>
              <w:top w:val="nil"/>
              <w:left w:val="nil"/>
              <w:bottom w:val="nil"/>
              <w:right w:val="nil"/>
            </w:tcBorders>
            <w:shd w:val="clear" w:color="auto" w:fill="auto"/>
            <w:vAlign w:val="center"/>
          </w:tcPr>
          <w:p w14:paraId="0BE5BE0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(926,636)</w:t>
            </w:r>
          </w:p>
        </w:tc>
      </w:tr>
      <w:tr w:rsidR="009E215C" w:rsidRPr="004C5A7A" w14:paraId="73ABEBF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256A6EB" w14:textId="77777777" w:rsidR="009E215C" w:rsidRPr="004C5A7A" w:rsidRDefault="009E215C">
            <w:pPr>
              <w:keepNext/>
              <w:keepLines/>
              <w:rPr>
                <w:rFonts w:ascii="Arial" w:hAnsi="Arial" w:cs="Arial"/>
                <w:b w:val="0"/>
                <w:bCs w:val="0"/>
                <w:color w:val="000000"/>
                <w:sz w:val="14"/>
                <w:szCs w:val="14"/>
              </w:rPr>
            </w:pPr>
            <w:r w:rsidRPr="004C5A7A">
              <w:rPr>
                <w:rFonts w:ascii="Arial" w:hAnsi="Arial" w:cs="Arial"/>
                <w:b w:val="0"/>
                <w:bCs w:val="0"/>
                <w:color w:val="000000"/>
                <w:sz w:val="14"/>
                <w:szCs w:val="14"/>
              </w:rPr>
              <w:t xml:space="preserve">Other income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818" w:type="dxa"/>
            <w:tcBorders>
              <w:top w:val="nil"/>
              <w:left w:val="nil"/>
              <w:bottom w:val="nil"/>
              <w:right w:val="nil"/>
            </w:tcBorders>
            <w:shd w:val="clear" w:color="auto" w:fill="auto"/>
            <w:vAlign w:val="center"/>
          </w:tcPr>
          <w:p w14:paraId="414E4F0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43A883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488D3E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(19,418)</w:t>
            </w:r>
          </w:p>
        </w:tc>
        <w:tc>
          <w:tcPr>
            <w:tcW w:w="1819" w:type="dxa"/>
            <w:tcBorders>
              <w:top w:val="nil"/>
              <w:left w:val="nil"/>
              <w:bottom w:val="nil"/>
              <w:right w:val="nil"/>
            </w:tcBorders>
            <w:shd w:val="clear" w:color="auto" w:fill="auto"/>
            <w:vAlign w:val="center"/>
          </w:tcPr>
          <w:p w14:paraId="10359BEF"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(9,162)</w:t>
            </w:r>
          </w:p>
        </w:tc>
      </w:tr>
      <w:tr w:rsidR="009E215C" w:rsidRPr="004C5A7A" w14:paraId="6A9604F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587B819" w14:textId="77777777" w:rsidR="009E215C" w:rsidRPr="004C5A7A" w:rsidRDefault="009E215C">
            <w:pPr>
              <w:keepNext/>
              <w:keepLines/>
              <w:rPr>
                <w:rFonts w:ascii="Arial" w:hAnsi="Arial" w:cs="Arial"/>
                <w:color w:val="000000"/>
                <w:sz w:val="14"/>
                <w:szCs w:val="14"/>
              </w:rPr>
            </w:pPr>
            <w:r w:rsidRPr="004C5A7A">
              <w:rPr>
                <w:rFonts w:ascii="Arial" w:hAnsi="Arial" w:cs="Arial"/>
                <w:color w:val="000000"/>
                <w:sz w:val="14"/>
                <w:szCs w:val="14"/>
              </w:rPr>
              <w:t xml:space="preserve">Income </w:t>
            </w:r>
            <w:proofErr w:type="spellStart"/>
            <w:r w:rsidRPr="004C5A7A">
              <w:rPr>
                <w:rFonts w:ascii="Arial" w:hAnsi="Arial" w:cs="Arial"/>
                <w:color w:val="000000"/>
                <w:sz w:val="14"/>
                <w:szCs w:val="14"/>
              </w:rPr>
              <w:t>before</w:t>
            </w:r>
            <w:proofErr w:type="spellEnd"/>
            <w:r w:rsidRPr="004C5A7A">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62AE636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72976A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CBAFDD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5,542,482</w:t>
            </w:r>
          </w:p>
        </w:tc>
        <w:tc>
          <w:tcPr>
            <w:tcW w:w="1819" w:type="dxa"/>
            <w:tcBorders>
              <w:top w:val="nil"/>
              <w:left w:val="nil"/>
              <w:bottom w:val="nil"/>
              <w:right w:val="nil"/>
            </w:tcBorders>
            <w:shd w:val="clear" w:color="auto" w:fill="auto"/>
            <w:vAlign w:val="center"/>
          </w:tcPr>
          <w:p w14:paraId="5CA96BB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5,090,216</w:t>
            </w:r>
          </w:p>
        </w:tc>
      </w:tr>
      <w:tr w:rsidR="009E215C" w:rsidRPr="004C5A7A" w14:paraId="1B650A8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848C455" w14:textId="77777777" w:rsidR="009E215C" w:rsidRPr="004C5A7A" w:rsidRDefault="009E215C">
            <w:pPr>
              <w:keepNext/>
              <w:keepLines/>
              <w:ind w:left="113"/>
              <w:rPr>
                <w:rFonts w:ascii="Arial" w:hAnsi="Arial" w:cs="Arial"/>
                <w:b w:val="0"/>
                <w:bCs w:val="0"/>
                <w:color w:val="000000"/>
                <w:sz w:val="14"/>
                <w:szCs w:val="14"/>
                <w:lang w:val="en-US"/>
              </w:rPr>
            </w:pPr>
            <w:r w:rsidRPr="004C5A7A">
              <w:rPr>
                <w:rFonts w:ascii="Arial" w:hAnsi="Arial" w:cs="Arial"/>
                <w:b w:val="0"/>
                <w:bCs w:val="0"/>
                <w:color w:val="000000"/>
                <w:sz w:val="14"/>
                <w:szCs w:val="14"/>
                <w:lang w:val="en-US"/>
              </w:rPr>
              <w:t>Income Tax and Social Contribution</w:t>
            </w:r>
          </w:p>
        </w:tc>
        <w:tc>
          <w:tcPr>
            <w:tcW w:w="1818" w:type="dxa"/>
            <w:tcBorders>
              <w:top w:val="nil"/>
              <w:left w:val="nil"/>
              <w:bottom w:val="nil"/>
              <w:right w:val="nil"/>
            </w:tcBorders>
            <w:shd w:val="clear" w:color="auto" w:fill="auto"/>
            <w:vAlign w:val="center"/>
          </w:tcPr>
          <w:p w14:paraId="3AA0B37E"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819" w:type="dxa"/>
            <w:tcBorders>
              <w:top w:val="nil"/>
              <w:left w:val="nil"/>
              <w:bottom w:val="nil"/>
              <w:right w:val="nil"/>
            </w:tcBorders>
            <w:shd w:val="clear" w:color="auto" w:fill="auto"/>
            <w:vAlign w:val="center"/>
          </w:tcPr>
          <w:p w14:paraId="4212AE9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819" w:type="dxa"/>
            <w:tcBorders>
              <w:top w:val="nil"/>
              <w:left w:val="nil"/>
              <w:bottom w:val="nil"/>
              <w:right w:val="nil"/>
            </w:tcBorders>
            <w:shd w:val="clear" w:color="auto" w:fill="auto"/>
            <w:vAlign w:val="center"/>
          </w:tcPr>
          <w:p w14:paraId="61C1553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(1,192,113)</w:t>
            </w:r>
          </w:p>
        </w:tc>
        <w:tc>
          <w:tcPr>
            <w:tcW w:w="1819" w:type="dxa"/>
            <w:tcBorders>
              <w:top w:val="nil"/>
              <w:left w:val="nil"/>
              <w:bottom w:val="nil"/>
              <w:right w:val="nil"/>
            </w:tcBorders>
            <w:shd w:val="clear" w:color="auto" w:fill="auto"/>
            <w:vAlign w:val="center"/>
          </w:tcPr>
          <w:p w14:paraId="50EFD25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(1,187,538)</w:t>
            </w:r>
          </w:p>
        </w:tc>
      </w:tr>
      <w:tr w:rsidR="009E215C" w:rsidRPr="004C5A7A" w14:paraId="52A2242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E51BC5B"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Shares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on</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the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w:t>
            </w:r>
            <w:proofErr w:type="spellEnd"/>
          </w:p>
        </w:tc>
        <w:tc>
          <w:tcPr>
            <w:tcW w:w="1818" w:type="dxa"/>
            <w:tcBorders>
              <w:top w:val="nil"/>
              <w:left w:val="nil"/>
              <w:bottom w:val="nil"/>
              <w:right w:val="nil"/>
            </w:tcBorders>
            <w:shd w:val="clear" w:color="auto" w:fill="auto"/>
            <w:vAlign w:val="center"/>
          </w:tcPr>
          <w:p w14:paraId="70B3A45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6B4305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9AF3CF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(39,088)</w:t>
            </w:r>
          </w:p>
        </w:tc>
        <w:tc>
          <w:tcPr>
            <w:tcW w:w="1819" w:type="dxa"/>
            <w:tcBorders>
              <w:top w:val="nil"/>
              <w:left w:val="nil"/>
              <w:bottom w:val="nil"/>
              <w:right w:val="nil"/>
            </w:tcBorders>
            <w:shd w:val="clear" w:color="auto" w:fill="auto"/>
            <w:vAlign w:val="center"/>
          </w:tcPr>
          <w:p w14:paraId="12C2B4E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(31,266)</w:t>
            </w:r>
          </w:p>
        </w:tc>
      </w:tr>
      <w:tr w:rsidR="009E215C" w:rsidRPr="004C5A7A" w14:paraId="677B23C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152EFFF" w14:textId="77777777" w:rsidR="009E215C" w:rsidRPr="004C5A7A" w:rsidRDefault="009E215C">
            <w:pPr>
              <w:keepNext/>
              <w:keepLines/>
              <w:rPr>
                <w:rFonts w:ascii="Arial" w:hAnsi="Arial" w:cs="Arial"/>
                <w:color w:val="000000"/>
                <w:sz w:val="14"/>
                <w:szCs w:val="14"/>
              </w:rPr>
            </w:pPr>
            <w:r w:rsidRPr="004C5A7A">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55CDEA1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799859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7A7A00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4,311,281</w:t>
            </w:r>
          </w:p>
        </w:tc>
        <w:tc>
          <w:tcPr>
            <w:tcW w:w="1819" w:type="dxa"/>
            <w:tcBorders>
              <w:top w:val="nil"/>
              <w:left w:val="nil"/>
              <w:bottom w:val="nil"/>
              <w:right w:val="nil"/>
            </w:tcBorders>
            <w:shd w:val="clear" w:color="auto" w:fill="auto"/>
            <w:vAlign w:val="center"/>
          </w:tcPr>
          <w:p w14:paraId="34B38ED4"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3,871,412</w:t>
            </w:r>
          </w:p>
        </w:tc>
      </w:tr>
      <w:tr w:rsidR="009E215C" w:rsidRPr="004C5A7A" w14:paraId="40655A1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A1824B7"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comprehensive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results</w:t>
            </w:r>
            <w:proofErr w:type="spellEnd"/>
          </w:p>
        </w:tc>
        <w:tc>
          <w:tcPr>
            <w:tcW w:w="1818" w:type="dxa"/>
            <w:tcBorders>
              <w:top w:val="nil"/>
              <w:left w:val="nil"/>
              <w:bottom w:val="nil"/>
              <w:right w:val="nil"/>
            </w:tcBorders>
            <w:shd w:val="clear" w:color="auto" w:fill="auto"/>
            <w:vAlign w:val="center"/>
          </w:tcPr>
          <w:p w14:paraId="0B456CC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169EDB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7D1A23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(76,647)</w:t>
            </w:r>
          </w:p>
        </w:tc>
        <w:tc>
          <w:tcPr>
            <w:tcW w:w="1819" w:type="dxa"/>
            <w:tcBorders>
              <w:top w:val="nil"/>
              <w:left w:val="nil"/>
              <w:bottom w:val="nil"/>
              <w:right w:val="nil"/>
            </w:tcBorders>
            <w:shd w:val="clear" w:color="auto" w:fill="auto"/>
            <w:vAlign w:val="center"/>
          </w:tcPr>
          <w:p w14:paraId="20498AF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i/>
                <w:iCs/>
                <w:color w:val="000000"/>
                <w:sz w:val="14"/>
                <w:szCs w:val="14"/>
              </w:rPr>
            </w:pPr>
            <w:r w:rsidRPr="004C5A7A">
              <w:rPr>
                <w:rFonts w:ascii="Arial" w:hAnsi="Arial" w:cs="Arial"/>
                <w:color w:val="000000"/>
                <w:sz w:val="14"/>
                <w:szCs w:val="14"/>
              </w:rPr>
              <w:t>106,810</w:t>
            </w:r>
          </w:p>
        </w:tc>
      </w:tr>
      <w:tr w:rsidR="009E215C" w:rsidRPr="004C5A7A" w14:paraId="6E1B581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0B3DB97D"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color w:val="000000"/>
                <w:sz w:val="14"/>
                <w:szCs w:val="14"/>
              </w:rPr>
              <w:t>Comprehensive</w:t>
            </w:r>
            <w:proofErr w:type="spellEnd"/>
            <w:r w:rsidRPr="004C5A7A">
              <w:rPr>
                <w:rFonts w:ascii="Arial" w:hAnsi="Arial" w:cs="Arial"/>
                <w:color w:val="000000"/>
                <w:sz w:val="14"/>
                <w:szCs w:val="14"/>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5A01AC6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0D40BE6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07D4F8A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4,234,634</w:t>
            </w:r>
          </w:p>
        </w:tc>
        <w:tc>
          <w:tcPr>
            <w:tcW w:w="1819" w:type="dxa"/>
            <w:tcBorders>
              <w:top w:val="nil"/>
              <w:left w:val="nil"/>
              <w:bottom w:val="single" w:sz="2" w:space="0" w:color="1F3864" w:themeColor="accent1" w:themeShade="80"/>
              <w:right w:val="nil"/>
            </w:tcBorders>
            <w:shd w:val="clear" w:color="auto" w:fill="auto"/>
            <w:vAlign w:val="center"/>
          </w:tcPr>
          <w:p w14:paraId="10537E2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i/>
                <w:iCs/>
                <w:color w:val="000000"/>
                <w:sz w:val="14"/>
                <w:szCs w:val="14"/>
              </w:rPr>
            </w:pPr>
            <w:r w:rsidRPr="004C5A7A">
              <w:rPr>
                <w:rFonts w:ascii="Arial" w:hAnsi="Arial" w:cs="Arial"/>
                <w:b/>
                <w:bCs/>
                <w:color w:val="000000"/>
                <w:sz w:val="14"/>
                <w:szCs w:val="14"/>
              </w:rPr>
              <w:t>3,978,222</w:t>
            </w:r>
          </w:p>
        </w:tc>
      </w:tr>
    </w:tbl>
    <w:p w14:paraId="2A0F2D7E" w14:textId="77777777" w:rsidR="009E215C" w:rsidRPr="004C5A7A" w:rsidRDefault="009E215C" w:rsidP="00A76AF4">
      <w:pPr>
        <w:pStyle w:val="05-Textonormal"/>
        <w:numPr>
          <w:ilvl w:val="0"/>
          <w:numId w:val="27"/>
        </w:numPr>
        <w:spacing w:before="0" w:after="0"/>
        <w:ind w:left="284" w:hanging="284"/>
        <w:rPr>
          <w:rFonts w:cs="Arial"/>
          <w:bCs/>
          <w:sz w:val="14"/>
          <w:szCs w:val="16"/>
          <w:lang w:val="en-US"/>
        </w:rPr>
      </w:pPr>
      <w:r w:rsidRPr="004C5A7A">
        <w:rPr>
          <w:rFonts w:cs="Arial"/>
          <w:bCs/>
          <w:sz w:val="14"/>
          <w:szCs w:val="16"/>
          <w:lang w:val="en-US"/>
        </w:rPr>
        <w:t xml:space="preserve">BBA - </w:t>
      </w:r>
      <w:r w:rsidRPr="004C5A7A">
        <w:rPr>
          <w:rFonts w:cs="Arial"/>
          <w:bCs/>
          <w:i/>
          <w:iCs/>
          <w:sz w:val="14"/>
          <w:szCs w:val="16"/>
          <w:lang w:val="en-US"/>
        </w:rPr>
        <w:t>Building Block Approach</w:t>
      </w:r>
      <w:r w:rsidRPr="004C5A7A">
        <w:rPr>
          <w:rFonts w:cs="Arial"/>
          <w:bCs/>
          <w:sz w:val="14"/>
          <w:szCs w:val="16"/>
          <w:lang w:val="en-US"/>
        </w:rPr>
        <w:t xml:space="preserve"> (General Measurement Model) and PAA - </w:t>
      </w:r>
      <w:r w:rsidRPr="004C5A7A">
        <w:rPr>
          <w:rFonts w:cs="Arial"/>
          <w:bCs/>
          <w:i/>
          <w:iCs/>
          <w:sz w:val="14"/>
          <w:szCs w:val="16"/>
          <w:lang w:val="en-US"/>
        </w:rPr>
        <w:t>Premium Allocation Approach</w:t>
      </w:r>
      <w:r w:rsidRPr="004C5A7A">
        <w:rPr>
          <w:rFonts w:cs="Arial"/>
          <w:bCs/>
          <w:sz w:val="14"/>
          <w:szCs w:val="16"/>
          <w:lang w:val="en-US"/>
        </w:rPr>
        <w:t xml:space="preserve"> (Premium Allocation Approach).</w:t>
      </w:r>
    </w:p>
    <w:p w14:paraId="23510B06" w14:textId="77777777" w:rsidR="009E215C" w:rsidRPr="004C5A7A" w:rsidRDefault="009E215C" w:rsidP="009E215C">
      <w:pPr>
        <w:pStyle w:val="05-Textonormal"/>
        <w:rPr>
          <w:rFonts w:cs="Arial"/>
          <w:lang w:val="en-US"/>
        </w:rPr>
      </w:pPr>
    </w:p>
    <w:p w14:paraId="7720AD42" w14:textId="77777777" w:rsidR="009E215C" w:rsidRPr="004C5A7A" w:rsidRDefault="009E215C" w:rsidP="009E215C">
      <w:pPr>
        <w:pStyle w:val="05-Textonormal"/>
        <w:rPr>
          <w:rFonts w:cs="Arial"/>
          <w:lang w:val="en-US"/>
        </w:rPr>
      </w:pPr>
      <w:r w:rsidRPr="004C5A7A">
        <w:rPr>
          <w:rFonts w:cs="Arial"/>
          <w:lang w:val="en-US"/>
        </w:rPr>
        <w:t>The impacts of adopting CPC 50 [IFRS 17], in 2024 and 2023, and of CPC 48 [IFRS 9], in 2023, on Net income and Comprehensive Income, for comparability purposes, are shown in the following table:</w:t>
      </w:r>
    </w:p>
    <w:p w14:paraId="3BA3B324"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45"/>
        <w:gridCol w:w="1246"/>
        <w:gridCol w:w="108"/>
        <w:gridCol w:w="1615"/>
        <w:gridCol w:w="108"/>
        <w:gridCol w:w="1600"/>
        <w:gridCol w:w="15"/>
        <w:gridCol w:w="1771"/>
        <w:gridCol w:w="31"/>
      </w:tblGrid>
      <w:tr w:rsidR="009E215C" w:rsidRPr="004C5A7A" w14:paraId="54F58FF2"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3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1C30CA" w14:textId="77777777" w:rsidR="009E215C" w:rsidRPr="004C5A7A" w:rsidRDefault="009E215C">
            <w:pPr>
              <w:jc w:val="center"/>
              <w:rPr>
                <w:rFonts w:ascii="Arial" w:hAnsi="Arial" w:cs="Arial"/>
                <w:sz w:val="14"/>
                <w:szCs w:val="14"/>
                <w:lang w:val="en-US"/>
              </w:rPr>
            </w:pPr>
          </w:p>
        </w:tc>
        <w:tc>
          <w:tcPr>
            <w:tcW w:w="135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5E887E83"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1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6A4C38"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9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9FAD802"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rPr>
              <w:t>2024</w:t>
            </w:r>
          </w:p>
        </w:tc>
        <w:tc>
          <w:tcPr>
            <w:tcW w:w="1811"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3DB27F"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rPr>
              <w:t>2023</w:t>
            </w:r>
          </w:p>
        </w:tc>
      </w:tr>
      <w:tr w:rsidR="009E215C" w:rsidRPr="004C5A7A" w14:paraId="5A95A624" w14:textId="77777777">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35" w:type="dxa"/>
            <w:tcBorders>
              <w:top w:val="single" w:sz="2" w:space="0" w:color="1F3864" w:themeColor="accent1" w:themeShade="80"/>
              <w:left w:val="nil"/>
              <w:bottom w:val="nil"/>
              <w:right w:val="nil"/>
            </w:tcBorders>
            <w:shd w:val="clear" w:color="auto" w:fill="auto"/>
            <w:vAlign w:val="center"/>
          </w:tcPr>
          <w:p w14:paraId="6BA020A3" w14:textId="77777777" w:rsidR="009E215C" w:rsidRPr="004C5A7A" w:rsidRDefault="009E215C">
            <w:pPr>
              <w:keepNext/>
              <w:keepLines/>
              <w:rPr>
                <w:rFonts w:ascii="Arial" w:eastAsia="Times New Roman" w:hAnsi="Arial" w:cs="Arial"/>
                <w:b w:val="0"/>
                <w:bCs w:val="0"/>
                <w:spacing w:val="-2"/>
                <w:sz w:val="14"/>
                <w:szCs w:val="14"/>
                <w:lang w:val="en-US"/>
              </w:rPr>
            </w:pPr>
            <w:r w:rsidRPr="004C5A7A">
              <w:rPr>
                <w:rFonts w:ascii="Arial" w:hAnsi="Arial" w:cs="Arial"/>
                <w:b w:val="0"/>
                <w:bCs w:val="0"/>
                <w:sz w:val="14"/>
                <w:szCs w:val="14"/>
                <w:lang w:val="en-US"/>
              </w:rPr>
              <w:t>Net income - BRGAAP and IFRS</w:t>
            </w:r>
          </w:p>
        </w:tc>
        <w:tc>
          <w:tcPr>
            <w:tcW w:w="1242" w:type="dxa"/>
            <w:tcBorders>
              <w:top w:val="single" w:sz="2" w:space="0" w:color="1F3864" w:themeColor="accent1" w:themeShade="80"/>
              <w:left w:val="nil"/>
              <w:bottom w:val="nil"/>
              <w:right w:val="nil"/>
            </w:tcBorders>
            <w:shd w:val="clear" w:color="auto" w:fill="auto"/>
            <w:vAlign w:val="center"/>
          </w:tcPr>
          <w:p w14:paraId="7910F25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18" w:type="dxa"/>
            <w:gridSpan w:val="2"/>
            <w:tcBorders>
              <w:top w:val="single" w:sz="2" w:space="0" w:color="1F3864" w:themeColor="accent1" w:themeShade="80"/>
              <w:left w:val="nil"/>
              <w:bottom w:val="nil"/>
              <w:right w:val="nil"/>
            </w:tcBorders>
            <w:shd w:val="clear" w:color="auto" w:fill="auto"/>
            <w:vAlign w:val="center"/>
          </w:tcPr>
          <w:p w14:paraId="1A2EE26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18" w:type="dxa"/>
            <w:gridSpan w:val="3"/>
            <w:tcBorders>
              <w:top w:val="single" w:sz="2" w:space="0" w:color="1F3864" w:themeColor="accent1" w:themeShade="80"/>
              <w:left w:val="nil"/>
              <w:bottom w:val="nil"/>
              <w:right w:val="nil"/>
            </w:tcBorders>
            <w:shd w:val="clear" w:color="auto" w:fill="auto"/>
            <w:vAlign w:val="center"/>
          </w:tcPr>
          <w:p w14:paraId="13AF822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4,311,281</w:t>
            </w:r>
          </w:p>
        </w:tc>
        <w:tc>
          <w:tcPr>
            <w:tcW w:w="1765" w:type="dxa"/>
            <w:tcBorders>
              <w:top w:val="single" w:sz="2" w:space="0" w:color="1F3864" w:themeColor="accent1" w:themeShade="80"/>
              <w:left w:val="nil"/>
              <w:bottom w:val="nil"/>
              <w:right w:val="nil"/>
            </w:tcBorders>
            <w:shd w:val="clear" w:color="auto" w:fill="auto"/>
            <w:vAlign w:val="center"/>
          </w:tcPr>
          <w:p w14:paraId="4F21B12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3,871,412 </w:t>
            </w:r>
          </w:p>
        </w:tc>
      </w:tr>
      <w:tr w:rsidR="009E215C" w:rsidRPr="004C5A7A" w14:paraId="41925841" w14:textId="77777777">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35" w:type="dxa"/>
            <w:tcBorders>
              <w:top w:val="nil"/>
              <w:left w:val="nil"/>
              <w:bottom w:val="nil"/>
              <w:right w:val="nil"/>
            </w:tcBorders>
            <w:shd w:val="clear" w:color="auto" w:fill="auto"/>
            <w:vAlign w:val="center"/>
          </w:tcPr>
          <w:p w14:paraId="3A139AC8"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Net income - SUSEPGAAP</w:t>
            </w:r>
          </w:p>
        </w:tc>
        <w:tc>
          <w:tcPr>
            <w:tcW w:w="1242" w:type="dxa"/>
            <w:tcBorders>
              <w:top w:val="nil"/>
              <w:left w:val="nil"/>
              <w:bottom w:val="nil"/>
              <w:right w:val="nil"/>
            </w:tcBorders>
            <w:shd w:val="clear" w:color="auto" w:fill="auto"/>
            <w:vAlign w:val="center"/>
          </w:tcPr>
          <w:p w14:paraId="1D25AD1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18" w:type="dxa"/>
            <w:gridSpan w:val="2"/>
            <w:tcBorders>
              <w:top w:val="nil"/>
              <w:left w:val="nil"/>
              <w:bottom w:val="nil"/>
              <w:right w:val="nil"/>
            </w:tcBorders>
            <w:shd w:val="clear" w:color="auto" w:fill="auto"/>
            <w:vAlign w:val="center"/>
          </w:tcPr>
          <w:p w14:paraId="496F362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18" w:type="dxa"/>
            <w:gridSpan w:val="3"/>
            <w:tcBorders>
              <w:top w:val="nil"/>
              <w:left w:val="nil"/>
              <w:bottom w:val="nil"/>
              <w:right w:val="nil"/>
            </w:tcBorders>
            <w:shd w:val="clear" w:color="auto" w:fill="auto"/>
            <w:vAlign w:val="center"/>
          </w:tcPr>
          <w:p w14:paraId="4A7D89B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4,368,416 </w:t>
            </w:r>
          </w:p>
        </w:tc>
        <w:tc>
          <w:tcPr>
            <w:tcW w:w="1765" w:type="dxa"/>
            <w:tcBorders>
              <w:top w:val="nil"/>
              <w:left w:val="nil"/>
              <w:bottom w:val="nil"/>
              <w:right w:val="nil"/>
            </w:tcBorders>
            <w:shd w:val="clear" w:color="auto" w:fill="auto"/>
            <w:vAlign w:val="center"/>
          </w:tcPr>
          <w:p w14:paraId="4D188AD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4,024,375 </w:t>
            </w:r>
          </w:p>
        </w:tc>
      </w:tr>
      <w:tr w:rsidR="009E215C" w:rsidRPr="004C5A7A" w14:paraId="58790183" w14:textId="77777777">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35" w:type="dxa"/>
            <w:tcBorders>
              <w:top w:val="nil"/>
              <w:left w:val="nil"/>
              <w:bottom w:val="nil"/>
              <w:right w:val="nil"/>
            </w:tcBorders>
            <w:shd w:val="clear" w:color="auto" w:fill="auto"/>
            <w:vAlign w:val="center"/>
          </w:tcPr>
          <w:p w14:paraId="265097C5" w14:textId="77777777" w:rsidR="009E215C" w:rsidRPr="004C5A7A" w:rsidRDefault="009E215C">
            <w:pPr>
              <w:keepNext/>
              <w:keepLines/>
              <w:rPr>
                <w:rFonts w:ascii="Arial" w:hAnsi="Arial" w:cs="Arial"/>
                <w:b w:val="0"/>
                <w:bCs w:val="0"/>
                <w:sz w:val="14"/>
                <w:szCs w:val="14"/>
              </w:rPr>
            </w:pPr>
          </w:p>
        </w:tc>
        <w:tc>
          <w:tcPr>
            <w:tcW w:w="1242" w:type="dxa"/>
            <w:tcBorders>
              <w:top w:val="nil"/>
              <w:left w:val="nil"/>
              <w:bottom w:val="nil"/>
              <w:right w:val="nil"/>
            </w:tcBorders>
            <w:shd w:val="clear" w:color="auto" w:fill="auto"/>
            <w:vAlign w:val="center"/>
          </w:tcPr>
          <w:p w14:paraId="7CDB387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18" w:type="dxa"/>
            <w:gridSpan w:val="2"/>
            <w:tcBorders>
              <w:top w:val="nil"/>
              <w:left w:val="nil"/>
              <w:bottom w:val="nil"/>
              <w:right w:val="nil"/>
            </w:tcBorders>
            <w:shd w:val="clear" w:color="auto" w:fill="auto"/>
            <w:vAlign w:val="center"/>
          </w:tcPr>
          <w:p w14:paraId="0111BCD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18" w:type="dxa"/>
            <w:gridSpan w:val="3"/>
            <w:tcBorders>
              <w:top w:val="nil"/>
              <w:left w:val="nil"/>
              <w:bottom w:val="nil"/>
              <w:right w:val="nil"/>
            </w:tcBorders>
            <w:shd w:val="clear" w:color="auto" w:fill="auto"/>
            <w:vAlign w:val="center"/>
          </w:tcPr>
          <w:p w14:paraId="20856F6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65" w:type="dxa"/>
            <w:tcBorders>
              <w:top w:val="nil"/>
              <w:left w:val="nil"/>
              <w:bottom w:val="nil"/>
              <w:right w:val="nil"/>
            </w:tcBorders>
            <w:shd w:val="clear" w:color="auto" w:fill="auto"/>
            <w:vAlign w:val="center"/>
          </w:tcPr>
          <w:p w14:paraId="3A0E7A5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E215C" w:rsidRPr="004C5A7A" w14:paraId="26AF265E" w14:textId="77777777">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35" w:type="dxa"/>
            <w:tcBorders>
              <w:top w:val="nil"/>
              <w:left w:val="nil"/>
              <w:bottom w:val="nil"/>
              <w:right w:val="nil"/>
            </w:tcBorders>
            <w:shd w:val="clear" w:color="auto" w:fill="auto"/>
            <w:vAlign w:val="center"/>
          </w:tcPr>
          <w:p w14:paraId="353BD7E8" w14:textId="77777777" w:rsidR="009E215C" w:rsidRPr="004C5A7A" w:rsidRDefault="009E215C">
            <w:pPr>
              <w:keepNext/>
              <w:keepLines/>
              <w:spacing w:before="40" w:after="40"/>
              <w:ind w:right="-455"/>
              <w:rPr>
                <w:rFonts w:ascii="Arial" w:hAnsi="Arial" w:cs="Arial"/>
                <w:b w:val="0"/>
                <w:bCs w:val="0"/>
                <w:sz w:val="14"/>
                <w:szCs w:val="14"/>
                <w:lang w:val="en-US"/>
              </w:rPr>
            </w:pPr>
            <w:r w:rsidRPr="004C5A7A">
              <w:rPr>
                <w:rFonts w:ascii="Arial" w:hAnsi="Arial" w:cs="Arial"/>
                <w:sz w:val="14"/>
                <w:szCs w:val="14"/>
                <w:lang w:val="en-US"/>
              </w:rPr>
              <w:t xml:space="preserve">Comprehensive income </w:t>
            </w:r>
            <w:r w:rsidRPr="004C5A7A">
              <w:rPr>
                <w:rFonts w:ascii="Arial" w:hAnsi="Arial" w:cs="Arial"/>
                <w:b w:val="0"/>
                <w:bCs w:val="0"/>
                <w:sz w:val="14"/>
                <w:szCs w:val="14"/>
                <w:lang w:val="en-US"/>
              </w:rPr>
              <w:t>- BRGAAP and IFRS</w:t>
            </w:r>
          </w:p>
        </w:tc>
        <w:tc>
          <w:tcPr>
            <w:tcW w:w="1242" w:type="dxa"/>
            <w:tcBorders>
              <w:top w:val="nil"/>
              <w:left w:val="nil"/>
              <w:bottom w:val="nil"/>
              <w:right w:val="nil"/>
            </w:tcBorders>
            <w:shd w:val="clear" w:color="auto" w:fill="auto"/>
            <w:vAlign w:val="center"/>
          </w:tcPr>
          <w:p w14:paraId="53D6A68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18" w:type="dxa"/>
            <w:gridSpan w:val="2"/>
            <w:tcBorders>
              <w:top w:val="nil"/>
              <w:left w:val="nil"/>
              <w:bottom w:val="nil"/>
              <w:right w:val="nil"/>
            </w:tcBorders>
            <w:shd w:val="clear" w:color="auto" w:fill="auto"/>
            <w:vAlign w:val="center"/>
          </w:tcPr>
          <w:p w14:paraId="6CBFCC0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18" w:type="dxa"/>
            <w:gridSpan w:val="3"/>
            <w:tcBorders>
              <w:top w:val="nil"/>
              <w:left w:val="nil"/>
              <w:bottom w:val="nil"/>
              <w:right w:val="nil"/>
            </w:tcBorders>
            <w:shd w:val="clear" w:color="auto" w:fill="auto"/>
            <w:vAlign w:val="center"/>
          </w:tcPr>
          <w:p w14:paraId="1502345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4,234,634 </w:t>
            </w:r>
          </w:p>
        </w:tc>
        <w:tc>
          <w:tcPr>
            <w:tcW w:w="1765" w:type="dxa"/>
            <w:tcBorders>
              <w:top w:val="nil"/>
              <w:left w:val="nil"/>
              <w:bottom w:val="nil"/>
              <w:right w:val="nil"/>
            </w:tcBorders>
            <w:shd w:val="clear" w:color="auto" w:fill="auto"/>
            <w:vAlign w:val="center"/>
          </w:tcPr>
          <w:p w14:paraId="109E5EF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3,978,222</w:t>
            </w:r>
          </w:p>
        </w:tc>
      </w:tr>
      <w:tr w:rsidR="009E215C" w:rsidRPr="004C5A7A" w14:paraId="646D82D7" w14:textId="77777777">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35" w:type="dxa"/>
            <w:tcBorders>
              <w:top w:val="nil"/>
              <w:left w:val="nil"/>
              <w:bottom w:val="single" w:sz="2" w:space="0" w:color="1F3864" w:themeColor="accent1" w:themeShade="80"/>
              <w:right w:val="nil"/>
            </w:tcBorders>
            <w:shd w:val="clear" w:color="auto" w:fill="auto"/>
            <w:vAlign w:val="center"/>
          </w:tcPr>
          <w:p w14:paraId="285FB3CD"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income - SUSEPGAAP</w:t>
            </w:r>
          </w:p>
        </w:tc>
        <w:tc>
          <w:tcPr>
            <w:tcW w:w="1242" w:type="dxa"/>
            <w:tcBorders>
              <w:top w:val="nil"/>
              <w:left w:val="nil"/>
              <w:bottom w:val="single" w:sz="2" w:space="0" w:color="1F3864" w:themeColor="accent1" w:themeShade="80"/>
              <w:right w:val="nil"/>
            </w:tcBorders>
            <w:shd w:val="clear" w:color="auto" w:fill="auto"/>
            <w:vAlign w:val="center"/>
          </w:tcPr>
          <w:p w14:paraId="7A81762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18" w:type="dxa"/>
            <w:gridSpan w:val="2"/>
            <w:tcBorders>
              <w:top w:val="nil"/>
              <w:left w:val="nil"/>
              <w:bottom w:val="single" w:sz="2" w:space="0" w:color="1F3864" w:themeColor="accent1" w:themeShade="80"/>
              <w:right w:val="nil"/>
            </w:tcBorders>
            <w:shd w:val="clear" w:color="auto" w:fill="auto"/>
            <w:vAlign w:val="center"/>
          </w:tcPr>
          <w:p w14:paraId="539F406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18" w:type="dxa"/>
            <w:gridSpan w:val="3"/>
            <w:tcBorders>
              <w:top w:val="nil"/>
              <w:left w:val="nil"/>
              <w:bottom w:val="single" w:sz="2" w:space="0" w:color="1F3864" w:themeColor="accent1" w:themeShade="80"/>
              <w:right w:val="nil"/>
            </w:tcBorders>
            <w:shd w:val="clear" w:color="auto" w:fill="auto"/>
            <w:vAlign w:val="center"/>
          </w:tcPr>
          <w:p w14:paraId="1F75FE0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4,318,140 </w:t>
            </w:r>
          </w:p>
        </w:tc>
        <w:tc>
          <w:tcPr>
            <w:tcW w:w="1765" w:type="dxa"/>
            <w:tcBorders>
              <w:top w:val="nil"/>
              <w:left w:val="nil"/>
              <w:bottom w:val="single" w:sz="2" w:space="0" w:color="1F3864" w:themeColor="accent1" w:themeShade="80"/>
              <w:right w:val="nil"/>
            </w:tcBorders>
            <w:shd w:val="clear" w:color="auto" w:fill="auto"/>
            <w:vAlign w:val="center"/>
          </w:tcPr>
          <w:p w14:paraId="0C9FAAF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4,101,613</w:t>
            </w:r>
          </w:p>
        </w:tc>
      </w:tr>
    </w:tbl>
    <w:p w14:paraId="58416126"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5F38CFFC" w14:textId="77777777" w:rsidR="009E215C" w:rsidRPr="004C5A7A" w:rsidRDefault="009E215C" w:rsidP="009E215C">
      <w:pPr>
        <w:keepNext/>
        <w:keepLines/>
        <w:pageBreakBefore/>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lastRenderedPageBreak/>
        <w:t>Balance Sheet Information</w:t>
      </w:r>
    </w:p>
    <w:p w14:paraId="218FE6F1"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289B70B6"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E215C" w:rsidRPr="004C5A7A" w14:paraId="73121F5D"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E3FC2B1" w14:textId="77777777" w:rsidR="009E215C" w:rsidRPr="004C5A7A" w:rsidRDefault="009E215C">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F1CF292"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927EAA"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31, 20223</w:t>
            </w:r>
          </w:p>
        </w:tc>
      </w:tr>
      <w:tr w:rsidR="009E215C" w:rsidRPr="004C5A7A" w14:paraId="1EAEF4E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194A2A4C" w14:textId="77777777" w:rsidR="009E215C" w:rsidRPr="004C5A7A" w:rsidRDefault="009E215C">
            <w:pPr>
              <w:keepNext/>
              <w:keepLines/>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4D4574A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8,509,780</w:t>
            </w:r>
          </w:p>
        </w:tc>
        <w:tc>
          <w:tcPr>
            <w:tcW w:w="3260" w:type="dxa"/>
            <w:tcBorders>
              <w:top w:val="single" w:sz="2" w:space="0" w:color="1F3864" w:themeColor="accent1" w:themeShade="80"/>
              <w:left w:val="nil"/>
              <w:bottom w:val="nil"/>
              <w:right w:val="nil"/>
            </w:tcBorders>
            <w:shd w:val="clear" w:color="auto" w:fill="auto"/>
            <w:vAlign w:val="center"/>
          </w:tcPr>
          <w:p w14:paraId="7C99431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10,230,237</w:t>
            </w:r>
          </w:p>
        </w:tc>
      </w:tr>
      <w:tr w:rsidR="009E215C" w:rsidRPr="004C5A7A" w14:paraId="518924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F673B9"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Cash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cash </w:t>
            </w:r>
            <w:proofErr w:type="spellStart"/>
            <w:r w:rsidRPr="004C5A7A">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center"/>
          </w:tcPr>
          <w:p w14:paraId="61C25B5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10,206</w:t>
            </w:r>
          </w:p>
        </w:tc>
        <w:tc>
          <w:tcPr>
            <w:tcW w:w="3260" w:type="dxa"/>
            <w:tcBorders>
              <w:top w:val="nil"/>
              <w:left w:val="nil"/>
              <w:bottom w:val="nil"/>
              <w:right w:val="nil"/>
            </w:tcBorders>
            <w:shd w:val="clear" w:color="auto" w:fill="auto"/>
            <w:vAlign w:val="center"/>
          </w:tcPr>
          <w:p w14:paraId="78362DD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1,656</w:t>
            </w:r>
          </w:p>
        </w:tc>
      </w:tr>
      <w:tr w:rsidR="009E215C" w:rsidRPr="004C5A7A" w14:paraId="2C2CF68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47B16F" w14:textId="77777777" w:rsidR="009E215C" w:rsidRPr="004C5A7A" w:rsidRDefault="009E215C">
            <w:pPr>
              <w:keepNext/>
              <w:keepLines/>
              <w:ind w:left="113"/>
              <w:rPr>
                <w:rFonts w:ascii="Arial" w:eastAsia="Times New Roman" w:hAnsi="Arial" w:cs="Arial"/>
                <w:b w:val="0"/>
                <w:bCs w:val="0"/>
                <w:spacing w:val="-2"/>
                <w:sz w:val="14"/>
                <w:szCs w:val="14"/>
                <w:highlight w:val="yellow"/>
              </w:rPr>
            </w:pPr>
            <w:proofErr w:type="spellStart"/>
            <w:r w:rsidRPr="004C5A7A">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center"/>
          </w:tcPr>
          <w:p w14:paraId="7A6EB38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105,089</w:t>
            </w:r>
          </w:p>
        </w:tc>
        <w:tc>
          <w:tcPr>
            <w:tcW w:w="3260" w:type="dxa"/>
            <w:tcBorders>
              <w:top w:val="nil"/>
              <w:left w:val="nil"/>
              <w:bottom w:val="nil"/>
              <w:right w:val="nil"/>
            </w:tcBorders>
            <w:shd w:val="clear" w:color="auto" w:fill="auto"/>
            <w:vAlign w:val="center"/>
          </w:tcPr>
          <w:p w14:paraId="03E9674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317,733</w:t>
            </w:r>
          </w:p>
        </w:tc>
      </w:tr>
      <w:tr w:rsidR="009E215C" w:rsidRPr="004C5A7A" w14:paraId="331CB81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3FA4EB1"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44A9B83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7,585,057</w:t>
            </w:r>
          </w:p>
        </w:tc>
        <w:tc>
          <w:tcPr>
            <w:tcW w:w="3260" w:type="dxa"/>
            <w:tcBorders>
              <w:top w:val="nil"/>
              <w:left w:val="nil"/>
              <w:bottom w:val="nil"/>
              <w:right w:val="nil"/>
            </w:tcBorders>
            <w:shd w:val="clear" w:color="auto" w:fill="auto"/>
            <w:vAlign w:val="center"/>
          </w:tcPr>
          <w:p w14:paraId="3E0DD12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8,473,935</w:t>
            </w:r>
          </w:p>
        </w:tc>
      </w:tr>
      <w:tr w:rsidR="009E215C" w:rsidRPr="004C5A7A" w14:paraId="0B5EF5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FCEAFFA" w14:textId="77777777" w:rsidR="009E215C" w:rsidRPr="004C5A7A" w:rsidRDefault="009E215C">
            <w:pPr>
              <w:keepNext/>
              <w:keepLines/>
              <w:ind w:left="113"/>
              <w:rPr>
                <w:rFonts w:ascii="Arial" w:hAnsi="Arial" w:cs="Arial"/>
                <w:b w:val="0"/>
                <w:bCs w:val="0"/>
                <w:color w:val="000000"/>
                <w:sz w:val="14"/>
                <w:szCs w:val="14"/>
                <w:highlight w:val="yellow"/>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w:t>
            </w:r>
            <w:r w:rsidRPr="004C5A7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67420C6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682,430</w:t>
            </w:r>
          </w:p>
        </w:tc>
        <w:tc>
          <w:tcPr>
            <w:tcW w:w="3260" w:type="dxa"/>
            <w:tcBorders>
              <w:top w:val="nil"/>
              <w:left w:val="nil"/>
              <w:bottom w:val="nil"/>
              <w:right w:val="nil"/>
            </w:tcBorders>
            <w:shd w:val="clear" w:color="auto" w:fill="auto"/>
            <w:vAlign w:val="center"/>
          </w:tcPr>
          <w:p w14:paraId="6BE355C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1,349,821</w:t>
            </w:r>
          </w:p>
        </w:tc>
      </w:tr>
      <w:tr w:rsidR="009E215C" w:rsidRPr="004C5A7A" w14:paraId="181FCB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0E8E3F" w14:textId="77777777" w:rsidR="009E215C" w:rsidRPr="004C5A7A" w:rsidRDefault="009E215C">
            <w:pPr>
              <w:keepNext/>
              <w:keepLines/>
              <w:ind w:left="113"/>
              <w:rPr>
                <w:rFonts w:ascii="Arial" w:hAnsi="Arial" w:cs="Arial"/>
                <w:b w:val="0"/>
                <w:bCs w:val="0"/>
                <w:color w:val="000000"/>
                <w:sz w:val="14"/>
                <w:szCs w:val="14"/>
                <w:highlight w:val="yellow"/>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2A73E35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96,685</w:t>
            </w:r>
          </w:p>
        </w:tc>
        <w:tc>
          <w:tcPr>
            <w:tcW w:w="3260" w:type="dxa"/>
            <w:tcBorders>
              <w:top w:val="nil"/>
              <w:left w:val="nil"/>
              <w:bottom w:val="nil"/>
              <w:right w:val="nil"/>
            </w:tcBorders>
            <w:shd w:val="clear" w:color="auto" w:fill="auto"/>
            <w:vAlign w:val="center"/>
          </w:tcPr>
          <w:p w14:paraId="3AE5ACB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75,734</w:t>
            </w:r>
          </w:p>
        </w:tc>
      </w:tr>
      <w:tr w:rsidR="009E215C" w:rsidRPr="004C5A7A" w14:paraId="44335FD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BEE655" w14:textId="77777777" w:rsidR="009E215C" w:rsidRPr="004C5A7A" w:rsidRDefault="009E215C">
            <w:pPr>
              <w:keepNext/>
              <w:keepLines/>
              <w:spacing w:before="40" w:after="40"/>
              <w:ind w:left="113"/>
              <w:rPr>
                <w:rFonts w:ascii="Arial" w:hAnsi="Arial" w:cs="Arial"/>
                <w:b w:val="0"/>
                <w:bCs w:val="0"/>
                <w:sz w:val="14"/>
                <w:szCs w:val="14"/>
                <w:highlight w:val="yellow"/>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34970E7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30,313</w:t>
            </w:r>
          </w:p>
        </w:tc>
        <w:tc>
          <w:tcPr>
            <w:tcW w:w="3260" w:type="dxa"/>
            <w:tcBorders>
              <w:top w:val="nil"/>
              <w:left w:val="nil"/>
              <w:bottom w:val="nil"/>
              <w:right w:val="nil"/>
            </w:tcBorders>
            <w:shd w:val="clear" w:color="auto" w:fill="auto"/>
            <w:vAlign w:val="center"/>
          </w:tcPr>
          <w:p w14:paraId="2212BEE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11,358</w:t>
            </w:r>
          </w:p>
        </w:tc>
      </w:tr>
      <w:tr w:rsidR="009E215C" w:rsidRPr="004C5A7A" w14:paraId="04F0475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EFA6FA" w14:textId="77777777" w:rsidR="009E215C" w:rsidRPr="004C5A7A" w:rsidRDefault="009E215C">
            <w:pPr>
              <w:keepNext/>
              <w:keepLines/>
              <w:spacing w:before="40" w:after="40"/>
              <w:rPr>
                <w:rFonts w:ascii="Arial" w:hAnsi="Arial" w:cs="Arial"/>
                <w:sz w:val="14"/>
                <w:szCs w:val="14"/>
                <w:highlight w:val="yellow"/>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61E5745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4,367,509</w:t>
            </w:r>
          </w:p>
        </w:tc>
        <w:tc>
          <w:tcPr>
            <w:tcW w:w="3260" w:type="dxa"/>
            <w:tcBorders>
              <w:top w:val="nil"/>
              <w:left w:val="nil"/>
              <w:bottom w:val="nil"/>
              <w:right w:val="nil"/>
            </w:tcBorders>
            <w:shd w:val="clear" w:color="auto" w:fill="auto"/>
            <w:vAlign w:val="center"/>
          </w:tcPr>
          <w:p w14:paraId="3AAC742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3,219,328</w:t>
            </w:r>
          </w:p>
        </w:tc>
      </w:tr>
      <w:tr w:rsidR="009E215C" w:rsidRPr="004C5A7A" w14:paraId="340C05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EDD2A3" w14:textId="77777777" w:rsidR="009E215C" w:rsidRPr="004C5A7A" w:rsidRDefault="009E215C">
            <w:pPr>
              <w:keepNext/>
              <w:keepLines/>
              <w:spacing w:before="40" w:after="40"/>
              <w:ind w:left="113"/>
              <w:rPr>
                <w:rFonts w:ascii="Arial" w:hAnsi="Arial" w:cs="Arial"/>
                <w:b w:val="0"/>
                <w:bCs w:val="0"/>
                <w:sz w:val="14"/>
                <w:szCs w:val="14"/>
                <w:highlight w:val="yellow"/>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0EB67EA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2,266,623</w:t>
            </w:r>
          </w:p>
        </w:tc>
        <w:tc>
          <w:tcPr>
            <w:tcW w:w="3260" w:type="dxa"/>
            <w:tcBorders>
              <w:top w:val="nil"/>
              <w:left w:val="nil"/>
              <w:bottom w:val="nil"/>
              <w:right w:val="nil"/>
            </w:tcBorders>
            <w:shd w:val="clear" w:color="auto" w:fill="auto"/>
            <w:vAlign w:val="center"/>
          </w:tcPr>
          <w:p w14:paraId="0A24779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1,384,199</w:t>
            </w:r>
          </w:p>
        </w:tc>
      </w:tr>
      <w:tr w:rsidR="009E215C" w:rsidRPr="004C5A7A" w14:paraId="2FD7EC9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45EEFE"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w:t>
            </w:r>
            <w:r w:rsidRPr="004C5A7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31EE685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224,922</w:t>
            </w:r>
          </w:p>
        </w:tc>
        <w:tc>
          <w:tcPr>
            <w:tcW w:w="3260" w:type="dxa"/>
            <w:tcBorders>
              <w:top w:val="nil"/>
              <w:left w:val="nil"/>
              <w:bottom w:val="nil"/>
              <w:right w:val="nil"/>
            </w:tcBorders>
            <w:shd w:val="clear" w:color="auto" w:fill="auto"/>
            <w:vAlign w:val="center"/>
          </w:tcPr>
          <w:p w14:paraId="22263BF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w:t>
            </w:r>
          </w:p>
        </w:tc>
      </w:tr>
      <w:tr w:rsidR="009E215C" w:rsidRPr="004C5A7A" w14:paraId="282D8C1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9D3A79" w14:textId="77777777" w:rsidR="009E215C" w:rsidRPr="004C5A7A" w:rsidRDefault="009E215C">
            <w:pPr>
              <w:keepNext/>
              <w:keepLines/>
              <w:ind w:left="113"/>
              <w:rPr>
                <w:rFonts w:ascii="Arial" w:hAnsi="Arial" w:cs="Arial"/>
                <w:b w:val="0"/>
                <w:bCs w:val="0"/>
                <w:color w:val="000000"/>
                <w:sz w:val="14"/>
                <w:szCs w:val="14"/>
                <w:highlight w:val="yellow"/>
              </w:rPr>
            </w:pPr>
            <w:proofErr w:type="spellStart"/>
            <w:r w:rsidRPr="004C5A7A">
              <w:rPr>
                <w:rFonts w:ascii="Arial" w:hAnsi="Arial" w:cs="Arial"/>
                <w:b w:val="0"/>
                <w:bCs w:val="0"/>
                <w:color w:val="000000"/>
                <w:sz w:val="14"/>
                <w:szCs w:val="14"/>
              </w:rPr>
              <w:t>Deferred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6FD8FBF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318,913</w:t>
            </w:r>
          </w:p>
        </w:tc>
        <w:tc>
          <w:tcPr>
            <w:tcW w:w="3260" w:type="dxa"/>
            <w:tcBorders>
              <w:top w:val="nil"/>
              <w:left w:val="nil"/>
              <w:bottom w:val="nil"/>
              <w:right w:val="nil"/>
            </w:tcBorders>
            <w:shd w:val="clear" w:color="auto" w:fill="auto"/>
            <w:vAlign w:val="center"/>
          </w:tcPr>
          <w:p w14:paraId="7246FB8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sz w:val="14"/>
                <w:szCs w:val="14"/>
              </w:rPr>
              <w:t>264,480</w:t>
            </w:r>
          </w:p>
        </w:tc>
      </w:tr>
      <w:tr w:rsidR="009E215C" w:rsidRPr="004C5A7A" w14:paraId="443E8C5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635066" w14:textId="77777777" w:rsidR="009E215C" w:rsidRPr="004C5A7A" w:rsidRDefault="009E215C">
            <w:pPr>
              <w:keepNext/>
              <w:keepLines/>
              <w:spacing w:before="40" w:after="40"/>
              <w:ind w:left="113"/>
              <w:rPr>
                <w:rFonts w:ascii="Arial" w:eastAsia="Times New Roman" w:hAnsi="Arial" w:cs="Arial"/>
                <w:b w:val="0"/>
                <w:bCs w:val="0"/>
                <w:spacing w:val="-2"/>
                <w:sz w:val="14"/>
                <w:szCs w:val="14"/>
                <w:highlight w:val="yellow"/>
              </w:rPr>
            </w:pPr>
            <w:proofErr w:type="spellStart"/>
            <w:r w:rsidRPr="004C5A7A">
              <w:rPr>
                <w:rFonts w:ascii="Arial" w:hAnsi="Arial" w:cs="Arial"/>
                <w:b w:val="0"/>
                <w:bCs w:val="0"/>
                <w:color w:val="000000"/>
                <w:sz w:val="14"/>
                <w:szCs w:val="14"/>
              </w:rPr>
              <w:t>Fixed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5B104C4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504,211</w:t>
            </w:r>
          </w:p>
        </w:tc>
        <w:tc>
          <w:tcPr>
            <w:tcW w:w="3260" w:type="dxa"/>
            <w:tcBorders>
              <w:top w:val="nil"/>
              <w:left w:val="nil"/>
              <w:bottom w:val="nil"/>
              <w:right w:val="nil"/>
            </w:tcBorders>
            <w:shd w:val="clear" w:color="auto" w:fill="auto"/>
            <w:vAlign w:val="center"/>
          </w:tcPr>
          <w:p w14:paraId="1B4BC12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497,723</w:t>
            </w:r>
          </w:p>
        </w:tc>
      </w:tr>
      <w:tr w:rsidR="009E215C" w:rsidRPr="004C5A7A" w14:paraId="34020AC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9B2A98" w14:textId="77777777" w:rsidR="009E215C" w:rsidRPr="004C5A7A" w:rsidRDefault="009E215C">
            <w:pPr>
              <w:keepNext/>
              <w:keepLines/>
              <w:ind w:left="113"/>
              <w:rPr>
                <w:rFonts w:ascii="Arial" w:hAnsi="Arial" w:cs="Arial"/>
                <w:b w:val="0"/>
                <w:bCs w:val="0"/>
                <w:color w:val="000000"/>
                <w:sz w:val="14"/>
                <w:szCs w:val="14"/>
                <w:highlight w:val="yellow"/>
              </w:rPr>
            </w:pPr>
            <w:r w:rsidRPr="004C5A7A">
              <w:rPr>
                <w:rFonts w:ascii="Arial" w:hAnsi="Arial" w:cs="Arial"/>
                <w:b w:val="0"/>
                <w:bCs w:val="0"/>
                <w:color w:val="000000"/>
                <w:sz w:val="14"/>
                <w:szCs w:val="14"/>
              </w:rPr>
              <w:t xml:space="preserve">Investments in </w:t>
            </w:r>
            <w:proofErr w:type="spellStart"/>
            <w:r w:rsidRPr="004C5A7A">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center"/>
          </w:tcPr>
          <w:p w14:paraId="11BDD12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13,052</w:t>
            </w:r>
          </w:p>
        </w:tc>
        <w:tc>
          <w:tcPr>
            <w:tcW w:w="3260" w:type="dxa"/>
            <w:tcBorders>
              <w:top w:val="nil"/>
              <w:left w:val="nil"/>
              <w:bottom w:val="nil"/>
              <w:right w:val="nil"/>
            </w:tcBorders>
            <w:shd w:val="clear" w:color="auto" w:fill="auto"/>
            <w:vAlign w:val="center"/>
          </w:tcPr>
          <w:p w14:paraId="3A0D8708"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sz w:val="14"/>
                <w:szCs w:val="14"/>
              </w:rPr>
              <w:t>21,302</w:t>
            </w:r>
          </w:p>
        </w:tc>
      </w:tr>
      <w:tr w:rsidR="009E215C" w:rsidRPr="004C5A7A" w14:paraId="3245FFC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64826E" w14:textId="77777777" w:rsidR="009E215C" w:rsidRPr="004C5A7A" w:rsidRDefault="009E215C">
            <w:pPr>
              <w:keepNext/>
              <w:keepLines/>
              <w:spacing w:before="40" w:after="40"/>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23ECA5C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1,039,788</w:t>
            </w:r>
          </w:p>
        </w:tc>
        <w:tc>
          <w:tcPr>
            <w:tcW w:w="3260" w:type="dxa"/>
            <w:tcBorders>
              <w:top w:val="nil"/>
              <w:left w:val="nil"/>
              <w:bottom w:val="nil"/>
              <w:right w:val="nil"/>
            </w:tcBorders>
            <w:shd w:val="clear" w:color="auto" w:fill="auto"/>
            <w:vAlign w:val="center"/>
          </w:tcPr>
          <w:p w14:paraId="489FB74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1,051,624</w:t>
            </w:r>
          </w:p>
        </w:tc>
      </w:tr>
      <w:tr w:rsidR="009E215C" w:rsidRPr="004C5A7A" w14:paraId="5304908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272FE04" w14:textId="77777777" w:rsidR="009E215C" w:rsidRPr="004C5A7A" w:rsidRDefault="009E215C">
            <w:pPr>
              <w:keepNext/>
              <w:keepLines/>
              <w:spacing w:before="40" w:after="40"/>
              <w:rPr>
                <w:rFonts w:ascii="Arial" w:eastAsia="Times New Roman" w:hAnsi="Arial" w:cs="Arial"/>
                <w:spacing w:val="-2"/>
                <w:sz w:val="14"/>
                <w:szCs w:val="14"/>
                <w:highlight w:val="yellow"/>
              </w:rPr>
            </w:pPr>
            <w:r w:rsidRPr="004C5A7A">
              <w:rPr>
                <w:rFonts w:ascii="Arial" w:hAnsi="Arial" w:cs="Arial"/>
                <w:color w:val="000000"/>
                <w:sz w:val="14"/>
                <w:szCs w:val="14"/>
              </w:rPr>
              <w:t xml:space="preserve">Total </w:t>
            </w:r>
            <w:proofErr w:type="spellStart"/>
            <w:r w:rsidRPr="004C5A7A">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5087AF2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12,877,289</w:t>
            </w:r>
          </w:p>
        </w:tc>
        <w:tc>
          <w:tcPr>
            <w:tcW w:w="3260" w:type="dxa"/>
            <w:tcBorders>
              <w:top w:val="nil"/>
              <w:left w:val="nil"/>
              <w:bottom w:val="nil"/>
              <w:right w:val="nil"/>
            </w:tcBorders>
            <w:shd w:val="clear" w:color="auto" w:fill="auto"/>
            <w:vAlign w:val="center"/>
          </w:tcPr>
          <w:p w14:paraId="0058356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13,449,565</w:t>
            </w:r>
          </w:p>
        </w:tc>
      </w:tr>
      <w:tr w:rsidR="009E215C" w:rsidRPr="004C5A7A" w14:paraId="247626B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2926B1" w14:textId="77777777" w:rsidR="009E215C" w:rsidRPr="004C5A7A" w:rsidRDefault="009E215C">
            <w:pPr>
              <w:keepNext/>
              <w:keepLines/>
              <w:spacing w:before="40" w:after="40"/>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52BE3D8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674A323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9E215C" w:rsidRPr="004C5A7A" w14:paraId="7E34A96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B87BDE" w14:textId="77777777" w:rsidR="009E215C" w:rsidRPr="004C5A7A" w:rsidRDefault="009E215C">
            <w:pPr>
              <w:keepNext/>
              <w:keepLines/>
              <w:spacing w:before="40" w:after="40"/>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3774ECB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6,476,179</w:t>
            </w:r>
          </w:p>
        </w:tc>
        <w:tc>
          <w:tcPr>
            <w:tcW w:w="3260" w:type="dxa"/>
            <w:tcBorders>
              <w:top w:val="nil"/>
              <w:left w:val="nil"/>
              <w:bottom w:val="nil"/>
              <w:right w:val="nil"/>
            </w:tcBorders>
            <w:shd w:val="clear" w:color="auto" w:fill="auto"/>
            <w:vAlign w:val="center"/>
          </w:tcPr>
          <w:p w14:paraId="1BAAB02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6,856,065</w:t>
            </w:r>
          </w:p>
        </w:tc>
      </w:tr>
      <w:tr w:rsidR="009E215C" w:rsidRPr="004C5A7A" w14:paraId="463513C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548B98"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Amounts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577C2DB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190,312</w:t>
            </w:r>
          </w:p>
        </w:tc>
        <w:tc>
          <w:tcPr>
            <w:tcW w:w="3260" w:type="dxa"/>
            <w:tcBorders>
              <w:top w:val="nil"/>
              <w:left w:val="nil"/>
              <w:bottom w:val="nil"/>
              <w:right w:val="nil"/>
            </w:tcBorders>
            <w:shd w:val="clear" w:color="auto" w:fill="auto"/>
            <w:vAlign w:val="center"/>
          </w:tcPr>
          <w:p w14:paraId="51F1D99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232,346</w:t>
            </w:r>
          </w:p>
        </w:tc>
      </w:tr>
      <w:tr w:rsidR="009E215C" w:rsidRPr="004C5A7A" w14:paraId="2D8CD5B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4398CB"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2549A11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654,203</w:t>
            </w:r>
          </w:p>
        </w:tc>
        <w:tc>
          <w:tcPr>
            <w:tcW w:w="3260" w:type="dxa"/>
            <w:tcBorders>
              <w:top w:val="nil"/>
              <w:left w:val="nil"/>
              <w:bottom w:val="nil"/>
              <w:right w:val="nil"/>
            </w:tcBorders>
            <w:shd w:val="clear" w:color="auto" w:fill="auto"/>
            <w:vAlign w:val="center"/>
          </w:tcPr>
          <w:p w14:paraId="14B637F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sz w:val="14"/>
                <w:szCs w:val="14"/>
              </w:rPr>
              <w:t>777,120</w:t>
            </w:r>
          </w:p>
        </w:tc>
      </w:tr>
      <w:tr w:rsidR="009E215C" w:rsidRPr="004C5A7A" w14:paraId="79CA381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EEC989"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auto"/>
            <w:vAlign w:val="center"/>
          </w:tcPr>
          <w:p w14:paraId="79B6454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5,608,520</w:t>
            </w:r>
          </w:p>
        </w:tc>
        <w:tc>
          <w:tcPr>
            <w:tcW w:w="3260" w:type="dxa"/>
            <w:tcBorders>
              <w:top w:val="nil"/>
              <w:left w:val="nil"/>
              <w:bottom w:val="nil"/>
              <w:right w:val="nil"/>
            </w:tcBorders>
            <w:shd w:val="clear" w:color="auto" w:fill="auto"/>
            <w:vAlign w:val="center"/>
          </w:tcPr>
          <w:p w14:paraId="608C19E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5,825,192</w:t>
            </w:r>
          </w:p>
        </w:tc>
      </w:tr>
      <w:tr w:rsidR="009E215C" w:rsidRPr="004C5A7A" w14:paraId="749CA01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D69249"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0BB6E2C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23,144</w:t>
            </w:r>
          </w:p>
        </w:tc>
        <w:tc>
          <w:tcPr>
            <w:tcW w:w="3260" w:type="dxa"/>
            <w:tcBorders>
              <w:top w:val="nil"/>
              <w:left w:val="nil"/>
              <w:bottom w:val="nil"/>
              <w:right w:val="nil"/>
            </w:tcBorders>
            <w:shd w:val="clear" w:color="auto" w:fill="auto"/>
            <w:vAlign w:val="center"/>
          </w:tcPr>
          <w:p w14:paraId="0225864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21,407</w:t>
            </w:r>
          </w:p>
        </w:tc>
      </w:tr>
      <w:tr w:rsidR="009E215C" w:rsidRPr="004C5A7A" w14:paraId="7D4C093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B76855" w14:textId="77777777" w:rsidR="009E215C" w:rsidRPr="004C5A7A" w:rsidRDefault="009E215C">
            <w:pPr>
              <w:keepNext/>
              <w:keepLines/>
              <w:spacing w:before="40" w:after="40"/>
              <w:rPr>
                <w:rFonts w:ascii="Arial" w:hAnsi="Arial" w:cs="Arial"/>
                <w:sz w:val="14"/>
                <w:szCs w:val="14"/>
                <w:highlight w:val="yellow"/>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122A4FB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3,880,581</w:t>
            </w:r>
          </w:p>
        </w:tc>
        <w:tc>
          <w:tcPr>
            <w:tcW w:w="3260" w:type="dxa"/>
            <w:tcBorders>
              <w:top w:val="nil"/>
              <w:left w:val="nil"/>
              <w:bottom w:val="nil"/>
              <w:right w:val="nil"/>
            </w:tcBorders>
            <w:shd w:val="clear" w:color="auto" w:fill="auto"/>
            <w:vAlign w:val="center"/>
          </w:tcPr>
          <w:p w14:paraId="7C41A46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3,876,605</w:t>
            </w:r>
          </w:p>
        </w:tc>
      </w:tr>
      <w:tr w:rsidR="009E215C" w:rsidRPr="004C5A7A" w14:paraId="7DE063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0A2CB7"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auto"/>
            <w:vAlign w:val="center"/>
          </w:tcPr>
          <w:p w14:paraId="4662491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2,831,521</w:t>
            </w:r>
          </w:p>
        </w:tc>
        <w:tc>
          <w:tcPr>
            <w:tcW w:w="3260" w:type="dxa"/>
            <w:tcBorders>
              <w:top w:val="nil"/>
              <w:left w:val="nil"/>
              <w:bottom w:val="nil"/>
              <w:right w:val="nil"/>
            </w:tcBorders>
            <w:shd w:val="clear" w:color="auto" w:fill="auto"/>
            <w:vAlign w:val="center"/>
          </w:tcPr>
          <w:p w14:paraId="4399C9D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2,820,963</w:t>
            </w:r>
          </w:p>
        </w:tc>
      </w:tr>
      <w:tr w:rsidR="009E215C" w:rsidRPr="004C5A7A" w14:paraId="4FC083E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452C974"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1707290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1,049,060</w:t>
            </w:r>
          </w:p>
        </w:tc>
        <w:tc>
          <w:tcPr>
            <w:tcW w:w="3260" w:type="dxa"/>
            <w:tcBorders>
              <w:top w:val="nil"/>
              <w:left w:val="nil"/>
              <w:bottom w:val="nil"/>
              <w:right w:val="nil"/>
            </w:tcBorders>
            <w:shd w:val="clear" w:color="auto" w:fill="auto"/>
            <w:vAlign w:val="center"/>
          </w:tcPr>
          <w:p w14:paraId="08BCD83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1,055,642</w:t>
            </w:r>
          </w:p>
        </w:tc>
      </w:tr>
      <w:tr w:rsidR="009E215C" w:rsidRPr="004C5A7A" w14:paraId="3CCB1F5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92579E" w14:textId="77777777" w:rsidR="009E215C" w:rsidRPr="004C5A7A" w:rsidRDefault="009E215C">
            <w:pPr>
              <w:keepNext/>
              <w:keepLines/>
              <w:spacing w:before="40" w:after="40"/>
              <w:rPr>
                <w:rFonts w:ascii="Arial" w:hAnsi="Arial" w:cs="Arial"/>
                <w:sz w:val="14"/>
                <w:szCs w:val="14"/>
                <w:highlight w:val="yellow"/>
              </w:rPr>
            </w:pPr>
            <w:proofErr w:type="spellStart"/>
            <w:r w:rsidRPr="004C5A7A">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3438228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2,520,529</w:t>
            </w:r>
          </w:p>
        </w:tc>
        <w:tc>
          <w:tcPr>
            <w:tcW w:w="3260" w:type="dxa"/>
            <w:tcBorders>
              <w:top w:val="nil"/>
              <w:left w:val="nil"/>
              <w:bottom w:val="nil"/>
              <w:right w:val="nil"/>
            </w:tcBorders>
            <w:shd w:val="clear" w:color="auto" w:fill="auto"/>
            <w:vAlign w:val="center"/>
          </w:tcPr>
          <w:p w14:paraId="6891CF5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2,716,895</w:t>
            </w:r>
          </w:p>
        </w:tc>
      </w:tr>
      <w:tr w:rsidR="009E215C" w:rsidRPr="004C5A7A" w14:paraId="3323F0D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7DCF9A"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Capital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10922AF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2,612,676</w:t>
            </w:r>
          </w:p>
        </w:tc>
        <w:tc>
          <w:tcPr>
            <w:tcW w:w="3260" w:type="dxa"/>
            <w:tcBorders>
              <w:top w:val="nil"/>
              <w:left w:val="nil"/>
              <w:bottom w:val="nil"/>
              <w:right w:val="nil"/>
            </w:tcBorders>
            <w:shd w:val="clear" w:color="auto" w:fill="auto"/>
            <w:vAlign w:val="center"/>
          </w:tcPr>
          <w:p w14:paraId="52877F1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2,732,395</w:t>
            </w:r>
          </w:p>
        </w:tc>
      </w:tr>
      <w:tr w:rsidR="009E215C" w:rsidRPr="004C5A7A" w14:paraId="1C2EA0E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DA831B"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comprehensive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4DE45BF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(92,147)</w:t>
            </w:r>
          </w:p>
        </w:tc>
        <w:tc>
          <w:tcPr>
            <w:tcW w:w="3260" w:type="dxa"/>
            <w:tcBorders>
              <w:top w:val="nil"/>
              <w:left w:val="nil"/>
              <w:bottom w:val="nil"/>
              <w:right w:val="nil"/>
            </w:tcBorders>
            <w:shd w:val="clear" w:color="auto" w:fill="auto"/>
            <w:vAlign w:val="center"/>
          </w:tcPr>
          <w:p w14:paraId="4CA9765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(15,500)</w:t>
            </w:r>
          </w:p>
        </w:tc>
      </w:tr>
      <w:tr w:rsidR="009E215C" w:rsidRPr="004C5A7A" w14:paraId="5750D11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43DEC270" w14:textId="77777777" w:rsidR="009E215C" w:rsidRPr="004C5A7A" w:rsidRDefault="009E215C">
            <w:pPr>
              <w:keepNext/>
              <w:keepLines/>
              <w:spacing w:before="40" w:after="40"/>
              <w:rPr>
                <w:rFonts w:ascii="Arial" w:hAnsi="Arial" w:cs="Arial"/>
                <w:sz w:val="14"/>
                <w:szCs w:val="14"/>
                <w:highlight w:val="yellow"/>
              </w:rPr>
            </w:pPr>
            <w:proofErr w:type="spellStart"/>
            <w:r w:rsidRPr="004C5A7A">
              <w:rPr>
                <w:rFonts w:ascii="Arial" w:hAnsi="Arial" w:cs="Arial"/>
                <w:color w:val="000000"/>
                <w:sz w:val="14"/>
                <w:szCs w:val="14"/>
              </w:rPr>
              <w:t>Liabilities</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and</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center"/>
          </w:tcPr>
          <w:p w14:paraId="53D60F5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12,877,289</w:t>
            </w:r>
          </w:p>
        </w:tc>
        <w:tc>
          <w:tcPr>
            <w:tcW w:w="3260" w:type="dxa"/>
            <w:tcBorders>
              <w:top w:val="nil"/>
              <w:left w:val="nil"/>
              <w:bottom w:val="single" w:sz="2" w:space="0" w:color="1F3864" w:themeColor="accent1" w:themeShade="80"/>
              <w:right w:val="nil"/>
            </w:tcBorders>
            <w:shd w:val="clear" w:color="auto" w:fill="auto"/>
            <w:vAlign w:val="center"/>
          </w:tcPr>
          <w:p w14:paraId="56174F7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13,449,565</w:t>
            </w:r>
          </w:p>
        </w:tc>
      </w:tr>
    </w:tbl>
    <w:p w14:paraId="52731E8D" w14:textId="08EFD496" w:rsidR="009E215C" w:rsidRPr="004C5A7A" w:rsidRDefault="009E215C" w:rsidP="00A76AF4">
      <w:pPr>
        <w:pStyle w:val="05-Textonormal"/>
        <w:numPr>
          <w:ilvl w:val="0"/>
          <w:numId w:val="32"/>
        </w:numPr>
        <w:spacing w:before="0" w:after="0" w:line="240" w:lineRule="auto"/>
        <w:ind w:left="284" w:hanging="284"/>
        <w:rPr>
          <w:rFonts w:cs="Arial"/>
          <w:bCs/>
          <w:sz w:val="14"/>
          <w:szCs w:val="16"/>
          <w:lang w:val="en-US"/>
        </w:rPr>
      </w:pPr>
      <w:r w:rsidRPr="004C5A7A">
        <w:rPr>
          <w:rFonts w:cs="Arial"/>
          <w:bCs/>
          <w:sz w:val="14"/>
          <w:szCs w:val="16"/>
          <w:lang w:val="en-US"/>
        </w:rPr>
        <w:t>From 2024 onwards, Insurance and Reinsurance Contracts, previously classified as Current Assets, were segregated into Current and Non-Current Assets.</w:t>
      </w:r>
    </w:p>
    <w:p w14:paraId="2567D8F9" w14:textId="77777777" w:rsidR="009E215C" w:rsidRPr="004C5A7A" w:rsidRDefault="009E215C" w:rsidP="009E215C">
      <w:pPr>
        <w:pStyle w:val="01-TtulodeNota"/>
        <w:spacing w:before="0" w:after="0"/>
        <w:rPr>
          <w:rFonts w:cs="Arial"/>
          <w:b w:val="0"/>
          <w:sz w:val="18"/>
          <w:lang w:val="en-US" w:eastAsia="zh-CN"/>
        </w:rPr>
      </w:pPr>
    </w:p>
    <w:p w14:paraId="1BFB8274" w14:textId="77777777" w:rsidR="009E215C" w:rsidRPr="004C5A7A" w:rsidRDefault="009E215C" w:rsidP="009E215C">
      <w:pPr>
        <w:pStyle w:val="01-TtulodeNota"/>
        <w:spacing w:before="0" w:after="0"/>
        <w:rPr>
          <w:rFonts w:cs="Arial"/>
          <w:b w:val="0"/>
          <w:sz w:val="18"/>
          <w:lang w:val="en-US" w:eastAsia="zh-CN"/>
        </w:rPr>
      </w:pPr>
      <w:r w:rsidRPr="004C5A7A">
        <w:rPr>
          <w:rFonts w:cs="Arial"/>
          <w:b w:val="0"/>
          <w:sz w:val="18"/>
          <w:lang w:val="en-US" w:eastAsia="zh-CN"/>
        </w:rPr>
        <w:t>The impacts of CPC 50 [IFRS 17], in 2024 and 2023, and of CPC 48 [IFRS 9], in 2023, on Shareholders' Equity, for comparability purposes, are shown in the table below:</w:t>
      </w:r>
    </w:p>
    <w:p w14:paraId="1AC8663F"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E215C" w:rsidRPr="004C5A7A" w14:paraId="7A63F220"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074B04" w14:textId="77777777" w:rsidR="009E215C" w:rsidRPr="004C5A7A" w:rsidRDefault="009E215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D5A0E8"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58AD6EC"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56B73DB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674CA005" w14:textId="77777777" w:rsidR="009E215C" w:rsidRPr="004C5A7A" w:rsidRDefault="009E215C">
            <w:pPr>
              <w:keepNext/>
              <w:keepLines/>
              <w:rPr>
                <w:rFonts w:ascii="Arial" w:eastAsia="Times New Roman" w:hAnsi="Arial" w:cs="Arial"/>
                <w:b w:val="0"/>
                <w:bCs w:val="0"/>
                <w:spacing w:val="-2"/>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BRGAAP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01A3DD5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2,520,529 </w:t>
            </w:r>
          </w:p>
        </w:tc>
        <w:tc>
          <w:tcPr>
            <w:tcW w:w="2126" w:type="dxa"/>
            <w:tcBorders>
              <w:top w:val="single" w:sz="2" w:space="0" w:color="1F3864" w:themeColor="accent1" w:themeShade="80"/>
              <w:left w:val="nil"/>
              <w:bottom w:val="nil"/>
              <w:right w:val="nil"/>
            </w:tcBorders>
            <w:shd w:val="clear" w:color="auto" w:fill="auto"/>
            <w:vAlign w:val="center"/>
          </w:tcPr>
          <w:p w14:paraId="066E762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2,716,895 </w:t>
            </w:r>
          </w:p>
        </w:tc>
      </w:tr>
      <w:tr w:rsidR="009E215C" w:rsidRPr="004C5A7A" w14:paraId="7F09465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EC847E5"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747AFAA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2,556,952 </w:t>
            </w:r>
          </w:p>
        </w:tc>
        <w:tc>
          <w:tcPr>
            <w:tcW w:w="2126" w:type="dxa"/>
            <w:tcBorders>
              <w:top w:val="nil"/>
              <w:left w:val="nil"/>
              <w:bottom w:val="single" w:sz="2" w:space="0" w:color="1F3864" w:themeColor="accent1" w:themeShade="80"/>
              <w:right w:val="nil"/>
            </w:tcBorders>
            <w:shd w:val="clear" w:color="auto" w:fill="auto"/>
            <w:vAlign w:val="center"/>
          </w:tcPr>
          <w:p w14:paraId="2CEF9A9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2,679,962 </w:t>
            </w:r>
          </w:p>
        </w:tc>
      </w:tr>
    </w:tbl>
    <w:p w14:paraId="21DDB655" w14:textId="77777777" w:rsidR="009E215C" w:rsidRPr="004C5A7A" w:rsidRDefault="009E215C" w:rsidP="009E215C">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c.1.3) Aliança do Brasil Seguros S.A. (Aliança do Brasil)</w:t>
      </w:r>
    </w:p>
    <w:p w14:paraId="51A88C42" w14:textId="77777777" w:rsidR="009E215C" w:rsidRPr="004C5A7A" w:rsidRDefault="009E215C" w:rsidP="009E215C">
      <w:pPr>
        <w:keepNext/>
        <w:keepLines/>
        <w:spacing w:after="0" w:line="240" w:lineRule="auto"/>
        <w:rPr>
          <w:rFonts w:ascii="Arial" w:eastAsia="Times New Roman" w:hAnsi="Arial" w:cs="Arial"/>
          <w:b/>
          <w:color w:val="1F3864" w:themeColor="accent1" w:themeShade="80"/>
          <w:spacing w:val="-2"/>
          <w:sz w:val="18"/>
          <w:szCs w:val="20"/>
          <w:lang w:eastAsia="pt-BR"/>
        </w:rPr>
      </w:pPr>
    </w:p>
    <w:p w14:paraId="4A198E5A" w14:textId="77777777" w:rsidR="009E215C" w:rsidRPr="004C5A7A" w:rsidRDefault="009E215C" w:rsidP="009E215C">
      <w:pPr>
        <w:spacing w:after="0" w:line="240" w:lineRule="auto"/>
        <w:rPr>
          <w:rFonts w:ascii="Arial" w:eastAsia="Times New Roman" w:hAnsi="Arial" w:cs="Arial"/>
          <w:spacing w:val="-2"/>
          <w:sz w:val="18"/>
          <w:szCs w:val="20"/>
          <w:lang w:eastAsia="zh-CN"/>
        </w:rPr>
      </w:pPr>
      <w:r w:rsidRPr="004C5A7A">
        <w:rPr>
          <w:rFonts w:ascii="Arial" w:eastAsia="Times New Roman" w:hAnsi="Arial" w:cs="Arial"/>
          <w:b/>
          <w:color w:val="1F3864" w:themeColor="accent1" w:themeShade="80"/>
          <w:spacing w:val="-2"/>
          <w:sz w:val="18"/>
          <w:szCs w:val="20"/>
          <w:lang w:eastAsia="pt-BR"/>
        </w:rPr>
        <w:t xml:space="preserve">Income </w:t>
      </w:r>
      <w:proofErr w:type="spellStart"/>
      <w:r w:rsidRPr="004C5A7A">
        <w:rPr>
          <w:rFonts w:ascii="Arial" w:eastAsia="Times New Roman" w:hAnsi="Arial" w:cs="Arial"/>
          <w:b/>
          <w:color w:val="1F3864" w:themeColor="accent1" w:themeShade="80"/>
          <w:spacing w:val="-2"/>
          <w:sz w:val="18"/>
          <w:szCs w:val="20"/>
          <w:lang w:eastAsia="pt-BR"/>
        </w:rPr>
        <w:t>Statement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5176EC62" w14:textId="77777777" w:rsidR="009E215C" w:rsidRPr="004C5A7A" w:rsidRDefault="009E215C" w:rsidP="009E215C">
      <w:pPr>
        <w:keepNext/>
        <w:keepLines/>
        <w:spacing w:after="0" w:line="240" w:lineRule="auto"/>
        <w:rPr>
          <w:rFonts w:ascii="Arial" w:eastAsia="Times New Roman" w:hAnsi="Arial" w:cs="Arial"/>
          <w:spacing w:val="-2"/>
          <w:sz w:val="18"/>
          <w:szCs w:val="20"/>
          <w:lang w:eastAsia="zh-CN"/>
        </w:rPr>
      </w:pPr>
    </w:p>
    <w:p w14:paraId="5A5755B3" w14:textId="77777777" w:rsidR="009E215C" w:rsidRPr="004C5A7A" w:rsidRDefault="009E215C" w:rsidP="009E215C">
      <w:pPr>
        <w:spacing w:after="0" w:line="240" w:lineRule="auto"/>
        <w:jc w:val="right"/>
        <w:rPr>
          <w:rFonts w:ascii="Arial" w:hAnsi="Arial" w:cs="Arial"/>
          <w:b/>
          <w:sz w:val="14"/>
          <w:lang w:eastAsia="pt-BR"/>
        </w:rPr>
      </w:pPr>
      <w:r w:rsidRPr="004C5A7A">
        <w:rPr>
          <w:rFonts w:ascii="Arial" w:hAnsi="Arial" w:cs="Arial"/>
          <w:b/>
          <w:sz w:val="14"/>
          <w:lang w:eastAsia="pt-BR"/>
        </w:rPr>
        <w:t xml:space="preserve">R$ </w:t>
      </w:r>
      <w:proofErr w:type="spellStart"/>
      <w:r w:rsidRPr="004C5A7A">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393"/>
        <w:gridCol w:w="1840"/>
        <w:gridCol w:w="1579"/>
        <w:gridCol w:w="1841"/>
        <w:gridCol w:w="1986"/>
      </w:tblGrid>
      <w:tr w:rsidR="009E215C" w:rsidRPr="004C5A7A" w14:paraId="5B1081CC"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7F95A8" w14:textId="77777777" w:rsidR="009E215C" w:rsidRPr="004C5A7A" w:rsidRDefault="009E215C">
            <w:pPr>
              <w:jc w:val="center"/>
              <w:rPr>
                <w:rFonts w:ascii="Arial" w:hAnsi="Arial" w:cs="Arial"/>
                <w:sz w:val="14"/>
                <w:szCs w:val="14"/>
              </w:rPr>
            </w:pPr>
          </w:p>
        </w:tc>
        <w:tc>
          <w:tcPr>
            <w:tcW w:w="18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9D41D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7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F4DAC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4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7B0607"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2024</w:t>
            </w:r>
          </w:p>
        </w:tc>
        <w:tc>
          <w:tcPr>
            <w:tcW w:w="198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A2F15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2023</w:t>
            </w:r>
          </w:p>
        </w:tc>
      </w:tr>
      <w:tr w:rsidR="009E215C" w:rsidRPr="004C5A7A" w14:paraId="31F2F78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single" w:sz="2" w:space="0" w:color="1F3864" w:themeColor="accent1" w:themeShade="80"/>
              <w:left w:val="nil"/>
              <w:bottom w:val="nil"/>
              <w:right w:val="nil"/>
            </w:tcBorders>
            <w:shd w:val="clear" w:color="auto" w:fill="auto"/>
            <w:vAlign w:val="center"/>
          </w:tcPr>
          <w:p w14:paraId="235052FE" w14:textId="77777777" w:rsidR="009E215C" w:rsidRPr="004C5A7A" w:rsidRDefault="009E215C">
            <w:pPr>
              <w:keepNext/>
              <w:keepLines/>
              <w:rPr>
                <w:rFonts w:ascii="Arial" w:eastAsia="Times New Roman" w:hAnsi="Arial" w:cs="Arial"/>
                <w:spacing w:val="-2"/>
                <w:sz w:val="14"/>
                <w:szCs w:val="14"/>
              </w:rPr>
            </w:pPr>
            <w:proofErr w:type="spellStart"/>
            <w:r w:rsidRPr="004C5A7A">
              <w:rPr>
                <w:rFonts w:ascii="Arial" w:hAnsi="Arial" w:cs="Arial"/>
                <w:color w:val="000000"/>
                <w:sz w:val="14"/>
                <w:szCs w:val="14"/>
              </w:rPr>
              <w:t>Result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of</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insurance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contracts</w:t>
            </w:r>
            <w:proofErr w:type="spellEnd"/>
          </w:p>
        </w:tc>
        <w:tc>
          <w:tcPr>
            <w:tcW w:w="1840" w:type="dxa"/>
            <w:tcBorders>
              <w:top w:val="single" w:sz="2" w:space="0" w:color="1F3864" w:themeColor="accent1" w:themeShade="80"/>
              <w:left w:val="nil"/>
              <w:bottom w:val="nil"/>
              <w:right w:val="nil"/>
            </w:tcBorders>
            <w:shd w:val="clear" w:color="auto" w:fill="auto"/>
            <w:vAlign w:val="center"/>
          </w:tcPr>
          <w:p w14:paraId="5B8C929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79" w:type="dxa"/>
            <w:tcBorders>
              <w:top w:val="single" w:sz="2" w:space="0" w:color="1F3864" w:themeColor="accent1" w:themeShade="80"/>
              <w:left w:val="nil"/>
              <w:bottom w:val="nil"/>
              <w:right w:val="nil"/>
            </w:tcBorders>
            <w:shd w:val="clear" w:color="auto" w:fill="auto"/>
            <w:vAlign w:val="center"/>
          </w:tcPr>
          <w:p w14:paraId="3AE1A80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41" w:type="dxa"/>
            <w:tcBorders>
              <w:top w:val="single" w:sz="2" w:space="0" w:color="1F3864" w:themeColor="accent1" w:themeShade="80"/>
              <w:left w:val="nil"/>
              <w:bottom w:val="nil"/>
              <w:right w:val="nil"/>
            </w:tcBorders>
            <w:shd w:val="clear" w:color="auto" w:fill="auto"/>
            <w:vAlign w:val="center"/>
          </w:tcPr>
          <w:p w14:paraId="7DF77B8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839,470</w:t>
            </w:r>
          </w:p>
        </w:tc>
        <w:tc>
          <w:tcPr>
            <w:tcW w:w="1986" w:type="dxa"/>
            <w:tcBorders>
              <w:top w:val="single" w:sz="2" w:space="0" w:color="1F3864" w:themeColor="accent1" w:themeShade="80"/>
              <w:left w:val="nil"/>
              <w:bottom w:val="nil"/>
              <w:right w:val="nil"/>
            </w:tcBorders>
            <w:shd w:val="clear" w:color="auto" w:fill="auto"/>
            <w:vAlign w:val="center"/>
          </w:tcPr>
          <w:p w14:paraId="1A4A5D8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1,119,131</w:t>
            </w:r>
          </w:p>
        </w:tc>
      </w:tr>
      <w:tr w:rsidR="009E215C" w:rsidRPr="004C5A7A" w14:paraId="2CF7E80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510E0C8B"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color w:val="000000"/>
                <w:sz w:val="14"/>
                <w:szCs w:val="14"/>
              </w:rPr>
              <w:t>Result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of</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PAA </w:t>
            </w:r>
            <w:r w:rsidRPr="004C5A7A">
              <w:rPr>
                <w:rFonts w:ascii="Arial" w:hAnsi="Arial" w:cs="Arial"/>
                <w:b w:val="0"/>
                <w:bCs w:val="0"/>
                <w:color w:val="000000"/>
                <w:sz w:val="14"/>
                <w:szCs w:val="14"/>
                <w:vertAlign w:val="superscript"/>
              </w:rPr>
              <w:t>(1)</w:t>
            </w:r>
          </w:p>
        </w:tc>
        <w:tc>
          <w:tcPr>
            <w:tcW w:w="1840" w:type="dxa"/>
            <w:tcBorders>
              <w:top w:val="nil"/>
              <w:left w:val="nil"/>
              <w:bottom w:val="nil"/>
              <w:right w:val="nil"/>
            </w:tcBorders>
            <w:shd w:val="clear" w:color="auto" w:fill="auto"/>
            <w:vAlign w:val="center"/>
          </w:tcPr>
          <w:p w14:paraId="230413E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79" w:type="dxa"/>
            <w:tcBorders>
              <w:top w:val="nil"/>
              <w:left w:val="nil"/>
              <w:bottom w:val="nil"/>
              <w:right w:val="nil"/>
            </w:tcBorders>
            <w:shd w:val="clear" w:color="auto" w:fill="auto"/>
            <w:vAlign w:val="center"/>
          </w:tcPr>
          <w:p w14:paraId="6E7D465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41" w:type="dxa"/>
            <w:tcBorders>
              <w:top w:val="nil"/>
              <w:left w:val="nil"/>
              <w:bottom w:val="nil"/>
              <w:right w:val="nil"/>
            </w:tcBorders>
            <w:shd w:val="clear" w:color="auto" w:fill="auto"/>
            <w:vAlign w:val="center"/>
          </w:tcPr>
          <w:p w14:paraId="57011A6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839,470</w:t>
            </w:r>
          </w:p>
        </w:tc>
        <w:tc>
          <w:tcPr>
            <w:tcW w:w="1986" w:type="dxa"/>
            <w:tcBorders>
              <w:top w:val="nil"/>
              <w:left w:val="nil"/>
              <w:bottom w:val="nil"/>
              <w:right w:val="nil"/>
            </w:tcBorders>
            <w:shd w:val="clear" w:color="auto" w:fill="auto"/>
            <w:vAlign w:val="center"/>
          </w:tcPr>
          <w:p w14:paraId="605EB94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1,119,131</w:t>
            </w:r>
          </w:p>
        </w:tc>
      </w:tr>
      <w:tr w:rsidR="009E215C" w:rsidRPr="004C5A7A" w14:paraId="10E757D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3D8C8C8A" w14:textId="77777777" w:rsidR="009E215C" w:rsidRPr="004C5A7A" w:rsidRDefault="009E215C">
            <w:pPr>
              <w:keepNext/>
              <w:keepLines/>
              <w:rPr>
                <w:rFonts w:ascii="Arial" w:hAnsi="Arial" w:cs="Arial"/>
                <w:b w:val="0"/>
                <w:bCs w:val="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53F84E9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77ECDDF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center"/>
          </w:tcPr>
          <w:p w14:paraId="550CFD8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(637,997)</w:t>
            </w:r>
          </w:p>
        </w:tc>
        <w:tc>
          <w:tcPr>
            <w:tcW w:w="1986" w:type="dxa"/>
            <w:tcBorders>
              <w:top w:val="nil"/>
              <w:left w:val="nil"/>
              <w:bottom w:val="nil"/>
              <w:right w:val="nil"/>
            </w:tcBorders>
            <w:shd w:val="clear" w:color="auto" w:fill="auto"/>
            <w:vAlign w:val="center"/>
          </w:tcPr>
          <w:p w14:paraId="6E676DA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(1,060,730)</w:t>
            </w:r>
          </w:p>
        </w:tc>
      </w:tr>
      <w:tr w:rsidR="009E215C" w:rsidRPr="004C5A7A" w14:paraId="5BE4160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1620E257"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color w:val="000000"/>
                <w:sz w:val="14"/>
                <w:szCs w:val="14"/>
              </w:rPr>
              <w:t>Insurance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margin</w:t>
            </w:r>
            <w:proofErr w:type="spellEnd"/>
          </w:p>
        </w:tc>
        <w:tc>
          <w:tcPr>
            <w:tcW w:w="1840" w:type="dxa"/>
            <w:tcBorders>
              <w:top w:val="nil"/>
              <w:left w:val="nil"/>
              <w:bottom w:val="nil"/>
              <w:right w:val="nil"/>
            </w:tcBorders>
            <w:shd w:val="clear" w:color="auto" w:fill="auto"/>
            <w:vAlign w:val="center"/>
          </w:tcPr>
          <w:p w14:paraId="0697EF4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0DC3888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center"/>
          </w:tcPr>
          <w:p w14:paraId="2159880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201,473</w:t>
            </w:r>
          </w:p>
        </w:tc>
        <w:tc>
          <w:tcPr>
            <w:tcW w:w="1986" w:type="dxa"/>
            <w:tcBorders>
              <w:top w:val="nil"/>
              <w:left w:val="nil"/>
              <w:bottom w:val="nil"/>
              <w:right w:val="nil"/>
            </w:tcBorders>
            <w:shd w:val="clear" w:color="auto" w:fill="auto"/>
            <w:vAlign w:val="center"/>
          </w:tcPr>
          <w:p w14:paraId="02C5088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58,401</w:t>
            </w:r>
          </w:p>
        </w:tc>
      </w:tr>
      <w:tr w:rsidR="009E215C" w:rsidRPr="004C5A7A" w14:paraId="2EC3D8A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582DEA3A"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 xml:space="preserve">Financial </w:t>
            </w:r>
            <w:proofErr w:type="spellStart"/>
            <w:r w:rsidRPr="004C5A7A">
              <w:rPr>
                <w:rFonts w:ascii="Arial" w:hAnsi="Arial" w:cs="Arial"/>
                <w:color w:val="000000"/>
                <w:sz w:val="14"/>
                <w:szCs w:val="14"/>
              </w:rPr>
              <w:t>result</w:t>
            </w:r>
            <w:proofErr w:type="spellEnd"/>
          </w:p>
        </w:tc>
        <w:tc>
          <w:tcPr>
            <w:tcW w:w="1840" w:type="dxa"/>
            <w:tcBorders>
              <w:top w:val="nil"/>
              <w:left w:val="nil"/>
              <w:bottom w:val="nil"/>
              <w:right w:val="nil"/>
            </w:tcBorders>
            <w:shd w:val="clear" w:color="auto" w:fill="auto"/>
            <w:vAlign w:val="center"/>
          </w:tcPr>
          <w:p w14:paraId="747FA23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79" w:type="dxa"/>
            <w:tcBorders>
              <w:top w:val="nil"/>
              <w:left w:val="nil"/>
              <w:bottom w:val="nil"/>
              <w:right w:val="nil"/>
            </w:tcBorders>
            <w:shd w:val="clear" w:color="auto" w:fill="auto"/>
            <w:vAlign w:val="center"/>
          </w:tcPr>
          <w:p w14:paraId="5F7DF39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41" w:type="dxa"/>
            <w:tcBorders>
              <w:top w:val="nil"/>
              <w:left w:val="nil"/>
              <w:bottom w:val="nil"/>
              <w:right w:val="nil"/>
            </w:tcBorders>
            <w:shd w:val="clear" w:color="auto" w:fill="auto"/>
            <w:vAlign w:val="center"/>
          </w:tcPr>
          <w:p w14:paraId="7DF6ADE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55,808</w:t>
            </w:r>
          </w:p>
        </w:tc>
        <w:tc>
          <w:tcPr>
            <w:tcW w:w="1986" w:type="dxa"/>
            <w:tcBorders>
              <w:top w:val="nil"/>
              <w:left w:val="nil"/>
              <w:bottom w:val="nil"/>
              <w:right w:val="nil"/>
            </w:tcBorders>
            <w:shd w:val="clear" w:color="auto" w:fill="auto"/>
            <w:vAlign w:val="center"/>
          </w:tcPr>
          <w:p w14:paraId="7B7ABD7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64,760</w:t>
            </w:r>
          </w:p>
        </w:tc>
      </w:tr>
      <w:tr w:rsidR="009E215C" w:rsidRPr="004C5A7A" w14:paraId="5D4D8DF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2A5B1E5D"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Financial income</w:t>
            </w:r>
          </w:p>
        </w:tc>
        <w:tc>
          <w:tcPr>
            <w:tcW w:w="1840" w:type="dxa"/>
            <w:tcBorders>
              <w:top w:val="nil"/>
              <w:left w:val="nil"/>
              <w:bottom w:val="nil"/>
              <w:right w:val="nil"/>
            </w:tcBorders>
            <w:shd w:val="clear" w:color="auto" w:fill="auto"/>
            <w:vAlign w:val="center"/>
          </w:tcPr>
          <w:p w14:paraId="04A8A94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557209C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center"/>
          </w:tcPr>
          <w:p w14:paraId="12EE68C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58,136</w:t>
            </w:r>
          </w:p>
        </w:tc>
        <w:tc>
          <w:tcPr>
            <w:tcW w:w="1986" w:type="dxa"/>
            <w:tcBorders>
              <w:top w:val="nil"/>
              <w:left w:val="nil"/>
              <w:bottom w:val="nil"/>
              <w:right w:val="nil"/>
            </w:tcBorders>
            <w:shd w:val="clear" w:color="auto" w:fill="auto"/>
            <w:vAlign w:val="center"/>
          </w:tcPr>
          <w:p w14:paraId="5F37087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56,545</w:t>
            </w:r>
          </w:p>
        </w:tc>
      </w:tr>
      <w:tr w:rsidR="009E215C" w:rsidRPr="004C5A7A" w14:paraId="45ECA25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034BD516"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0F3A61B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4DC48B1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center"/>
          </w:tcPr>
          <w:p w14:paraId="0818023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(2,328)</w:t>
            </w:r>
          </w:p>
        </w:tc>
        <w:tc>
          <w:tcPr>
            <w:tcW w:w="1986" w:type="dxa"/>
            <w:tcBorders>
              <w:top w:val="nil"/>
              <w:left w:val="nil"/>
              <w:bottom w:val="nil"/>
              <w:right w:val="nil"/>
            </w:tcBorders>
            <w:shd w:val="clear" w:color="auto" w:fill="auto"/>
            <w:vAlign w:val="center"/>
          </w:tcPr>
          <w:p w14:paraId="1C1AA9B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8,215</w:t>
            </w:r>
          </w:p>
        </w:tc>
      </w:tr>
      <w:tr w:rsidR="009E215C" w:rsidRPr="004C5A7A" w14:paraId="663741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221E03C2" w14:textId="77777777" w:rsidR="009E215C" w:rsidRPr="004C5A7A" w:rsidRDefault="009E215C">
            <w:pPr>
              <w:keepNext/>
              <w:keepLines/>
              <w:spacing w:before="40" w:after="40"/>
              <w:rPr>
                <w:rFonts w:ascii="Arial" w:hAnsi="Arial" w:cs="Arial"/>
                <w:b w:val="0"/>
                <w:bCs w:val="0"/>
                <w:sz w:val="14"/>
                <w:szCs w:val="14"/>
              </w:rPr>
            </w:pPr>
            <w:r w:rsidRPr="004C5A7A">
              <w:rPr>
                <w:rFonts w:ascii="Arial" w:hAnsi="Arial" w:cs="Arial"/>
                <w:b w:val="0"/>
                <w:bCs w:val="0"/>
                <w:color w:val="000000"/>
                <w:sz w:val="14"/>
                <w:szCs w:val="14"/>
              </w:rPr>
              <w:t>Non-</w:t>
            </w:r>
            <w:proofErr w:type="spellStart"/>
            <w:r w:rsidRPr="004C5A7A">
              <w:rPr>
                <w:rFonts w:ascii="Arial" w:hAnsi="Arial" w:cs="Arial"/>
                <w:b w:val="0"/>
                <w:bCs w:val="0"/>
                <w:color w:val="000000"/>
                <w:sz w:val="14"/>
                <w:szCs w:val="14"/>
              </w:rPr>
              <w:t>attributable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7482FCD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602BD73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center"/>
          </w:tcPr>
          <w:p w14:paraId="0CEC61E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(91,935)</w:t>
            </w:r>
          </w:p>
        </w:tc>
        <w:tc>
          <w:tcPr>
            <w:tcW w:w="1986" w:type="dxa"/>
            <w:tcBorders>
              <w:top w:val="nil"/>
              <w:left w:val="nil"/>
              <w:bottom w:val="nil"/>
              <w:right w:val="nil"/>
            </w:tcBorders>
            <w:shd w:val="clear" w:color="auto" w:fill="auto"/>
            <w:vAlign w:val="center"/>
          </w:tcPr>
          <w:p w14:paraId="6373A2B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(95,799)</w:t>
            </w:r>
          </w:p>
        </w:tc>
      </w:tr>
      <w:tr w:rsidR="009E215C" w:rsidRPr="004C5A7A" w14:paraId="27F05DA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70C90909" w14:textId="77777777" w:rsidR="009E215C" w:rsidRPr="004C5A7A" w:rsidRDefault="009E215C">
            <w:pPr>
              <w:keepNext/>
              <w:keepLines/>
              <w:spacing w:before="40" w:after="40"/>
              <w:rPr>
                <w:rFonts w:ascii="Arial" w:hAnsi="Arial" w:cs="Arial"/>
                <w:color w:val="000000"/>
                <w:sz w:val="14"/>
                <w:szCs w:val="14"/>
              </w:rPr>
            </w:pPr>
            <w:r w:rsidRPr="004C5A7A">
              <w:rPr>
                <w:rFonts w:ascii="Arial" w:hAnsi="Arial" w:cs="Arial"/>
                <w:b w:val="0"/>
                <w:bCs w:val="0"/>
                <w:color w:val="000000"/>
                <w:sz w:val="14"/>
                <w:szCs w:val="14"/>
              </w:rPr>
              <w:t xml:space="preserve">Other income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840" w:type="dxa"/>
            <w:tcBorders>
              <w:top w:val="nil"/>
              <w:left w:val="nil"/>
              <w:bottom w:val="nil"/>
              <w:right w:val="nil"/>
            </w:tcBorders>
            <w:shd w:val="clear" w:color="auto" w:fill="auto"/>
            <w:vAlign w:val="center"/>
          </w:tcPr>
          <w:p w14:paraId="6B6C9DD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40F15AB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center"/>
          </w:tcPr>
          <w:p w14:paraId="0632DFB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(63)</w:t>
            </w:r>
          </w:p>
        </w:tc>
        <w:tc>
          <w:tcPr>
            <w:tcW w:w="1986" w:type="dxa"/>
            <w:tcBorders>
              <w:top w:val="nil"/>
              <w:left w:val="nil"/>
              <w:bottom w:val="nil"/>
              <w:right w:val="nil"/>
            </w:tcBorders>
            <w:shd w:val="clear" w:color="auto" w:fill="auto"/>
            <w:vAlign w:val="center"/>
          </w:tcPr>
          <w:p w14:paraId="68BCA41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w:t>
            </w:r>
          </w:p>
        </w:tc>
      </w:tr>
      <w:tr w:rsidR="009E215C" w:rsidRPr="004C5A7A" w14:paraId="20130F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4B449758"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 xml:space="preserve">Income </w:t>
            </w:r>
            <w:proofErr w:type="spellStart"/>
            <w:r w:rsidRPr="004C5A7A">
              <w:rPr>
                <w:rFonts w:ascii="Arial" w:hAnsi="Arial" w:cs="Arial"/>
                <w:color w:val="000000"/>
                <w:sz w:val="14"/>
                <w:szCs w:val="14"/>
              </w:rPr>
              <w:t>before</w:t>
            </w:r>
            <w:proofErr w:type="spellEnd"/>
            <w:r w:rsidRPr="004C5A7A">
              <w:rPr>
                <w:rFonts w:ascii="Arial" w:hAnsi="Arial" w:cs="Arial"/>
                <w:color w:val="000000"/>
                <w:sz w:val="14"/>
                <w:szCs w:val="14"/>
              </w:rPr>
              <w:t xml:space="preserve"> taxes</w:t>
            </w:r>
          </w:p>
        </w:tc>
        <w:tc>
          <w:tcPr>
            <w:tcW w:w="1840" w:type="dxa"/>
            <w:tcBorders>
              <w:top w:val="nil"/>
              <w:left w:val="nil"/>
              <w:bottom w:val="nil"/>
              <w:right w:val="nil"/>
            </w:tcBorders>
            <w:shd w:val="clear" w:color="auto" w:fill="auto"/>
            <w:vAlign w:val="center"/>
          </w:tcPr>
          <w:p w14:paraId="216EEB1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373E200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center"/>
          </w:tcPr>
          <w:p w14:paraId="655EC53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165,283</w:t>
            </w:r>
          </w:p>
        </w:tc>
        <w:tc>
          <w:tcPr>
            <w:tcW w:w="1986" w:type="dxa"/>
            <w:tcBorders>
              <w:top w:val="nil"/>
              <w:left w:val="nil"/>
              <w:bottom w:val="nil"/>
              <w:right w:val="nil"/>
            </w:tcBorders>
            <w:shd w:val="clear" w:color="auto" w:fill="auto"/>
            <w:vAlign w:val="center"/>
          </w:tcPr>
          <w:p w14:paraId="7FC0BCA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27,365</w:t>
            </w:r>
          </w:p>
        </w:tc>
      </w:tr>
      <w:tr w:rsidR="009E215C" w:rsidRPr="004C5A7A" w14:paraId="4F77182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164DC0DC" w14:textId="77777777" w:rsidR="009E215C" w:rsidRPr="004C5A7A" w:rsidRDefault="009E215C">
            <w:pPr>
              <w:keepNext/>
              <w:keepLines/>
              <w:spacing w:before="40" w:after="40"/>
              <w:ind w:left="113"/>
              <w:rPr>
                <w:rFonts w:ascii="Arial" w:hAnsi="Arial" w:cs="Arial"/>
                <w:b w:val="0"/>
                <w:bCs w:val="0"/>
                <w:sz w:val="14"/>
                <w:szCs w:val="14"/>
                <w:lang w:val="en-US"/>
              </w:rPr>
            </w:pPr>
            <w:r w:rsidRPr="004C5A7A">
              <w:rPr>
                <w:rFonts w:ascii="Arial" w:hAnsi="Arial" w:cs="Arial"/>
                <w:b w:val="0"/>
                <w:bCs w:val="0"/>
                <w:color w:val="000000"/>
                <w:sz w:val="14"/>
                <w:szCs w:val="14"/>
                <w:lang w:val="en-US"/>
              </w:rPr>
              <w:t>Income Tax and Social Contribution</w:t>
            </w:r>
          </w:p>
        </w:tc>
        <w:tc>
          <w:tcPr>
            <w:tcW w:w="1840" w:type="dxa"/>
            <w:tcBorders>
              <w:top w:val="nil"/>
              <w:left w:val="nil"/>
              <w:bottom w:val="nil"/>
              <w:right w:val="nil"/>
            </w:tcBorders>
            <w:shd w:val="clear" w:color="auto" w:fill="auto"/>
            <w:vAlign w:val="center"/>
          </w:tcPr>
          <w:p w14:paraId="3FEC7D4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579" w:type="dxa"/>
            <w:tcBorders>
              <w:top w:val="nil"/>
              <w:left w:val="nil"/>
              <w:bottom w:val="nil"/>
              <w:right w:val="nil"/>
            </w:tcBorders>
            <w:shd w:val="clear" w:color="auto" w:fill="auto"/>
            <w:vAlign w:val="center"/>
          </w:tcPr>
          <w:p w14:paraId="6E8FFAD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841" w:type="dxa"/>
            <w:tcBorders>
              <w:top w:val="nil"/>
              <w:left w:val="nil"/>
              <w:bottom w:val="nil"/>
              <w:right w:val="nil"/>
            </w:tcBorders>
            <w:shd w:val="clear" w:color="auto" w:fill="auto"/>
            <w:vAlign w:val="center"/>
          </w:tcPr>
          <w:p w14:paraId="249609D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(63,377)</w:t>
            </w:r>
          </w:p>
        </w:tc>
        <w:tc>
          <w:tcPr>
            <w:tcW w:w="1986" w:type="dxa"/>
            <w:tcBorders>
              <w:top w:val="nil"/>
              <w:left w:val="nil"/>
              <w:bottom w:val="nil"/>
              <w:right w:val="nil"/>
            </w:tcBorders>
            <w:shd w:val="clear" w:color="auto" w:fill="auto"/>
            <w:vAlign w:val="center"/>
          </w:tcPr>
          <w:p w14:paraId="2B03E50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(10,760)</w:t>
            </w:r>
          </w:p>
        </w:tc>
      </w:tr>
      <w:tr w:rsidR="009E215C" w:rsidRPr="004C5A7A" w14:paraId="3453AC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26E6C113"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color w:val="000000"/>
                <w:sz w:val="14"/>
                <w:szCs w:val="14"/>
              </w:rPr>
              <w:t>Shares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on</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the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w:t>
            </w:r>
            <w:proofErr w:type="spellEnd"/>
          </w:p>
        </w:tc>
        <w:tc>
          <w:tcPr>
            <w:tcW w:w="1840" w:type="dxa"/>
            <w:tcBorders>
              <w:top w:val="nil"/>
              <w:left w:val="nil"/>
              <w:bottom w:val="nil"/>
              <w:right w:val="nil"/>
            </w:tcBorders>
            <w:shd w:val="clear" w:color="auto" w:fill="auto"/>
            <w:vAlign w:val="center"/>
          </w:tcPr>
          <w:p w14:paraId="7D89CA1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2A1BE76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center"/>
          </w:tcPr>
          <w:p w14:paraId="0B88E95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(1,423)</w:t>
            </w:r>
          </w:p>
        </w:tc>
        <w:tc>
          <w:tcPr>
            <w:tcW w:w="1986" w:type="dxa"/>
            <w:tcBorders>
              <w:top w:val="nil"/>
              <w:left w:val="nil"/>
              <w:bottom w:val="nil"/>
              <w:right w:val="nil"/>
            </w:tcBorders>
            <w:shd w:val="clear" w:color="auto" w:fill="auto"/>
            <w:vAlign w:val="center"/>
          </w:tcPr>
          <w:p w14:paraId="1E6C1AF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(397)</w:t>
            </w:r>
          </w:p>
        </w:tc>
      </w:tr>
      <w:tr w:rsidR="009E215C" w:rsidRPr="004C5A7A" w14:paraId="717CAC1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08FB8620"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Net income</w:t>
            </w:r>
          </w:p>
        </w:tc>
        <w:tc>
          <w:tcPr>
            <w:tcW w:w="1840" w:type="dxa"/>
            <w:tcBorders>
              <w:top w:val="nil"/>
              <w:left w:val="nil"/>
              <w:bottom w:val="nil"/>
              <w:right w:val="nil"/>
            </w:tcBorders>
            <w:shd w:val="clear" w:color="auto" w:fill="auto"/>
            <w:vAlign w:val="center"/>
          </w:tcPr>
          <w:p w14:paraId="34553D9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79" w:type="dxa"/>
            <w:tcBorders>
              <w:top w:val="nil"/>
              <w:left w:val="nil"/>
              <w:bottom w:val="nil"/>
              <w:right w:val="nil"/>
            </w:tcBorders>
            <w:shd w:val="clear" w:color="auto" w:fill="auto"/>
            <w:vAlign w:val="center"/>
          </w:tcPr>
          <w:p w14:paraId="452873A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41" w:type="dxa"/>
            <w:tcBorders>
              <w:top w:val="nil"/>
              <w:left w:val="nil"/>
              <w:bottom w:val="nil"/>
              <w:right w:val="nil"/>
            </w:tcBorders>
            <w:shd w:val="clear" w:color="auto" w:fill="auto"/>
            <w:vAlign w:val="center"/>
          </w:tcPr>
          <w:p w14:paraId="3BEA283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100,483</w:t>
            </w:r>
          </w:p>
        </w:tc>
        <w:tc>
          <w:tcPr>
            <w:tcW w:w="1986" w:type="dxa"/>
            <w:tcBorders>
              <w:top w:val="nil"/>
              <w:left w:val="nil"/>
              <w:bottom w:val="nil"/>
              <w:right w:val="nil"/>
            </w:tcBorders>
            <w:shd w:val="clear" w:color="auto" w:fill="auto"/>
            <w:vAlign w:val="center"/>
          </w:tcPr>
          <w:p w14:paraId="211659B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16,208</w:t>
            </w:r>
          </w:p>
        </w:tc>
      </w:tr>
      <w:tr w:rsidR="009E215C" w:rsidRPr="004C5A7A" w14:paraId="4834A49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nil"/>
              <w:right w:val="nil"/>
            </w:tcBorders>
            <w:shd w:val="clear" w:color="auto" w:fill="auto"/>
            <w:vAlign w:val="center"/>
          </w:tcPr>
          <w:p w14:paraId="56E34D7E"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comprehensive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results</w:t>
            </w:r>
            <w:proofErr w:type="spellEnd"/>
          </w:p>
        </w:tc>
        <w:tc>
          <w:tcPr>
            <w:tcW w:w="1840" w:type="dxa"/>
            <w:tcBorders>
              <w:top w:val="nil"/>
              <w:left w:val="nil"/>
              <w:bottom w:val="nil"/>
              <w:right w:val="nil"/>
            </w:tcBorders>
            <w:shd w:val="clear" w:color="auto" w:fill="auto"/>
            <w:vAlign w:val="center"/>
          </w:tcPr>
          <w:p w14:paraId="6920B1E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79" w:type="dxa"/>
            <w:tcBorders>
              <w:top w:val="nil"/>
              <w:left w:val="nil"/>
              <w:bottom w:val="nil"/>
              <w:right w:val="nil"/>
            </w:tcBorders>
            <w:shd w:val="clear" w:color="auto" w:fill="auto"/>
            <w:vAlign w:val="center"/>
          </w:tcPr>
          <w:p w14:paraId="2656415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41" w:type="dxa"/>
            <w:tcBorders>
              <w:top w:val="nil"/>
              <w:left w:val="nil"/>
              <w:bottom w:val="nil"/>
              <w:right w:val="nil"/>
            </w:tcBorders>
            <w:shd w:val="clear" w:color="auto" w:fill="auto"/>
            <w:vAlign w:val="center"/>
          </w:tcPr>
          <w:p w14:paraId="5616611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(57)</w:t>
            </w:r>
          </w:p>
        </w:tc>
        <w:tc>
          <w:tcPr>
            <w:tcW w:w="1986" w:type="dxa"/>
            <w:tcBorders>
              <w:top w:val="nil"/>
              <w:left w:val="nil"/>
              <w:bottom w:val="nil"/>
              <w:right w:val="nil"/>
            </w:tcBorders>
            <w:shd w:val="clear" w:color="auto" w:fill="auto"/>
            <w:vAlign w:val="center"/>
          </w:tcPr>
          <w:p w14:paraId="3397235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(54)</w:t>
            </w:r>
          </w:p>
        </w:tc>
      </w:tr>
      <w:tr w:rsidR="009E215C" w:rsidRPr="004C5A7A" w14:paraId="7B80C1E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93" w:type="dxa"/>
            <w:tcBorders>
              <w:top w:val="nil"/>
              <w:left w:val="nil"/>
              <w:bottom w:val="single" w:sz="2" w:space="0" w:color="1F3864" w:themeColor="accent1" w:themeShade="80"/>
              <w:right w:val="nil"/>
            </w:tcBorders>
            <w:shd w:val="clear" w:color="auto" w:fill="auto"/>
            <w:vAlign w:val="center"/>
          </w:tcPr>
          <w:p w14:paraId="269B0DB9"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color w:val="000000"/>
                <w:sz w:val="14"/>
                <w:szCs w:val="14"/>
              </w:rPr>
              <w:t>Comprehensive</w:t>
            </w:r>
            <w:proofErr w:type="spellEnd"/>
            <w:r w:rsidRPr="004C5A7A">
              <w:rPr>
                <w:rFonts w:ascii="Arial" w:hAnsi="Arial" w:cs="Arial"/>
                <w:color w:val="000000"/>
                <w:sz w:val="14"/>
                <w:szCs w:val="14"/>
              </w:rPr>
              <w:t xml:space="preserve"> income</w:t>
            </w:r>
          </w:p>
        </w:tc>
        <w:tc>
          <w:tcPr>
            <w:tcW w:w="1840" w:type="dxa"/>
            <w:tcBorders>
              <w:top w:val="nil"/>
              <w:left w:val="nil"/>
              <w:bottom w:val="single" w:sz="2" w:space="0" w:color="1F3864" w:themeColor="accent1" w:themeShade="80"/>
              <w:right w:val="nil"/>
            </w:tcBorders>
            <w:shd w:val="clear" w:color="auto" w:fill="auto"/>
            <w:vAlign w:val="center"/>
          </w:tcPr>
          <w:p w14:paraId="256A360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79" w:type="dxa"/>
            <w:tcBorders>
              <w:top w:val="nil"/>
              <w:left w:val="nil"/>
              <w:bottom w:val="single" w:sz="2" w:space="0" w:color="1F3864" w:themeColor="accent1" w:themeShade="80"/>
              <w:right w:val="nil"/>
            </w:tcBorders>
            <w:shd w:val="clear" w:color="auto" w:fill="auto"/>
            <w:vAlign w:val="center"/>
          </w:tcPr>
          <w:p w14:paraId="76A7200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41" w:type="dxa"/>
            <w:tcBorders>
              <w:top w:val="nil"/>
              <w:left w:val="nil"/>
              <w:bottom w:val="single" w:sz="2" w:space="0" w:color="1F3864" w:themeColor="accent1" w:themeShade="80"/>
              <w:right w:val="nil"/>
            </w:tcBorders>
            <w:shd w:val="clear" w:color="auto" w:fill="auto"/>
            <w:vAlign w:val="center"/>
          </w:tcPr>
          <w:p w14:paraId="0485827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100,426</w:t>
            </w:r>
          </w:p>
        </w:tc>
        <w:tc>
          <w:tcPr>
            <w:tcW w:w="1986" w:type="dxa"/>
            <w:tcBorders>
              <w:top w:val="nil"/>
              <w:left w:val="nil"/>
              <w:bottom w:val="single" w:sz="2" w:space="0" w:color="1F3864" w:themeColor="accent1" w:themeShade="80"/>
              <w:right w:val="nil"/>
            </w:tcBorders>
            <w:shd w:val="clear" w:color="auto" w:fill="auto"/>
            <w:vAlign w:val="center"/>
          </w:tcPr>
          <w:p w14:paraId="10E9FC4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16,154</w:t>
            </w:r>
          </w:p>
        </w:tc>
      </w:tr>
    </w:tbl>
    <w:p w14:paraId="159ABF84" w14:textId="77777777" w:rsidR="009E215C" w:rsidRPr="004C5A7A" w:rsidRDefault="009E215C" w:rsidP="00A76AF4">
      <w:pPr>
        <w:pStyle w:val="PargrafodaLista"/>
        <w:numPr>
          <w:ilvl w:val="0"/>
          <w:numId w:val="18"/>
        </w:numPr>
        <w:spacing w:after="0" w:line="240" w:lineRule="auto"/>
        <w:ind w:left="284" w:hanging="284"/>
        <w:rPr>
          <w:rFonts w:ascii="Arial" w:eastAsia="Times New Roman" w:hAnsi="Arial" w:cs="Arial"/>
          <w:bCs/>
          <w:spacing w:val="-2"/>
          <w:sz w:val="14"/>
          <w:szCs w:val="16"/>
          <w:lang w:eastAsia="pt-BR"/>
        </w:rPr>
      </w:pPr>
      <w:r w:rsidRPr="004C5A7A">
        <w:rPr>
          <w:rFonts w:ascii="Arial" w:eastAsia="Times New Roman" w:hAnsi="Arial" w:cs="Arial"/>
          <w:kern w:val="20"/>
          <w:sz w:val="14"/>
          <w:szCs w:val="16"/>
          <w:lang w:eastAsia="pt-BR"/>
        </w:rPr>
        <w:t xml:space="preserve">PAA - Premium </w:t>
      </w:r>
      <w:proofErr w:type="spellStart"/>
      <w:r w:rsidRPr="004C5A7A">
        <w:rPr>
          <w:rFonts w:ascii="Arial" w:eastAsia="Times New Roman" w:hAnsi="Arial" w:cs="Arial"/>
          <w:kern w:val="20"/>
          <w:sz w:val="14"/>
          <w:szCs w:val="16"/>
          <w:lang w:eastAsia="pt-BR"/>
        </w:rPr>
        <w:t>Allocation</w:t>
      </w:r>
      <w:proofErr w:type="spellEnd"/>
      <w:r w:rsidRPr="004C5A7A">
        <w:rPr>
          <w:rFonts w:ascii="Arial" w:eastAsia="Times New Roman" w:hAnsi="Arial" w:cs="Arial"/>
          <w:kern w:val="20"/>
          <w:sz w:val="14"/>
          <w:szCs w:val="16"/>
          <w:lang w:eastAsia="pt-BR"/>
        </w:rPr>
        <w:t xml:space="preserve"> Approach.</w:t>
      </w:r>
    </w:p>
    <w:p w14:paraId="6CB1D848" w14:textId="77777777" w:rsidR="009E215C" w:rsidRPr="004C5A7A" w:rsidRDefault="009E215C" w:rsidP="009E215C">
      <w:pPr>
        <w:pStyle w:val="05-Textonormal"/>
        <w:rPr>
          <w:rFonts w:cs="Arial"/>
          <w:lang w:val="en-US"/>
        </w:rPr>
      </w:pPr>
    </w:p>
    <w:p w14:paraId="7DC33E3C" w14:textId="77777777" w:rsidR="009E215C" w:rsidRPr="004C5A7A" w:rsidRDefault="009E215C" w:rsidP="009E215C">
      <w:pPr>
        <w:pStyle w:val="05-Textonormal"/>
        <w:rPr>
          <w:rFonts w:cs="Arial"/>
          <w:lang w:val="en-US"/>
        </w:rPr>
      </w:pPr>
      <w:r w:rsidRPr="004C5A7A">
        <w:rPr>
          <w:rFonts w:cs="Arial"/>
          <w:lang w:val="en-US"/>
        </w:rPr>
        <w:t>The impacts of adopting CPC 50 [IFRS 17], in 2024 and 2023, and of CPC 48 [IFRS 9], in 2023, on Net income and Comprehensive Income, for comparability purposes, are shown in the following table:</w:t>
      </w:r>
    </w:p>
    <w:p w14:paraId="46377C35"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333"/>
        <w:gridCol w:w="1620"/>
        <w:gridCol w:w="1738"/>
        <w:gridCol w:w="1326"/>
        <w:gridCol w:w="1622"/>
      </w:tblGrid>
      <w:tr w:rsidR="009E215C" w:rsidRPr="004C5A7A" w14:paraId="7E771F16"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A4D332" w14:textId="77777777" w:rsidR="009E215C" w:rsidRPr="004C5A7A" w:rsidRDefault="009E215C">
            <w:pPr>
              <w:jc w:val="center"/>
              <w:rPr>
                <w:rFonts w:ascii="Arial" w:hAnsi="Arial" w:cs="Arial"/>
                <w:sz w:val="14"/>
                <w:szCs w:val="14"/>
                <w:lang w:val="en-US"/>
              </w:rPr>
            </w:pPr>
          </w:p>
        </w:tc>
        <w:tc>
          <w:tcPr>
            <w:tcW w:w="16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3470C1E"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A8A466"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3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B7E487"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2024</w:t>
            </w:r>
          </w:p>
        </w:tc>
        <w:tc>
          <w:tcPr>
            <w:tcW w:w="16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C6D21A"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2023</w:t>
            </w:r>
          </w:p>
        </w:tc>
      </w:tr>
      <w:tr w:rsidR="009E215C" w:rsidRPr="004C5A7A" w14:paraId="3BF1EA6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shd w:val="clear" w:color="auto" w:fill="auto"/>
            <w:vAlign w:val="center"/>
          </w:tcPr>
          <w:p w14:paraId="3AF081B5" w14:textId="77777777" w:rsidR="009E215C" w:rsidRPr="004C5A7A" w:rsidRDefault="009E215C">
            <w:pPr>
              <w:keepNext/>
              <w:keepLines/>
              <w:rPr>
                <w:rFonts w:ascii="Arial" w:eastAsia="Times New Roman" w:hAnsi="Arial" w:cs="Arial"/>
                <w:b w:val="0"/>
                <w:bCs w:val="0"/>
                <w:spacing w:val="-2"/>
                <w:sz w:val="14"/>
                <w:szCs w:val="14"/>
                <w:lang w:val="en-US"/>
              </w:rPr>
            </w:pPr>
            <w:r w:rsidRPr="004C5A7A">
              <w:rPr>
                <w:rFonts w:ascii="Arial" w:hAnsi="Arial" w:cs="Arial"/>
                <w:b w:val="0"/>
                <w:bCs w:val="0"/>
                <w:sz w:val="14"/>
                <w:szCs w:val="14"/>
                <w:lang w:val="en-US"/>
              </w:rPr>
              <w:t>Net income - BRGAAP and IFRS</w:t>
            </w:r>
          </w:p>
        </w:tc>
        <w:tc>
          <w:tcPr>
            <w:tcW w:w="1620" w:type="dxa"/>
            <w:tcBorders>
              <w:top w:val="single" w:sz="2" w:space="0" w:color="1F3864" w:themeColor="accent1" w:themeShade="80"/>
              <w:left w:val="nil"/>
              <w:bottom w:val="nil"/>
              <w:right w:val="nil"/>
            </w:tcBorders>
            <w:shd w:val="clear" w:color="auto" w:fill="auto"/>
            <w:vAlign w:val="center"/>
          </w:tcPr>
          <w:p w14:paraId="37ACDA3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38" w:type="dxa"/>
            <w:tcBorders>
              <w:top w:val="single" w:sz="2" w:space="0" w:color="1F3864" w:themeColor="accent1" w:themeShade="80"/>
              <w:left w:val="nil"/>
              <w:bottom w:val="nil"/>
              <w:right w:val="nil"/>
            </w:tcBorders>
            <w:shd w:val="clear" w:color="auto" w:fill="auto"/>
            <w:vAlign w:val="center"/>
          </w:tcPr>
          <w:p w14:paraId="7D3B50A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326" w:type="dxa"/>
            <w:tcBorders>
              <w:top w:val="single" w:sz="2" w:space="0" w:color="1F3864" w:themeColor="accent1" w:themeShade="80"/>
              <w:left w:val="nil"/>
              <w:bottom w:val="nil"/>
              <w:right w:val="nil"/>
            </w:tcBorders>
            <w:shd w:val="clear" w:color="auto" w:fill="auto"/>
            <w:vAlign w:val="center"/>
          </w:tcPr>
          <w:p w14:paraId="67931CF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100,483 </w:t>
            </w:r>
          </w:p>
        </w:tc>
        <w:tc>
          <w:tcPr>
            <w:tcW w:w="1622" w:type="dxa"/>
            <w:tcBorders>
              <w:top w:val="single" w:sz="2" w:space="0" w:color="1F3864" w:themeColor="accent1" w:themeShade="80"/>
              <w:left w:val="nil"/>
              <w:bottom w:val="nil"/>
              <w:right w:val="nil"/>
            </w:tcBorders>
            <w:shd w:val="clear" w:color="auto" w:fill="auto"/>
            <w:vAlign w:val="center"/>
          </w:tcPr>
          <w:p w14:paraId="11CB366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16,208 </w:t>
            </w:r>
          </w:p>
        </w:tc>
      </w:tr>
      <w:tr w:rsidR="009E215C" w:rsidRPr="004C5A7A" w14:paraId="7929F46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4AB9351F"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Net income – SUSEPGAAP</w:t>
            </w:r>
          </w:p>
        </w:tc>
        <w:tc>
          <w:tcPr>
            <w:tcW w:w="1620" w:type="dxa"/>
            <w:tcBorders>
              <w:top w:val="nil"/>
              <w:left w:val="nil"/>
              <w:bottom w:val="nil"/>
              <w:right w:val="nil"/>
            </w:tcBorders>
            <w:shd w:val="clear" w:color="auto" w:fill="auto"/>
            <w:vAlign w:val="center"/>
          </w:tcPr>
          <w:p w14:paraId="3E37D4B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auto"/>
            <w:vAlign w:val="center"/>
          </w:tcPr>
          <w:p w14:paraId="7EE7F38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26" w:type="dxa"/>
            <w:tcBorders>
              <w:top w:val="nil"/>
              <w:left w:val="nil"/>
              <w:bottom w:val="nil"/>
              <w:right w:val="nil"/>
            </w:tcBorders>
            <w:shd w:val="clear" w:color="auto" w:fill="auto"/>
            <w:vAlign w:val="center"/>
          </w:tcPr>
          <w:p w14:paraId="2377533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95,563 </w:t>
            </w:r>
          </w:p>
        </w:tc>
        <w:tc>
          <w:tcPr>
            <w:tcW w:w="1622" w:type="dxa"/>
            <w:tcBorders>
              <w:top w:val="nil"/>
              <w:left w:val="nil"/>
              <w:bottom w:val="nil"/>
              <w:right w:val="nil"/>
            </w:tcBorders>
            <w:shd w:val="clear" w:color="auto" w:fill="auto"/>
            <w:vAlign w:val="center"/>
          </w:tcPr>
          <w:p w14:paraId="33C073D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19,482 </w:t>
            </w:r>
          </w:p>
        </w:tc>
      </w:tr>
      <w:tr w:rsidR="009E215C" w:rsidRPr="004C5A7A" w14:paraId="1513431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5991C458" w14:textId="77777777" w:rsidR="009E215C" w:rsidRPr="004C5A7A" w:rsidRDefault="009E215C">
            <w:pPr>
              <w:keepNext/>
              <w:keepLines/>
              <w:rPr>
                <w:rFonts w:ascii="Arial" w:hAnsi="Arial" w:cs="Arial"/>
                <w:b w:val="0"/>
                <w:bCs w:val="0"/>
                <w:sz w:val="14"/>
                <w:szCs w:val="14"/>
              </w:rPr>
            </w:pPr>
          </w:p>
        </w:tc>
        <w:tc>
          <w:tcPr>
            <w:tcW w:w="1620" w:type="dxa"/>
            <w:tcBorders>
              <w:top w:val="nil"/>
              <w:left w:val="nil"/>
              <w:bottom w:val="nil"/>
              <w:right w:val="nil"/>
            </w:tcBorders>
            <w:shd w:val="clear" w:color="auto" w:fill="auto"/>
            <w:vAlign w:val="center"/>
          </w:tcPr>
          <w:p w14:paraId="4826555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auto"/>
            <w:vAlign w:val="center"/>
          </w:tcPr>
          <w:p w14:paraId="01A4974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26" w:type="dxa"/>
            <w:tcBorders>
              <w:top w:val="nil"/>
              <w:left w:val="nil"/>
              <w:bottom w:val="nil"/>
              <w:right w:val="nil"/>
            </w:tcBorders>
            <w:shd w:val="clear" w:color="auto" w:fill="auto"/>
            <w:vAlign w:val="center"/>
          </w:tcPr>
          <w:p w14:paraId="224BC91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2" w:type="dxa"/>
            <w:tcBorders>
              <w:top w:val="nil"/>
              <w:left w:val="nil"/>
              <w:bottom w:val="nil"/>
              <w:right w:val="nil"/>
            </w:tcBorders>
            <w:shd w:val="clear" w:color="auto" w:fill="auto"/>
            <w:vAlign w:val="center"/>
          </w:tcPr>
          <w:p w14:paraId="506D885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E215C" w:rsidRPr="004C5A7A" w14:paraId="4F927A9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auto"/>
            <w:vAlign w:val="center"/>
          </w:tcPr>
          <w:p w14:paraId="1F007E74" w14:textId="77777777" w:rsidR="009E215C" w:rsidRPr="004C5A7A" w:rsidRDefault="009E215C">
            <w:pPr>
              <w:keepNext/>
              <w:keepLines/>
              <w:spacing w:before="40" w:after="40"/>
              <w:rPr>
                <w:rFonts w:ascii="Arial" w:hAnsi="Arial" w:cs="Arial"/>
                <w:b w:val="0"/>
                <w:bCs w:val="0"/>
                <w:sz w:val="14"/>
                <w:szCs w:val="14"/>
                <w:lang w:val="en-US"/>
              </w:rPr>
            </w:pPr>
            <w:r w:rsidRPr="004C5A7A">
              <w:rPr>
                <w:rFonts w:ascii="Arial" w:hAnsi="Arial" w:cs="Arial"/>
                <w:b w:val="0"/>
                <w:bCs w:val="0"/>
                <w:sz w:val="14"/>
                <w:szCs w:val="14"/>
                <w:lang w:val="en-US"/>
              </w:rPr>
              <w:t>Comprehensive income - BRGAAP and IFRS</w:t>
            </w:r>
          </w:p>
        </w:tc>
        <w:tc>
          <w:tcPr>
            <w:tcW w:w="1620" w:type="dxa"/>
            <w:tcBorders>
              <w:top w:val="nil"/>
              <w:left w:val="nil"/>
              <w:bottom w:val="nil"/>
              <w:right w:val="nil"/>
            </w:tcBorders>
            <w:shd w:val="clear" w:color="auto" w:fill="auto"/>
            <w:vAlign w:val="center"/>
          </w:tcPr>
          <w:p w14:paraId="70FFE01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38" w:type="dxa"/>
            <w:tcBorders>
              <w:top w:val="nil"/>
              <w:left w:val="nil"/>
              <w:bottom w:val="nil"/>
              <w:right w:val="nil"/>
            </w:tcBorders>
            <w:shd w:val="clear" w:color="auto" w:fill="auto"/>
            <w:vAlign w:val="center"/>
          </w:tcPr>
          <w:p w14:paraId="2345865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326" w:type="dxa"/>
            <w:tcBorders>
              <w:top w:val="nil"/>
              <w:left w:val="nil"/>
              <w:bottom w:val="nil"/>
              <w:right w:val="nil"/>
            </w:tcBorders>
            <w:shd w:val="clear" w:color="auto" w:fill="auto"/>
            <w:vAlign w:val="center"/>
          </w:tcPr>
          <w:p w14:paraId="3D3E738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100,426 </w:t>
            </w:r>
          </w:p>
        </w:tc>
        <w:tc>
          <w:tcPr>
            <w:tcW w:w="1622" w:type="dxa"/>
            <w:tcBorders>
              <w:top w:val="nil"/>
              <w:left w:val="nil"/>
              <w:bottom w:val="nil"/>
              <w:right w:val="nil"/>
            </w:tcBorders>
            <w:shd w:val="clear" w:color="auto" w:fill="auto"/>
            <w:vAlign w:val="center"/>
          </w:tcPr>
          <w:p w14:paraId="1FE2819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16,154 </w:t>
            </w:r>
          </w:p>
        </w:tc>
      </w:tr>
      <w:tr w:rsidR="009E215C" w:rsidRPr="004C5A7A" w14:paraId="282AD46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shd w:val="clear" w:color="auto" w:fill="auto"/>
            <w:vAlign w:val="center"/>
          </w:tcPr>
          <w:p w14:paraId="41769D12"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income - SUSEPGAAP</w:t>
            </w:r>
          </w:p>
        </w:tc>
        <w:tc>
          <w:tcPr>
            <w:tcW w:w="1620" w:type="dxa"/>
            <w:tcBorders>
              <w:top w:val="nil"/>
              <w:left w:val="nil"/>
              <w:bottom w:val="single" w:sz="2" w:space="0" w:color="1F3864" w:themeColor="accent1" w:themeShade="80"/>
              <w:right w:val="nil"/>
            </w:tcBorders>
            <w:shd w:val="clear" w:color="auto" w:fill="auto"/>
            <w:vAlign w:val="center"/>
          </w:tcPr>
          <w:p w14:paraId="7E7492A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single" w:sz="2" w:space="0" w:color="1F3864" w:themeColor="accent1" w:themeShade="80"/>
              <w:right w:val="nil"/>
            </w:tcBorders>
            <w:shd w:val="clear" w:color="auto" w:fill="auto"/>
            <w:vAlign w:val="center"/>
          </w:tcPr>
          <w:p w14:paraId="592C009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26" w:type="dxa"/>
            <w:tcBorders>
              <w:top w:val="nil"/>
              <w:left w:val="nil"/>
              <w:bottom w:val="single" w:sz="2" w:space="0" w:color="1F3864" w:themeColor="accent1" w:themeShade="80"/>
              <w:right w:val="nil"/>
            </w:tcBorders>
            <w:shd w:val="clear" w:color="auto" w:fill="auto"/>
            <w:vAlign w:val="center"/>
          </w:tcPr>
          <w:p w14:paraId="081E8F2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95,506 </w:t>
            </w:r>
          </w:p>
        </w:tc>
        <w:tc>
          <w:tcPr>
            <w:tcW w:w="1622" w:type="dxa"/>
            <w:tcBorders>
              <w:top w:val="nil"/>
              <w:left w:val="nil"/>
              <w:bottom w:val="single" w:sz="2" w:space="0" w:color="1F3864" w:themeColor="accent1" w:themeShade="80"/>
              <w:right w:val="nil"/>
            </w:tcBorders>
            <w:shd w:val="clear" w:color="auto" w:fill="auto"/>
            <w:vAlign w:val="center"/>
          </w:tcPr>
          <w:p w14:paraId="176566F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19,429 </w:t>
            </w:r>
          </w:p>
        </w:tc>
      </w:tr>
    </w:tbl>
    <w:p w14:paraId="0E22B395"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645017E5" w14:textId="77777777"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6FB191F1"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0A38BE05" w14:textId="77777777" w:rsidR="009E215C" w:rsidRPr="004C5A7A" w:rsidRDefault="009E215C" w:rsidP="009E215C">
      <w:pPr>
        <w:spacing w:after="0" w:line="240" w:lineRule="auto"/>
        <w:jc w:val="right"/>
        <w:rPr>
          <w:rFonts w:ascii="Arial" w:hAnsi="Arial" w:cs="Arial"/>
          <w:b/>
          <w:sz w:val="14"/>
          <w:lang w:eastAsia="pt-BR"/>
        </w:rPr>
      </w:pPr>
      <w:r w:rsidRPr="004C5A7A">
        <w:rPr>
          <w:rFonts w:ascii="Arial" w:hAnsi="Arial" w:cs="Arial"/>
          <w:b/>
          <w:sz w:val="14"/>
          <w:lang w:eastAsia="pt-BR"/>
        </w:rPr>
        <w:t xml:space="preserve">R$ </w:t>
      </w:r>
      <w:proofErr w:type="spellStart"/>
      <w:r w:rsidRPr="004C5A7A">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E215C" w:rsidRPr="004C5A7A" w14:paraId="3F62C8BD"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DDE75D9" w14:textId="77777777" w:rsidR="009E215C" w:rsidRPr="004C5A7A" w:rsidRDefault="009E215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5BC9D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E5C20CA"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404D332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4BBBCEF4" w14:textId="77777777" w:rsidR="009E215C" w:rsidRPr="004C5A7A" w:rsidRDefault="009E215C">
            <w:pPr>
              <w:keepNext/>
              <w:keepLines/>
              <w:rPr>
                <w:rFonts w:ascii="Arial" w:eastAsia="Times New Roman" w:hAnsi="Arial" w:cs="Arial"/>
                <w:spacing w:val="-2"/>
                <w:sz w:val="14"/>
                <w:szCs w:val="14"/>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7EFF4DB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548,546</w:t>
            </w:r>
          </w:p>
        </w:tc>
        <w:tc>
          <w:tcPr>
            <w:tcW w:w="3260" w:type="dxa"/>
            <w:tcBorders>
              <w:top w:val="single" w:sz="2" w:space="0" w:color="1F3864" w:themeColor="accent1" w:themeShade="80"/>
              <w:left w:val="nil"/>
              <w:bottom w:val="nil"/>
              <w:right w:val="nil"/>
            </w:tcBorders>
            <w:shd w:val="clear" w:color="auto" w:fill="auto"/>
            <w:vAlign w:val="center"/>
          </w:tcPr>
          <w:p w14:paraId="2356497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658,619</w:t>
            </w:r>
          </w:p>
        </w:tc>
      </w:tr>
      <w:tr w:rsidR="009E215C" w:rsidRPr="004C5A7A" w14:paraId="1B07D6D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6CB0E9C3" w14:textId="77777777" w:rsidR="009E215C" w:rsidRPr="004C5A7A" w:rsidRDefault="009E215C">
            <w:pPr>
              <w:keepNext/>
              <w:keepLines/>
              <w:ind w:left="113"/>
              <w:rPr>
                <w:rFonts w:ascii="Arial" w:eastAsia="Times New Roman" w:hAnsi="Arial" w:cs="Arial"/>
                <w:b w:val="0"/>
                <w:bCs w:val="0"/>
                <w:spacing w:val="-2"/>
                <w:sz w:val="14"/>
                <w:szCs w:val="14"/>
              </w:rPr>
            </w:pPr>
            <w:r w:rsidRPr="004C5A7A">
              <w:rPr>
                <w:rFonts w:ascii="Arial" w:hAnsi="Arial" w:cs="Arial"/>
                <w:b w:val="0"/>
                <w:bCs w:val="0"/>
                <w:color w:val="000000"/>
                <w:sz w:val="14"/>
                <w:szCs w:val="14"/>
              </w:rPr>
              <w:t xml:space="preserve">Cash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auto"/>
            <w:vAlign w:val="center"/>
          </w:tcPr>
          <w:p w14:paraId="5A04C25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8,796</w:t>
            </w:r>
          </w:p>
        </w:tc>
        <w:tc>
          <w:tcPr>
            <w:tcW w:w="3260" w:type="dxa"/>
            <w:tcBorders>
              <w:top w:val="nil"/>
              <w:left w:val="nil"/>
              <w:bottom w:val="nil"/>
              <w:right w:val="nil"/>
            </w:tcBorders>
            <w:shd w:val="clear" w:color="auto" w:fill="auto"/>
            <w:vAlign w:val="center"/>
          </w:tcPr>
          <w:p w14:paraId="039F8D9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4,043</w:t>
            </w:r>
          </w:p>
        </w:tc>
      </w:tr>
      <w:tr w:rsidR="009E215C" w:rsidRPr="004C5A7A" w14:paraId="6ED5311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C9A8AF" w14:textId="77777777" w:rsidR="009E215C" w:rsidRPr="004C5A7A" w:rsidRDefault="009E215C">
            <w:pPr>
              <w:keepNext/>
              <w:keepLines/>
              <w:ind w:left="113"/>
              <w:rPr>
                <w:rFonts w:ascii="Arial" w:eastAsia="Times New Roman" w:hAnsi="Arial" w:cs="Arial"/>
                <w:b w:val="0"/>
                <w:bCs w:val="0"/>
                <w:spacing w:val="-2"/>
                <w:sz w:val="14"/>
                <w:szCs w:val="14"/>
              </w:rPr>
            </w:pPr>
            <w:proofErr w:type="spellStart"/>
            <w:r w:rsidRPr="004C5A7A">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auto"/>
            <w:vAlign w:val="center"/>
          </w:tcPr>
          <w:p w14:paraId="51590C5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4,943</w:t>
            </w:r>
          </w:p>
        </w:tc>
        <w:tc>
          <w:tcPr>
            <w:tcW w:w="3260" w:type="dxa"/>
            <w:tcBorders>
              <w:top w:val="nil"/>
              <w:left w:val="nil"/>
              <w:bottom w:val="nil"/>
              <w:right w:val="nil"/>
            </w:tcBorders>
            <w:shd w:val="clear" w:color="auto" w:fill="auto"/>
            <w:vAlign w:val="center"/>
          </w:tcPr>
          <w:p w14:paraId="603BBD2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13,566</w:t>
            </w:r>
          </w:p>
        </w:tc>
      </w:tr>
      <w:tr w:rsidR="009E215C" w:rsidRPr="004C5A7A" w14:paraId="04DA607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3C89BEB" w14:textId="77777777" w:rsidR="009E215C" w:rsidRPr="004C5A7A" w:rsidRDefault="009E215C">
            <w:pPr>
              <w:keepNext/>
              <w:keepLines/>
              <w:ind w:left="113"/>
              <w:rPr>
                <w:rFonts w:ascii="Arial" w:eastAsia="Times New Roman" w:hAnsi="Arial" w:cs="Arial"/>
                <w:b w:val="0"/>
                <w:bCs w:val="0"/>
                <w:spacing w:val="-2"/>
                <w:sz w:val="14"/>
                <w:szCs w:val="14"/>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42123D2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470,133</w:t>
            </w:r>
          </w:p>
        </w:tc>
        <w:tc>
          <w:tcPr>
            <w:tcW w:w="3260" w:type="dxa"/>
            <w:tcBorders>
              <w:top w:val="nil"/>
              <w:left w:val="nil"/>
              <w:bottom w:val="nil"/>
              <w:right w:val="nil"/>
            </w:tcBorders>
            <w:shd w:val="clear" w:color="auto" w:fill="auto"/>
            <w:vAlign w:val="center"/>
          </w:tcPr>
          <w:p w14:paraId="50C085D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513,218</w:t>
            </w:r>
          </w:p>
        </w:tc>
      </w:tr>
      <w:tr w:rsidR="009E215C" w:rsidRPr="004C5A7A" w14:paraId="0FE9053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B2ADC3"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w:t>
            </w:r>
            <w:r w:rsidRPr="004C5A7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09C0DC1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55,828</w:t>
            </w:r>
          </w:p>
        </w:tc>
        <w:tc>
          <w:tcPr>
            <w:tcW w:w="3260" w:type="dxa"/>
            <w:tcBorders>
              <w:top w:val="nil"/>
              <w:left w:val="nil"/>
              <w:bottom w:val="nil"/>
              <w:right w:val="nil"/>
            </w:tcBorders>
            <w:shd w:val="clear" w:color="auto" w:fill="auto"/>
            <w:vAlign w:val="center"/>
          </w:tcPr>
          <w:p w14:paraId="46C85EC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116,875</w:t>
            </w:r>
          </w:p>
        </w:tc>
      </w:tr>
      <w:tr w:rsidR="009E215C" w:rsidRPr="004C5A7A" w14:paraId="77B42C0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7A9BD2"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6FB8BD00"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8,660</w:t>
            </w:r>
          </w:p>
        </w:tc>
        <w:tc>
          <w:tcPr>
            <w:tcW w:w="3260" w:type="dxa"/>
            <w:tcBorders>
              <w:top w:val="nil"/>
              <w:left w:val="nil"/>
              <w:bottom w:val="nil"/>
              <w:right w:val="nil"/>
            </w:tcBorders>
            <w:shd w:val="clear" w:color="auto" w:fill="auto"/>
            <w:vAlign w:val="center"/>
          </w:tcPr>
          <w:p w14:paraId="1D3790A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10,790</w:t>
            </w:r>
          </w:p>
        </w:tc>
      </w:tr>
      <w:tr w:rsidR="009E215C" w:rsidRPr="004C5A7A" w14:paraId="1FA5BC2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0AFE6F"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7ECFD12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186</w:t>
            </w:r>
          </w:p>
        </w:tc>
        <w:tc>
          <w:tcPr>
            <w:tcW w:w="3260" w:type="dxa"/>
            <w:tcBorders>
              <w:top w:val="nil"/>
              <w:left w:val="nil"/>
              <w:bottom w:val="nil"/>
              <w:right w:val="nil"/>
            </w:tcBorders>
            <w:shd w:val="clear" w:color="auto" w:fill="auto"/>
            <w:vAlign w:val="center"/>
          </w:tcPr>
          <w:p w14:paraId="05977D1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127</w:t>
            </w:r>
          </w:p>
        </w:tc>
      </w:tr>
      <w:tr w:rsidR="009E215C" w:rsidRPr="004C5A7A" w14:paraId="6928EB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42F3EB7"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1385CE9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103,348</w:t>
            </w:r>
          </w:p>
        </w:tc>
        <w:tc>
          <w:tcPr>
            <w:tcW w:w="3260" w:type="dxa"/>
            <w:tcBorders>
              <w:top w:val="nil"/>
              <w:left w:val="nil"/>
              <w:bottom w:val="nil"/>
              <w:right w:val="nil"/>
            </w:tcBorders>
            <w:shd w:val="clear" w:color="auto" w:fill="auto"/>
            <w:vAlign w:val="center"/>
          </w:tcPr>
          <w:p w14:paraId="0F52739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101,705</w:t>
            </w:r>
          </w:p>
        </w:tc>
      </w:tr>
      <w:tr w:rsidR="009E215C" w:rsidRPr="004C5A7A" w14:paraId="34EF20E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F1AF48"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0FDE58B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w:t>
            </w:r>
          </w:p>
        </w:tc>
        <w:tc>
          <w:tcPr>
            <w:tcW w:w="3260" w:type="dxa"/>
            <w:tcBorders>
              <w:top w:val="nil"/>
              <w:left w:val="nil"/>
              <w:bottom w:val="nil"/>
              <w:right w:val="nil"/>
            </w:tcBorders>
            <w:shd w:val="clear" w:color="auto" w:fill="auto"/>
            <w:vAlign w:val="center"/>
          </w:tcPr>
          <w:p w14:paraId="5FFE2C1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8,479</w:t>
            </w:r>
          </w:p>
        </w:tc>
      </w:tr>
      <w:tr w:rsidR="009E215C" w:rsidRPr="004C5A7A" w14:paraId="662A5C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CD81D3"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w:t>
            </w:r>
            <w:r w:rsidRPr="004C5A7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6AFA61E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24,545</w:t>
            </w:r>
          </w:p>
        </w:tc>
        <w:tc>
          <w:tcPr>
            <w:tcW w:w="3260" w:type="dxa"/>
            <w:tcBorders>
              <w:top w:val="nil"/>
              <w:left w:val="nil"/>
              <w:bottom w:val="nil"/>
              <w:right w:val="nil"/>
            </w:tcBorders>
            <w:shd w:val="clear" w:color="auto" w:fill="auto"/>
            <w:vAlign w:val="center"/>
          </w:tcPr>
          <w:p w14:paraId="228BBEF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w:t>
            </w:r>
          </w:p>
        </w:tc>
      </w:tr>
      <w:tr w:rsidR="009E215C" w:rsidRPr="004C5A7A" w14:paraId="25A6723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3158B9"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Deferred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auto"/>
            <w:vAlign w:val="center"/>
          </w:tcPr>
          <w:p w14:paraId="3A2573D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14,533</w:t>
            </w:r>
          </w:p>
        </w:tc>
        <w:tc>
          <w:tcPr>
            <w:tcW w:w="3260" w:type="dxa"/>
            <w:tcBorders>
              <w:top w:val="nil"/>
              <w:left w:val="nil"/>
              <w:bottom w:val="nil"/>
              <w:right w:val="nil"/>
            </w:tcBorders>
            <w:shd w:val="clear" w:color="auto" w:fill="auto"/>
            <w:vAlign w:val="center"/>
          </w:tcPr>
          <w:p w14:paraId="49D9052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19,334</w:t>
            </w:r>
          </w:p>
        </w:tc>
      </w:tr>
      <w:tr w:rsidR="009E215C" w:rsidRPr="004C5A7A" w14:paraId="0F74F2E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77AC45" w14:textId="77777777" w:rsidR="009E215C" w:rsidRPr="004C5A7A" w:rsidRDefault="009E215C">
            <w:pPr>
              <w:keepNext/>
              <w:keepLines/>
              <w:spacing w:before="40" w:after="40"/>
              <w:ind w:left="113"/>
              <w:rPr>
                <w:rFonts w:ascii="Arial" w:eastAsia="Times New Roman" w:hAnsi="Arial" w:cs="Arial"/>
                <w:b w:val="0"/>
                <w:bCs w:val="0"/>
                <w:spacing w:val="-2"/>
                <w:sz w:val="14"/>
                <w:szCs w:val="14"/>
              </w:rPr>
            </w:pPr>
            <w:proofErr w:type="spellStart"/>
            <w:r w:rsidRPr="004C5A7A">
              <w:rPr>
                <w:rFonts w:ascii="Arial" w:hAnsi="Arial" w:cs="Arial"/>
                <w:b w:val="0"/>
                <w:bCs w:val="0"/>
                <w:color w:val="000000"/>
                <w:sz w:val="14"/>
                <w:szCs w:val="14"/>
              </w:rPr>
              <w:t>Fixed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7318D78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13,520</w:t>
            </w:r>
          </w:p>
        </w:tc>
        <w:tc>
          <w:tcPr>
            <w:tcW w:w="3260" w:type="dxa"/>
            <w:tcBorders>
              <w:top w:val="nil"/>
              <w:left w:val="nil"/>
              <w:bottom w:val="nil"/>
              <w:right w:val="nil"/>
            </w:tcBorders>
            <w:shd w:val="clear" w:color="auto" w:fill="auto"/>
            <w:vAlign w:val="center"/>
          </w:tcPr>
          <w:p w14:paraId="1B11A85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15,058</w:t>
            </w:r>
          </w:p>
        </w:tc>
      </w:tr>
      <w:tr w:rsidR="009E215C" w:rsidRPr="004C5A7A" w14:paraId="42005A2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96FF61"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Investments in </w:t>
            </w:r>
            <w:proofErr w:type="spellStart"/>
            <w:r w:rsidRPr="004C5A7A">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auto"/>
            <w:vAlign w:val="center"/>
          </w:tcPr>
          <w:p w14:paraId="7FCFEAF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66756DC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343</w:t>
            </w:r>
          </w:p>
        </w:tc>
      </w:tr>
      <w:tr w:rsidR="009E215C" w:rsidRPr="004C5A7A" w14:paraId="3920284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8F9097" w14:textId="77777777" w:rsidR="009E215C" w:rsidRPr="004C5A7A" w:rsidRDefault="009E215C">
            <w:pPr>
              <w:keepNext/>
              <w:keepLines/>
              <w:spacing w:before="40" w:after="40"/>
              <w:ind w:left="113"/>
              <w:rPr>
                <w:rFonts w:ascii="Arial" w:eastAsia="Times New Roman" w:hAnsi="Arial" w:cs="Arial"/>
                <w:b w:val="0"/>
                <w:bCs w:val="0"/>
                <w:spacing w:val="-2"/>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78AAC57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50,407</w:t>
            </w:r>
          </w:p>
        </w:tc>
        <w:tc>
          <w:tcPr>
            <w:tcW w:w="3260" w:type="dxa"/>
            <w:tcBorders>
              <w:top w:val="nil"/>
              <w:left w:val="nil"/>
              <w:bottom w:val="nil"/>
              <w:right w:val="nil"/>
            </w:tcBorders>
            <w:shd w:val="clear" w:color="auto" w:fill="auto"/>
            <w:vAlign w:val="center"/>
          </w:tcPr>
          <w:p w14:paraId="4A65A96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58,491</w:t>
            </w:r>
          </w:p>
        </w:tc>
      </w:tr>
      <w:tr w:rsidR="009E215C" w:rsidRPr="004C5A7A" w14:paraId="37FEE8D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B652E3" w14:textId="77777777" w:rsidR="009E215C" w:rsidRPr="004C5A7A" w:rsidRDefault="009E215C">
            <w:pPr>
              <w:keepNext/>
              <w:keepLines/>
              <w:spacing w:before="40" w:after="40"/>
              <w:rPr>
                <w:rFonts w:ascii="Arial" w:eastAsia="Times New Roman" w:hAnsi="Arial" w:cs="Arial"/>
                <w:spacing w:val="-2"/>
                <w:sz w:val="14"/>
                <w:szCs w:val="14"/>
              </w:rPr>
            </w:pPr>
            <w:r w:rsidRPr="004C5A7A">
              <w:rPr>
                <w:rFonts w:ascii="Arial" w:hAnsi="Arial" w:cs="Arial"/>
                <w:color w:val="000000"/>
                <w:sz w:val="14"/>
                <w:szCs w:val="14"/>
              </w:rPr>
              <w:t xml:space="preserve">Total </w:t>
            </w:r>
            <w:proofErr w:type="spellStart"/>
            <w:r w:rsidRPr="004C5A7A">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6A96843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651,894</w:t>
            </w:r>
          </w:p>
        </w:tc>
        <w:tc>
          <w:tcPr>
            <w:tcW w:w="3260" w:type="dxa"/>
            <w:tcBorders>
              <w:top w:val="nil"/>
              <w:left w:val="nil"/>
              <w:bottom w:val="nil"/>
              <w:right w:val="nil"/>
            </w:tcBorders>
            <w:shd w:val="clear" w:color="auto" w:fill="auto"/>
            <w:vAlign w:val="center"/>
          </w:tcPr>
          <w:p w14:paraId="2B5A085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760,324</w:t>
            </w:r>
          </w:p>
        </w:tc>
      </w:tr>
      <w:tr w:rsidR="009E215C" w:rsidRPr="004C5A7A" w14:paraId="58BD0D6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367364" w14:textId="77777777" w:rsidR="009E215C" w:rsidRPr="004C5A7A" w:rsidRDefault="009E215C">
            <w:pPr>
              <w:keepNext/>
              <w:keepLines/>
              <w:spacing w:before="40" w:after="40"/>
              <w:rPr>
                <w:rFonts w:ascii="Arial" w:eastAsia="Times New Roman" w:hAnsi="Arial" w:cs="Arial"/>
                <w:b w:val="0"/>
                <w:bCs w:val="0"/>
                <w:spacing w:val="-2"/>
                <w:sz w:val="14"/>
                <w:szCs w:val="14"/>
              </w:rPr>
            </w:pPr>
            <w:r w:rsidRPr="004C5A7A">
              <w:rPr>
                <w:rFonts w:ascii="Arial" w:hAnsi="Arial" w:cs="Arial"/>
                <w:b w:val="0"/>
                <w:bCs w:val="0"/>
                <w:color w:val="000000"/>
                <w:sz w:val="14"/>
                <w:szCs w:val="14"/>
              </w:rPr>
              <w:t> </w:t>
            </w:r>
          </w:p>
        </w:tc>
        <w:tc>
          <w:tcPr>
            <w:tcW w:w="3260" w:type="dxa"/>
            <w:tcBorders>
              <w:top w:val="nil"/>
              <w:left w:val="nil"/>
              <w:bottom w:val="nil"/>
              <w:right w:val="nil"/>
            </w:tcBorders>
            <w:shd w:val="clear" w:color="auto" w:fill="auto"/>
            <w:vAlign w:val="center"/>
          </w:tcPr>
          <w:p w14:paraId="48F5988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10E9145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9E215C" w:rsidRPr="004C5A7A" w14:paraId="77D2C7D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B878DE"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B01C2E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312,487</w:t>
            </w:r>
          </w:p>
        </w:tc>
        <w:tc>
          <w:tcPr>
            <w:tcW w:w="3260" w:type="dxa"/>
            <w:tcBorders>
              <w:top w:val="nil"/>
              <w:left w:val="nil"/>
              <w:bottom w:val="nil"/>
              <w:right w:val="nil"/>
            </w:tcBorders>
            <w:shd w:val="clear" w:color="auto" w:fill="auto"/>
            <w:vAlign w:val="center"/>
          </w:tcPr>
          <w:p w14:paraId="7D9FD59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448,605</w:t>
            </w:r>
          </w:p>
        </w:tc>
      </w:tr>
      <w:tr w:rsidR="009E215C" w:rsidRPr="004C5A7A" w14:paraId="6F3E9E2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4A75C6"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color w:val="000000"/>
                <w:sz w:val="14"/>
                <w:szCs w:val="14"/>
              </w:rPr>
              <w:t>Amounts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7F951CF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16,443</w:t>
            </w:r>
          </w:p>
        </w:tc>
        <w:tc>
          <w:tcPr>
            <w:tcW w:w="3260" w:type="dxa"/>
            <w:tcBorders>
              <w:top w:val="nil"/>
              <w:left w:val="nil"/>
              <w:bottom w:val="nil"/>
              <w:right w:val="nil"/>
            </w:tcBorders>
            <w:shd w:val="clear" w:color="auto" w:fill="auto"/>
            <w:vAlign w:val="center"/>
          </w:tcPr>
          <w:p w14:paraId="16845F0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23,288</w:t>
            </w:r>
          </w:p>
        </w:tc>
      </w:tr>
      <w:tr w:rsidR="009E215C" w:rsidRPr="004C5A7A" w14:paraId="32CBDD4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454B3A"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lang w:val="en"/>
              </w:rPr>
              <w:t>Current tax liability</w:t>
            </w:r>
          </w:p>
        </w:tc>
        <w:tc>
          <w:tcPr>
            <w:tcW w:w="3260" w:type="dxa"/>
            <w:tcBorders>
              <w:top w:val="nil"/>
              <w:left w:val="nil"/>
              <w:bottom w:val="nil"/>
              <w:right w:val="nil"/>
            </w:tcBorders>
            <w:shd w:val="clear" w:color="auto" w:fill="auto"/>
            <w:vAlign w:val="center"/>
          </w:tcPr>
          <w:p w14:paraId="0D63D80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29,741</w:t>
            </w:r>
          </w:p>
        </w:tc>
        <w:tc>
          <w:tcPr>
            <w:tcW w:w="3260" w:type="dxa"/>
            <w:tcBorders>
              <w:top w:val="nil"/>
              <w:left w:val="nil"/>
              <w:bottom w:val="nil"/>
              <w:right w:val="nil"/>
            </w:tcBorders>
            <w:shd w:val="clear" w:color="auto" w:fill="auto"/>
            <w:vAlign w:val="center"/>
          </w:tcPr>
          <w:p w14:paraId="4A62290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984</w:t>
            </w:r>
          </w:p>
        </w:tc>
      </w:tr>
      <w:tr w:rsidR="009E215C" w:rsidRPr="004C5A7A" w14:paraId="03E92D0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F41B45"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lang w:val="en"/>
              </w:rPr>
              <w:t xml:space="preserve">Insurance and Reinsurance Contracts </w:t>
            </w:r>
            <w:r w:rsidRPr="004C5A7A">
              <w:rPr>
                <w:rFonts w:ascii="Arial" w:hAnsi="Arial" w:cs="Arial"/>
                <w:b w:val="0"/>
                <w:bCs w:val="0"/>
                <w:color w:val="000000"/>
                <w:sz w:val="14"/>
                <w:szCs w:val="14"/>
                <w:vertAlign w:val="superscript"/>
                <w:lang w:val="en"/>
              </w:rPr>
              <w:t>(1)</w:t>
            </w:r>
          </w:p>
        </w:tc>
        <w:tc>
          <w:tcPr>
            <w:tcW w:w="3260" w:type="dxa"/>
            <w:tcBorders>
              <w:top w:val="nil"/>
              <w:left w:val="nil"/>
              <w:bottom w:val="nil"/>
              <w:right w:val="nil"/>
            </w:tcBorders>
            <w:shd w:val="clear" w:color="auto" w:fill="auto"/>
            <w:vAlign w:val="center"/>
          </w:tcPr>
          <w:p w14:paraId="1CC70E4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265,970</w:t>
            </w:r>
          </w:p>
        </w:tc>
        <w:tc>
          <w:tcPr>
            <w:tcW w:w="3260" w:type="dxa"/>
            <w:tcBorders>
              <w:top w:val="nil"/>
              <w:left w:val="nil"/>
              <w:bottom w:val="nil"/>
              <w:right w:val="nil"/>
            </w:tcBorders>
            <w:shd w:val="clear" w:color="auto" w:fill="auto"/>
            <w:vAlign w:val="center"/>
          </w:tcPr>
          <w:p w14:paraId="1B7C202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422,206</w:t>
            </w:r>
          </w:p>
        </w:tc>
      </w:tr>
      <w:tr w:rsidR="009E215C" w:rsidRPr="004C5A7A" w14:paraId="4E46A38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71A211"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596319F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333</w:t>
            </w:r>
          </w:p>
        </w:tc>
        <w:tc>
          <w:tcPr>
            <w:tcW w:w="3260" w:type="dxa"/>
            <w:tcBorders>
              <w:top w:val="nil"/>
              <w:left w:val="nil"/>
              <w:bottom w:val="nil"/>
              <w:right w:val="nil"/>
            </w:tcBorders>
            <w:shd w:val="clear" w:color="auto" w:fill="auto"/>
            <w:vAlign w:val="center"/>
          </w:tcPr>
          <w:p w14:paraId="49E76CD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2,127</w:t>
            </w:r>
          </w:p>
        </w:tc>
      </w:tr>
      <w:tr w:rsidR="009E215C" w:rsidRPr="004C5A7A" w14:paraId="3F6E3A2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6FD74AD"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4471CE8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183,141</w:t>
            </w:r>
          </w:p>
        </w:tc>
        <w:tc>
          <w:tcPr>
            <w:tcW w:w="3260" w:type="dxa"/>
            <w:tcBorders>
              <w:top w:val="nil"/>
              <w:left w:val="nil"/>
              <w:bottom w:val="nil"/>
              <w:right w:val="nil"/>
            </w:tcBorders>
            <w:shd w:val="clear" w:color="auto" w:fill="auto"/>
            <w:vAlign w:val="center"/>
          </w:tcPr>
          <w:p w14:paraId="5D0C643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46,879</w:t>
            </w:r>
          </w:p>
        </w:tc>
      </w:tr>
      <w:tr w:rsidR="009E215C" w:rsidRPr="004C5A7A" w14:paraId="5097D05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BA84CD" w14:textId="77777777" w:rsidR="009E215C" w:rsidRPr="004C5A7A" w:rsidRDefault="009E215C">
            <w:pPr>
              <w:keepNext/>
              <w:keepLines/>
              <w:spacing w:before="40" w:after="40"/>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Deferred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488565A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w:t>
            </w:r>
          </w:p>
        </w:tc>
        <w:tc>
          <w:tcPr>
            <w:tcW w:w="3260" w:type="dxa"/>
            <w:tcBorders>
              <w:top w:val="nil"/>
              <w:left w:val="nil"/>
              <w:bottom w:val="nil"/>
              <w:right w:val="nil"/>
            </w:tcBorders>
            <w:shd w:val="clear" w:color="auto" w:fill="auto"/>
            <w:vAlign w:val="center"/>
          </w:tcPr>
          <w:p w14:paraId="4099352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56</w:t>
            </w:r>
          </w:p>
        </w:tc>
      </w:tr>
      <w:tr w:rsidR="009E215C" w:rsidRPr="004C5A7A" w14:paraId="191EE8D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213B0D" w14:textId="77777777" w:rsidR="009E215C" w:rsidRPr="004C5A7A" w:rsidRDefault="009E215C">
            <w:pPr>
              <w:keepNext/>
              <w:keepLines/>
              <w:spacing w:before="40" w:after="40"/>
              <w:ind w:left="113"/>
              <w:rPr>
                <w:rFonts w:ascii="Arial" w:hAnsi="Arial" w:cs="Arial"/>
                <w:color w:val="000000"/>
                <w:sz w:val="14"/>
                <w:szCs w:val="14"/>
              </w:rPr>
            </w:pPr>
            <w:r w:rsidRPr="004C5A7A">
              <w:rPr>
                <w:rFonts w:ascii="Arial" w:hAnsi="Arial" w:cs="Arial"/>
                <w:b w:val="0"/>
                <w:bCs w:val="0"/>
                <w:color w:val="000000"/>
                <w:sz w:val="14"/>
                <w:szCs w:val="14"/>
                <w:lang w:val="en"/>
              </w:rPr>
              <w:t xml:space="preserve">Insurance and Reinsurance Contracts </w:t>
            </w:r>
            <w:r w:rsidRPr="004C5A7A">
              <w:rPr>
                <w:rFonts w:ascii="Arial" w:hAnsi="Arial" w:cs="Arial"/>
                <w:b w:val="0"/>
                <w:bCs w:val="0"/>
                <w:color w:val="000000"/>
                <w:sz w:val="14"/>
                <w:szCs w:val="14"/>
                <w:vertAlign w:val="superscript"/>
                <w:lang w:val="en"/>
              </w:rPr>
              <w:t>(1)</w:t>
            </w:r>
          </w:p>
        </w:tc>
        <w:tc>
          <w:tcPr>
            <w:tcW w:w="3260" w:type="dxa"/>
            <w:tcBorders>
              <w:top w:val="nil"/>
              <w:left w:val="nil"/>
              <w:bottom w:val="nil"/>
              <w:right w:val="nil"/>
            </w:tcBorders>
            <w:shd w:val="clear" w:color="auto" w:fill="auto"/>
            <w:vAlign w:val="center"/>
          </w:tcPr>
          <w:p w14:paraId="74E3558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137,499</w:t>
            </w:r>
          </w:p>
        </w:tc>
        <w:tc>
          <w:tcPr>
            <w:tcW w:w="3260" w:type="dxa"/>
            <w:tcBorders>
              <w:top w:val="nil"/>
              <w:left w:val="nil"/>
              <w:bottom w:val="nil"/>
              <w:right w:val="nil"/>
            </w:tcBorders>
            <w:shd w:val="clear" w:color="auto" w:fill="auto"/>
            <w:vAlign w:val="center"/>
          </w:tcPr>
          <w:p w14:paraId="5056484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w:t>
            </w:r>
          </w:p>
        </w:tc>
      </w:tr>
      <w:tr w:rsidR="009E215C" w:rsidRPr="004C5A7A" w14:paraId="54C6AC1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D64F6C"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5B1D69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45,642</w:t>
            </w:r>
          </w:p>
        </w:tc>
        <w:tc>
          <w:tcPr>
            <w:tcW w:w="3260" w:type="dxa"/>
            <w:tcBorders>
              <w:top w:val="nil"/>
              <w:left w:val="nil"/>
              <w:bottom w:val="nil"/>
              <w:right w:val="nil"/>
            </w:tcBorders>
            <w:shd w:val="clear" w:color="auto" w:fill="auto"/>
            <w:vAlign w:val="center"/>
          </w:tcPr>
          <w:p w14:paraId="328288C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46,823</w:t>
            </w:r>
          </w:p>
        </w:tc>
      </w:tr>
      <w:tr w:rsidR="009E215C" w:rsidRPr="004C5A7A" w14:paraId="4F8E8CC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C4A7C0"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67644FD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156,266</w:t>
            </w:r>
          </w:p>
        </w:tc>
        <w:tc>
          <w:tcPr>
            <w:tcW w:w="3260" w:type="dxa"/>
            <w:tcBorders>
              <w:top w:val="nil"/>
              <w:left w:val="nil"/>
              <w:bottom w:val="nil"/>
              <w:right w:val="nil"/>
            </w:tcBorders>
            <w:shd w:val="clear" w:color="auto" w:fill="auto"/>
            <w:vAlign w:val="center"/>
          </w:tcPr>
          <w:p w14:paraId="0E578B7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264,840</w:t>
            </w:r>
          </w:p>
        </w:tc>
      </w:tr>
      <w:tr w:rsidR="009E215C" w:rsidRPr="004C5A7A" w14:paraId="7D588BC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ABB96BF"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Capital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7992D8C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156,239</w:t>
            </w:r>
          </w:p>
        </w:tc>
        <w:tc>
          <w:tcPr>
            <w:tcW w:w="3260" w:type="dxa"/>
            <w:tcBorders>
              <w:top w:val="nil"/>
              <w:left w:val="nil"/>
              <w:bottom w:val="nil"/>
              <w:right w:val="nil"/>
            </w:tcBorders>
            <w:shd w:val="clear" w:color="auto" w:fill="auto"/>
            <w:vAlign w:val="center"/>
          </w:tcPr>
          <w:p w14:paraId="1194324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264,756</w:t>
            </w:r>
          </w:p>
        </w:tc>
      </w:tr>
      <w:tr w:rsidR="009E215C" w:rsidRPr="004C5A7A" w14:paraId="46D2622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F82D69"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comprehensive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73F2EB6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27</w:t>
            </w:r>
          </w:p>
        </w:tc>
        <w:tc>
          <w:tcPr>
            <w:tcW w:w="3260" w:type="dxa"/>
            <w:tcBorders>
              <w:top w:val="nil"/>
              <w:left w:val="nil"/>
              <w:bottom w:val="nil"/>
              <w:right w:val="nil"/>
            </w:tcBorders>
            <w:shd w:val="clear" w:color="auto" w:fill="auto"/>
            <w:vAlign w:val="center"/>
          </w:tcPr>
          <w:p w14:paraId="493D116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84</w:t>
            </w:r>
          </w:p>
        </w:tc>
      </w:tr>
      <w:tr w:rsidR="009E215C" w:rsidRPr="004C5A7A" w14:paraId="5302C62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100B7C89"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color w:val="000000"/>
                <w:sz w:val="14"/>
                <w:szCs w:val="14"/>
              </w:rPr>
              <w:t>Liabilities</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and</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auto"/>
            <w:vAlign w:val="center"/>
          </w:tcPr>
          <w:p w14:paraId="23B5408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651,894</w:t>
            </w:r>
          </w:p>
        </w:tc>
        <w:tc>
          <w:tcPr>
            <w:tcW w:w="3260" w:type="dxa"/>
            <w:tcBorders>
              <w:top w:val="nil"/>
              <w:left w:val="nil"/>
              <w:bottom w:val="single" w:sz="2" w:space="0" w:color="1F3864" w:themeColor="accent1" w:themeShade="80"/>
              <w:right w:val="nil"/>
            </w:tcBorders>
            <w:shd w:val="clear" w:color="auto" w:fill="auto"/>
            <w:vAlign w:val="center"/>
          </w:tcPr>
          <w:p w14:paraId="7B78593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760,324</w:t>
            </w:r>
          </w:p>
        </w:tc>
      </w:tr>
    </w:tbl>
    <w:p w14:paraId="2C79A5A8" w14:textId="77777777" w:rsidR="009E215C" w:rsidRPr="004C5A7A" w:rsidRDefault="009E215C" w:rsidP="00A76AF4">
      <w:pPr>
        <w:pStyle w:val="05-Textonormal"/>
        <w:numPr>
          <w:ilvl w:val="0"/>
          <w:numId w:val="30"/>
        </w:numPr>
        <w:spacing w:before="0" w:after="0" w:line="240" w:lineRule="auto"/>
        <w:ind w:left="284" w:hanging="284"/>
        <w:rPr>
          <w:rFonts w:cs="Arial"/>
          <w:spacing w:val="0"/>
          <w:kern w:val="20"/>
          <w:sz w:val="14"/>
          <w:szCs w:val="16"/>
          <w:lang w:val="en-US"/>
        </w:rPr>
      </w:pPr>
      <w:r w:rsidRPr="004C5A7A">
        <w:rPr>
          <w:rFonts w:cs="Arial"/>
          <w:spacing w:val="0"/>
          <w:kern w:val="20"/>
          <w:sz w:val="14"/>
          <w:szCs w:val="16"/>
          <w:lang w:val="en-US"/>
        </w:rPr>
        <w:t>As of 2024, Insurance and Reinsurance Contracts, previously classified as Current Assets and Current Liabilities, were segregated between Current and Non-Current Assets and Liabilities.</w:t>
      </w:r>
    </w:p>
    <w:p w14:paraId="51D4FACB" w14:textId="77777777" w:rsidR="009E215C" w:rsidRPr="004C5A7A" w:rsidRDefault="009E215C" w:rsidP="009E215C">
      <w:pPr>
        <w:pStyle w:val="01-TtulodeNota"/>
        <w:spacing w:before="0" w:after="0"/>
        <w:rPr>
          <w:rFonts w:cs="Arial"/>
          <w:b w:val="0"/>
          <w:sz w:val="18"/>
          <w:lang w:val="en-US" w:eastAsia="zh-CN"/>
        </w:rPr>
      </w:pPr>
    </w:p>
    <w:p w14:paraId="72A612A3" w14:textId="77777777" w:rsidR="009E215C" w:rsidRPr="004C5A7A" w:rsidRDefault="009E215C" w:rsidP="009E215C">
      <w:pPr>
        <w:pStyle w:val="01-TtulodeNota"/>
        <w:spacing w:before="0" w:after="0"/>
        <w:rPr>
          <w:rFonts w:cs="Arial"/>
          <w:b w:val="0"/>
          <w:sz w:val="18"/>
          <w:lang w:val="en-US" w:eastAsia="zh-CN"/>
        </w:rPr>
      </w:pPr>
      <w:r w:rsidRPr="004C5A7A">
        <w:rPr>
          <w:rFonts w:cs="Arial"/>
          <w:b w:val="0"/>
          <w:sz w:val="18"/>
          <w:lang w:val="en-US" w:eastAsia="zh-CN"/>
        </w:rPr>
        <w:t>The impacts of CPC 50 [IFRS 17], in 2024 and 2023, and of CPC 48 [IFRS 9], in 2023, on Shareholders' Equity, for comparability purposes, are shown in the table below:</w:t>
      </w:r>
    </w:p>
    <w:p w14:paraId="6825EFB3"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E215C" w:rsidRPr="004C5A7A" w14:paraId="6E08B31F"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6982DE" w14:textId="77777777" w:rsidR="009E215C" w:rsidRPr="004C5A7A" w:rsidRDefault="009E215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CE3425"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5B363C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292108E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5ECC8B92" w14:textId="77777777" w:rsidR="009E215C" w:rsidRPr="004C5A7A" w:rsidRDefault="009E215C">
            <w:pPr>
              <w:keepNext/>
              <w:keepLines/>
              <w:rPr>
                <w:rFonts w:ascii="Arial" w:eastAsia="Times New Roman" w:hAnsi="Arial" w:cs="Arial"/>
                <w:b w:val="0"/>
                <w:bCs w:val="0"/>
                <w:spacing w:val="-2"/>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BRGAAP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68133BA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156,266 </w:t>
            </w:r>
          </w:p>
        </w:tc>
        <w:tc>
          <w:tcPr>
            <w:tcW w:w="2126" w:type="dxa"/>
            <w:tcBorders>
              <w:top w:val="single" w:sz="2" w:space="0" w:color="1F3864" w:themeColor="accent1" w:themeShade="80"/>
              <w:left w:val="nil"/>
              <w:bottom w:val="nil"/>
              <w:right w:val="nil"/>
            </w:tcBorders>
            <w:shd w:val="clear" w:color="auto" w:fill="auto"/>
            <w:vAlign w:val="center"/>
          </w:tcPr>
          <w:p w14:paraId="44E53B4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264,840 </w:t>
            </w:r>
          </w:p>
        </w:tc>
      </w:tr>
      <w:tr w:rsidR="009E215C" w:rsidRPr="004C5A7A" w14:paraId="5C9462C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35FA9DC"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3804473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160,028 </w:t>
            </w:r>
          </w:p>
        </w:tc>
        <w:tc>
          <w:tcPr>
            <w:tcW w:w="2126" w:type="dxa"/>
            <w:tcBorders>
              <w:top w:val="nil"/>
              <w:left w:val="nil"/>
              <w:bottom w:val="single" w:sz="2" w:space="0" w:color="1F3864" w:themeColor="accent1" w:themeShade="80"/>
              <w:right w:val="nil"/>
            </w:tcBorders>
            <w:shd w:val="clear" w:color="auto" w:fill="auto"/>
            <w:vAlign w:val="center"/>
          </w:tcPr>
          <w:p w14:paraId="172E0C2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273,522 </w:t>
            </w:r>
          </w:p>
        </w:tc>
      </w:tr>
    </w:tbl>
    <w:p w14:paraId="439EFBE8" w14:textId="77777777" w:rsidR="009E215C" w:rsidRPr="004C5A7A" w:rsidRDefault="009E215C" w:rsidP="009E215C">
      <w:pPr>
        <w:keepNext/>
        <w:keepLines/>
        <w:spacing w:after="0" w:line="240" w:lineRule="auto"/>
        <w:rPr>
          <w:rFonts w:ascii="Arial" w:eastAsia="Times New Roman" w:hAnsi="Arial" w:cs="Arial"/>
          <w:spacing w:val="-2"/>
          <w:sz w:val="18"/>
          <w:szCs w:val="20"/>
          <w:highlight w:val="yellow"/>
          <w:lang w:val="en-US" w:eastAsia="zh-CN"/>
        </w:rPr>
      </w:pPr>
    </w:p>
    <w:p w14:paraId="4532DE47" w14:textId="77777777" w:rsidR="009E215C" w:rsidRPr="004C5A7A" w:rsidRDefault="009E215C" w:rsidP="009E215C">
      <w:pPr>
        <w:spacing w:after="160" w:line="257" w:lineRule="auto"/>
        <w:contextualSpacing/>
        <w:jc w:val="both"/>
        <w:rPr>
          <w:rFonts w:ascii="Arial" w:eastAsia="Times New Roman" w:hAnsi="Arial" w:cs="Arial"/>
          <w:spacing w:val="-2"/>
          <w:sz w:val="14"/>
          <w:szCs w:val="18"/>
          <w:lang w:eastAsia="pt-BR"/>
        </w:rPr>
      </w:pPr>
    </w:p>
    <w:p w14:paraId="4B863251" w14:textId="77777777"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c.2) Brasilprev Seguros e Previdência S.A. (Brasilprev)</w:t>
      </w:r>
    </w:p>
    <w:p w14:paraId="7645362C"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583C33A3" w14:textId="77777777" w:rsidR="009E215C" w:rsidRPr="004C5A7A" w:rsidRDefault="009E215C" w:rsidP="009E215C">
      <w:pPr>
        <w:spacing w:after="0" w:line="240" w:lineRule="auto"/>
        <w:rPr>
          <w:rFonts w:ascii="Arial" w:eastAsia="Times New Roman" w:hAnsi="Arial" w:cs="Arial"/>
          <w:spacing w:val="-2"/>
          <w:sz w:val="18"/>
          <w:szCs w:val="20"/>
          <w:lang w:val="en-US" w:eastAsia="zh-CN"/>
        </w:rPr>
      </w:pPr>
      <w:r w:rsidRPr="004C5A7A">
        <w:rPr>
          <w:rFonts w:ascii="Arial" w:eastAsia="Times New Roman" w:hAnsi="Arial" w:cs="Arial"/>
          <w:b/>
          <w:color w:val="1F3864" w:themeColor="accent1" w:themeShade="80"/>
          <w:spacing w:val="-2"/>
          <w:sz w:val="18"/>
          <w:szCs w:val="20"/>
          <w:lang w:val="en-US" w:eastAsia="pt-BR"/>
        </w:rPr>
        <w:t>Income Statement Information</w:t>
      </w:r>
    </w:p>
    <w:p w14:paraId="1895E596" w14:textId="77777777" w:rsidR="009E215C" w:rsidRPr="004C5A7A" w:rsidRDefault="009E215C" w:rsidP="009E215C">
      <w:pPr>
        <w:keepNext/>
        <w:keepLines/>
        <w:spacing w:after="0" w:line="240" w:lineRule="auto"/>
        <w:rPr>
          <w:rFonts w:ascii="Arial" w:eastAsia="Times New Roman" w:hAnsi="Arial" w:cs="Arial"/>
          <w:spacing w:val="-2"/>
          <w:sz w:val="18"/>
          <w:szCs w:val="20"/>
          <w:lang w:val="en-US" w:eastAsia="zh-CN"/>
        </w:rPr>
      </w:pPr>
    </w:p>
    <w:p w14:paraId="49955826"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9E215C" w:rsidRPr="004C5A7A" w14:paraId="571FC9A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638D8A" w14:textId="77777777" w:rsidR="009E215C" w:rsidRPr="004C5A7A" w:rsidRDefault="009E215C">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39918A"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9153F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501C0E"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2024</w:t>
            </w:r>
          </w:p>
        </w:tc>
        <w:tc>
          <w:tcPr>
            <w:tcW w:w="18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510453"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2023</w:t>
            </w:r>
          </w:p>
        </w:tc>
      </w:tr>
      <w:tr w:rsidR="009E215C" w:rsidRPr="004C5A7A" w14:paraId="64E4F17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shd w:val="clear" w:color="auto" w:fill="auto"/>
            <w:vAlign w:val="center"/>
          </w:tcPr>
          <w:p w14:paraId="7988F6D8" w14:textId="77777777" w:rsidR="009E215C" w:rsidRPr="004C5A7A" w:rsidRDefault="009E215C">
            <w:pPr>
              <w:keepNext/>
              <w:keepLines/>
              <w:rPr>
                <w:rFonts w:ascii="Arial" w:eastAsia="Times New Roman" w:hAnsi="Arial" w:cs="Arial"/>
                <w:spacing w:val="-2"/>
                <w:sz w:val="14"/>
                <w:szCs w:val="14"/>
              </w:rPr>
            </w:pPr>
            <w:proofErr w:type="spellStart"/>
            <w:r w:rsidRPr="004C5A7A">
              <w:rPr>
                <w:rFonts w:ascii="Arial" w:hAnsi="Arial" w:cs="Arial"/>
                <w:sz w:val="14"/>
                <w:szCs w:val="14"/>
              </w:rPr>
              <w:t>Result</w:t>
            </w:r>
            <w:proofErr w:type="spellEnd"/>
            <w:r w:rsidRPr="004C5A7A">
              <w:rPr>
                <w:rFonts w:ascii="Arial" w:hAnsi="Arial" w:cs="Arial"/>
                <w:sz w:val="14"/>
                <w:szCs w:val="14"/>
              </w:rPr>
              <w:t xml:space="preserve"> </w:t>
            </w:r>
            <w:proofErr w:type="spellStart"/>
            <w:r w:rsidRPr="004C5A7A">
              <w:rPr>
                <w:rFonts w:ascii="Arial" w:hAnsi="Arial" w:cs="Arial"/>
                <w:sz w:val="14"/>
                <w:szCs w:val="14"/>
              </w:rPr>
              <w:t>of</w:t>
            </w:r>
            <w:proofErr w:type="spellEnd"/>
            <w:r w:rsidRPr="004C5A7A">
              <w:rPr>
                <w:rFonts w:ascii="Arial" w:hAnsi="Arial" w:cs="Arial"/>
                <w:sz w:val="14"/>
                <w:szCs w:val="14"/>
              </w:rPr>
              <w:t xml:space="preserve"> </w:t>
            </w:r>
            <w:proofErr w:type="spellStart"/>
            <w:r w:rsidRPr="004C5A7A">
              <w:rPr>
                <w:rFonts w:ascii="Arial" w:hAnsi="Arial" w:cs="Arial"/>
                <w:sz w:val="14"/>
                <w:szCs w:val="14"/>
              </w:rPr>
              <w:t>insurance</w:t>
            </w:r>
            <w:proofErr w:type="spellEnd"/>
            <w:r w:rsidRPr="004C5A7A">
              <w:rPr>
                <w:rFonts w:ascii="Arial" w:hAnsi="Arial" w:cs="Arial"/>
                <w:sz w:val="14"/>
                <w:szCs w:val="14"/>
              </w:rPr>
              <w:t xml:space="preserve"> </w:t>
            </w:r>
            <w:proofErr w:type="spellStart"/>
            <w:r w:rsidRPr="004C5A7A">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shd w:val="clear" w:color="auto" w:fill="auto"/>
            <w:vAlign w:val="center"/>
          </w:tcPr>
          <w:p w14:paraId="1672A61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70" w:type="dxa"/>
            <w:tcBorders>
              <w:top w:val="single" w:sz="2" w:space="0" w:color="1F3864" w:themeColor="accent1" w:themeShade="80"/>
              <w:left w:val="nil"/>
              <w:bottom w:val="nil"/>
              <w:right w:val="nil"/>
            </w:tcBorders>
            <w:shd w:val="clear" w:color="auto" w:fill="auto"/>
            <w:vAlign w:val="center"/>
          </w:tcPr>
          <w:p w14:paraId="475BAB3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0" w:type="dxa"/>
            <w:tcBorders>
              <w:top w:val="single" w:sz="2" w:space="0" w:color="1F3864" w:themeColor="accent1" w:themeShade="80"/>
              <w:left w:val="nil"/>
              <w:bottom w:val="nil"/>
              <w:right w:val="nil"/>
            </w:tcBorders>
            <w:shd w:val="clear" w:color="auto" w:fill="auto"/>
            <w:vAlign w:val="center"/>
          </w:tcPr>
          <w:p w14:paraId="22C4EA9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eastAsia="DengXian Light" w:hAnsi="Arial" w:cs="Arial"/>
                <w:b/>
                <w:bCs/>
                <w:color w:val="000000"/>
                <w:sz w:val="14"/>
                <w:szCs w:val="14"/>
              </w:rPr>
              <w:t>4,348,393</w:t>
            </w:r>
          </w:p>
        </w:tc>
        <w:tc>
          <w:tcPr>
            <w:tcW w:w="1810" w:type="dxa"/>
            <w:tcBorders>
              <w:top w:val="single" w:sz="2" w:space="0" w:color="1F3864" w:themeColor="accent1" w:themeShade="80"/>
              <w:left w:val="nil"/>
              <w:bottom w:val="nil"/>
              <w:right w:val="nil"/>
            </w:tcBorders>
            <w:shd w:val="clear" w:color="auto" w:fill="auto"/>
            <w:vAlign w:val="center"/>
          </w:tcPr>
          <w:p w14:paraId="7767D1B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3,849,302</w:t>
            </w:r>
          </w:p>
        </w:tc>
      </w:tr>
      <w:tr w:rsidR="009E215C" w:rsidRPr="004C5A7A" w14:paraId="2541E37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E0FF424"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Result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of</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contracts</w:t>
            </w:r>
            <w:proofErr w:type="spellEnd"/>
            <w:r w:rsidRPr="004C5A7A">
              <w:rPr>
                <w:rFonts w:ascii="Arial" w:hAnsi="Arial" w:cs="Arial"/>
                <w:b w:val="0"/>
                <w:bCs w:val="0"/>
                <w:sz w:val="14"/>
                <w:szCs w:val="14"/>
              </w:rPr>
              <w:t xml:space="preserve"> BBA </w:t>
            </w:r>
            <w:r w:rsidRPr="004C5A7A">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0515CC5E"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304DE9F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3815B54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777,163</w:t>
            </w:r>
          </w:p>
        </w:tc>
        <w:tc>
          <w:tcPr>
            <w:tcW w:w="1810" w:type="dxa"/>
            <w:tcBorders>
              <w:top w:val="nil"/>
              <w:left w:val="nil"/>
              <w:bottom w:val="nil"/>
              <w:right w:val="nil"/>
            </w:tcBorders>
            <w:shd w:val="clear" w:color="auto" w:fill="auto"/>
            <w:vAlign w:val="center"/>
          </w:tcPr>
          <w:p w14:paraId="33D8F52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654,326</w:t>
            </w:r>
          </w:p>
        </w:tc>
      </w:tr>
      <w:tr w:rsidR="009E215C" w:rsidRPr="004C5A7A" w14:paraId="5A2AC76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BC0F1B9"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sz w:val="14"/>
                <w:szCs w:val="14"/>
              </w:rPr>
              <w:t>Result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of</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contracts</w:t>
            </w:r>
            <w:proofErr w:type="spellEnd"/>
            <w:r w:rsidRPr="004C5A7A">
              <w:rPr>
                <w:rFonts w:ascii="Arial" w:hAnsi="Arial" w:cs="Arial"/>
                <w:b w:val="0"/>
                <w:bCs w:val="0"/>
                <w:sz w:val="14"/>
                <w:szCs w:val="14"/>
              </w:rPr>
              <w:t xml:space="preserve"> VFA </w:t>
            </w:r>
            <w:r w:rsidRPr="004C5A7A">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auto"/>
            <w:vAlign w:val="center"/>
          </w:tcPr>
          <w:p w14:paraId="640632B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auto"/>
            <w:vAlign w:val="center"/>
          </w:tcPr>
          <w:p w14:paraId="5CD3FDD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auto"/>
            <w:vAlign w:val="center"/>
          </w:tcPr>
          <w:p w14:paraId="4BBD911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eastAsia="DengXian Light" w:hAnsi="Arial" w:cs="Arial"/>
                <w:color w:val="000000"/>
                <w:sz w:val="14"/>
                <w:szCs w:val="14"/>
              </w:rPr>
              <w:t>3,571,230</w:t>
            </w:r>
          </w:p>
        </w:tc>
        <w:tc>
          <w:tcPr>
            <w:tcW w:w="1810" w:type="dxa"/>
            <w:tcBorders>
              <w:top w:val="nil"/>
              <w:left w:val="nil"/>
              <w:bottom w:val="nil"/>
              <w:right w:val="nil"/>
            </w:tcBorders>
            <w:shd w:val="clear" w:color="auto" w:fill="auto"/>
            <w:vAlign w:val="center"/>
          </w:tcPr>
          <w:p w14:paraId="42733E5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3,194,976</w:t>
            </w:r>
          </w:p>
        </w:tc>
      </w:tr>
      <w:tr w:rsidR="009E215C" w:rsidRPr="004C5A7A" w14:paraId="6FA3664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62F83D2" w14:textId="77777777" w:rsidR="009E215C" w:rsidRPr="004C5A7A" w:rsidRDefault="009E215C">
            <w:pPr>
              <w:keepNext/>
              <w:keepLines/>
              <w:rPr>
                <w:rFonts w:ascii="Arial" w:hAnsi="Arial" w:cs="Arial"/>
                <w:sz w:val="14"/>
                <w:szCs w:val="14"/>
              </w:rPr>
            </w:pPr>
            <w:proofErr w:type="spellStart"/>
            <w:r w:rsidRPr="004C5A7A">
              <w:rPr>
                <w:rFonts w:ascii="Arial" w:hAnsi="Arial" w:cs="Arial"/>
                <w:b w:val="0"/>
                <w:bCs w:val="0"/>
                <w:sz w:val="14"/>
                <w:szCs w:val="14"/>
              </w:rPr>
              <w:t>Insurance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57E0CFE0"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6693B43E"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4B768FA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(823,194)</w:t>
            </w:r>
          </w:p>
        </w:tc>
        <w:tc>
          <w:tcPr>
            <w:tcW w:w="1810" w:type="dxa"/>
            <w:tcBorders>
              <w:top w:val="nil"/>
              <w:left w:val="nil"/>
              <w:bottom w:val="nil"/>
              <w:right w:val="nil"/>
            </w:tcBorders>
            <w:shd w:val="clear" w:color="auto" w:fill="auto"/>
            <w:vAlign w:val="center"/>
          </w:tcPr>
          <w:p w14:paraId="1E70FCE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(784,917)</w:t>
            </w:r>
          </w:p>
        </w:tc>
      </w:tr>
      <w:tr w:rsidR="009E215C" w:rsidRPr="004C5A7A" w14:paraId="53CDF42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A97F115" w14:textId="77777777" w:rsidR="009E215C" w:rsidRPr="004C5A7A" w:rsidRDefault="009E215C">
            <w:pPr>
              <w:keepNext/>
              <w:keepLines/>
              <w:rPr>
                <w:rFonts w:ascii="Arial" w:hAnsi="Arial" w:cs="Arial"/>
                <w:sz w:val="14"/>
                <w:szCs w:val="14"/>
              </w:rPr>
            </w:pPr>
            <w:proofErr w:type="spellStart"/>
            <w:r w:rsidRPr="004C5A7A">
              <w:rPr>
                <w:rFonts w:ascii="Arial" w:hAnsi="Arial" w:cs="Arial"/>
                <w:sz w:val="14"/>
                <w:szCs w:val="14"/>
              </w:rPr>
              <w:t>Reinsurance</w:t>
            </w:r>
            <w:proofErr w:type="spellEnd"/>
            <w:r w:rsidRPr="004C5A7A">
              <w:rPr>
                <w:rFonts w:ascii="Arial" w:hAnsi="Arial" w:cs="Arial"/>
                <w:sz w:val="14"/>
                <w:szCs w:val="14"/>
              </w:rPr>
              <w:t xml:space="preserve"> </w:t>
            </w:r>
            <w:proofErr w:type="spellStart"/>
            <w:r w:rsidRPr="004C5A7A">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6208A87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0134B8E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5EA6223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eastAsia="DengXian Light" w:hAnsi="Arial" w:cs="Arial"/>
                <w:b/>
                <w:bCs/>
                <w:color w:val="000000"/>
                <w:sz w:val="14"/>
                <w:szCs w:val="14"/>
              </w:rPr>
              <w:t>(396)</w:t>
            </w:r>
          </w:p>
        </w:tc>
        <w:tc>
          <w:tcPr>
            <w:tcW w:w="1810" w:type="dxa"/>
            <w:tcBorders>
              <w:top w:val="nil"/>
              <w:left w:val="nil"/>
              <w:bottom w:val="nil"/>
              <w:right w:val="nil"/>
            </w:tcBorders>
            <w:shd w:val="clear" w:color="auto" w:fill="auto"/>
            <w:vAlign w:val="center"/>
          </w:tcPr>
          <w:p w14:paraId="267AE5C8"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
                <w:bCs/>
                <w:color w:val="000000"/>
                <w:sz w:val="14"/>
                <w:szCs w:val="14"/>
              </w:rPr>
              <w:t>663</w:t>
            </w:r>
          </w:p>
        </w:tc>
      </w:tr>
      <w:tr w:rsidR="009E215C" w:rsidRPr="004C5A7A" w14:paraId="3325AFF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1F1BAB53" w14:textId="77777777" w:rsidR="009E215C" w:rsidRPr="004C5A7A" w:rsidRDefault="009E215C">
            <w:pPr>
              <w:keepNext/>
              <w:keepLines/>
              <w:rPr>
                <w:rFonts w:ascii="Arial" w:hAnsi="Arial" w:cs="Arial"/>
                <w:sz w:val="14"/>
                <w:szCs w:val="14"/>
              </w:rPr>
            </w:pPr>
            <w:proofErr w:type="spellStart"/>
            <w:r w:rsidRPr="004C5A7A">
              <w:rPr>
                <w:rFonts w:ascii="Arial" w:hAnsi="Arial" w:cs="Arial"/>
                <w:b w:val="0"/>
                <w:bCs w:val="0"/>
                <w:sz w:val="14"/>
                <w:szCs w:val="14"/>
              </w:rPr>
              <w:t>Revenue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from</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Reinsurance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auto"/>
            <w:vAlign w:val="center"/>
          </w:tcPr>
          <w:p w14:paraId="0388430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1D7F4B84"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3780CBB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170</w:t>
            </w:r>
          </w:p>
        </w:tc>
        <w:tc>
          <w:tcPr>
            <w:tcW w:w="1810" w:type="dxa"/>
            <w:tcBorders>
              <w:top w:val="nil"/>
              <w:left w:val="nil"/>
              <w:bottom w:val="nil"/>
              <w:right w:val="nil"/>
            </w:tcBorders>
            <w:shd w:val="clear" w:color="auto" w:fill="auto"/>
            <w:vAlign w:val="center"/>
          </w:tcPr>
          <w:p w14:paraId="6314E1C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146</w:t>
            </w:r>
          </w:p>
        </w:tc>
      </w:tr>
      <w:tr w:rsidR="009E215C" w:rsidRPr="004C5A7A" w14:paraId="115E2EE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7DD2E96" w14:textId="77777777" w:rsidR="009E215C" w:rsidRPr="004C5A7A" w:rsidRDefault="009E215C">
            <w:pPr>
              <w:keepNext/>
              <w:keepLines/>
              <w:rPr>
                <w:rFonts w:ascii="Arial" w:hAnsi="Arial" w:cs="Arial"/>
                <w:sz w:val="14"/>
                <w:szCs w:val="14"/>
              </w:rPr>
            </w:pPr>
            <w:proofErr w:type="spellStart"/>
            <w:r w:rsidRPr="004C5A7A">
              <w:rPr>
                <w:rFonts w:ascii="Arial" w:hAnsi="Arial" w:cs="Arial"/>
                <w:b w:val="0"/>
                <w:bCs w:val="0"/>
                <w:sz w:val="14"/>
                <w:szCs w:val="14"/>
              </w:rPr>
              <w:t>Reinsurance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Contract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0B511AB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417BB43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41BE00A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(566)</w:t>
            </w:r>
          </w:p>
        </w:tc>
        <w:tc>
          <w:tcPr>
            <w:tcW w:w="1810" w:type="dxa"/>
            <w:tcBorders>
              <w:top w:val="nil"/>
              <w:left w:val="nil"/>
              <w:bottom w:val="nil"/>
              <w:right w:val="nil"/>
            </w:tcBorders>
            <w:shd w:val="clear" w:color="auto" w:fill="auto"/>
            <w:vAlign w:val="center"/>
          </w:tcPr>
          <w:p w14:paraId="312C73A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517</w:t>
            </w:r>
          </w:p>
        </w:tc>
      </w:tr>
      <w:tr w:rsidR="009E215C" w:rsidRPr="004C5A7A" w14:paraId="5C145B0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53A2E34" w14:textId="77777777" w:rsidR="009E215C" w:rsidRPr="004C5A7A" w:rsidRDefault="009E215C">
            <w:pPr>
              <w:keepNext/>
              <w:keepLines/>
              <w:rPr>
                <w:rFonts w:ascii="Arial" w:hAnsi="Arial" w:cs="Arial"/>
                <w:sz w:val="14"/>
                <w:szCs w:val="14"/>
              </w:rPr>
            </w:pPr>
            <w:proofErr w:type="spellStart"/>
            <w:r w:rsidRPr="004C5A7A">
              <w:rPr>
                <w:rFonts w:ascii="Arial" w:hAnsi="Arial" w:cs="Arial"/>
                <w:sz w:val="14"/>
                <w:szCs w:val="14"/>
              </w:rPr>
              <w:t>Insurance</w:t>
            </w:r>
            <w:proofErr w:type="spellEnd"/>
            <w:r w:rsidRPr="004C5A7A">
              <w:rPr>
                <w:rFonts w:ascii="Arial" w:hAnsi="Arial" w:cs="Arial"/>
                <w:sz w:val="14"/>
                <w:szCs w:val="14"/>
              </w:rPr>
              <w:t xml:space="preserve"> </w:t>
            </w:r>
            <w:proofErr w:type="spellStart"/>
            <w:r w:rsidRPr="004C5A7A">
              <w:rPr>
                <w:rFonts w:ascii="Arial" w:hAnsi="Arial" w:cs="Arial"/>
                <w:sz w:val="14"/>
                <w:szCs w:val="14"/>
              </w:rPr>
              <w:t>margin</w:t>
            </w:r>
            <w:proofErr w:type="spellEnd"/>
          </w:p>
        </w:tc>
        <w:tc>
          <w:tcPr>
            <w:tcW w:w="1809" w:type="dxa"/>
            <w:tcBorders>
              <w:top w:val="nil"/>
              <w:left w:val="nil"/>
              <w:bottom w:val="nil"/>
              <w:right w:val="nil"/>
            </w:tcBorders>
            <w:shd w:val="clear" w:color="auto" w:fill="auto"/>
            <w:vAlign w:val="center"/>
          </w:tcPr>
          <w:p w14:paraId="040B7C60"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47AF2F8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26BF919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eastAsia="DengXian Light" w:hAnsi="Arial" w:cs="Arial"/>
                <w:b/>
                <w:bCs/>
                <w:color w:val="000000"/>
                <w:sz w:val="14"/>
                <w:szCs w:val="14"/>
              </w:rPr>
              <w:t>3,524,803</w:t>
            </w:r>
          </w:p>
        </w:tc>
        <w:tc>
          <w:tcPr>
            <w:tcW w:w="1810" w:type="dxa"/>
            <w:tcBorders>
              <w:top w:val="nil"/>
              <w:left w:val="nil"/>
              <w:bottom w:val="nil"/>
              <w:right w:val="nil"/>
            </w:tcBorders>
            <w:shd w:val="clear" w:color="auto" w:fill="auto"/>
            <w:vAlign w:val="center"/>
          </w:tcPr>
          <w:p w14:paraId="1E41C44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3,065,048</w:t>
            </w:r>
          </w:p>
        </w:tc>
      </w:tr>
      <w:tr w:rsidR="009E215C" w:rsidRPr="004C5A7A" w14:paraId="19821E5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13F5A11F" w14:textId="77777777" w:rsidR="009E215C" w:rsidRPr="004C5A7A" w:rsidRDefault="009E215C">
            <w:pPr>
              <w:keepNext/>
              <w:keepLines/>
              <w:rPr>
                <w:rFonts w:ascii="Arial" w:hAnsi="Arial" w:cs="Arial"/>
                <w:sz w:val="14"/>
                <w:szCs w:val="14"/>
              </w:rPr>
            </w:pPr>
            <w:r w:rsidRPr="004C5A7A">
              <w:rPr>
                <w:rFonts w:ascii="Arial" w:hAnsi="Arial" w:cs="Arial"/>
                <w:sz w:val="14"/>
                <w:szCs w:val="14"/>
              </w:rPr>
              <w:t xml:space="preserve">Financial </w:t>
            </w:r>
            <w:proofErr w:type="spellStart"/>
            <w:r w:rsidRPr="004C5A7A">
              <w:rPr>
                <w:rFonts w:ascii="Arial" w:hAnsi="Arial" w:cs="Arial"/>
                <w:sz w:val="14"/>
                <w:szCs w:val="14"/>
              </w:rPr>
              <w:t>result</w:t>
            </w:r>
            <w:proofErr w:type="spellEnd"/>
          </w:p>
        </w:tc>
        <w:tc>
          <w:tcPr>
            <w:tcW w:w="1809" w:type="dxa"/>
            <w:tcBorders>
              <w:top w:val="nil"/>
              <w:left w:val="nil"/>
              <w:bottom w:val="nil"/>
              <w:right w:val="nil"/>
            </w:tcBorders>
            <w:shd w:val="clear" w:color="auto" w:fill="auto"/>
            <w:vAlign w:val="center"/>
          </w:tcPr>
          <w:p w14:paraId="5132D9D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26DC9E3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78AEA74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eastAsia="DengXian Light" w:hAnsi="Arial" w:cs="Arial"/>
                <w:b/>
                <w:bCs/>
                <w:color w:val="000000"/>
                <w:sz w:val="14"/>
                <w:szCs w:val="14"/>
              </w:rPr>
              <w:t>531,461</w:t>
            </w:r>
          </w:p>
        </w:tc>
        <w:tc>
          <w:tcPr>
            <w:tcW w:w="1810" w:type="dxa"/>
            <w:tcBorders>
              <w:top w:val="nil"/>
              <w:left w:val="nil"/>
              <w:bottom w:val="nil"/>
              <w:right w:val="nil"/>
            </w:tcBorders>
            <w:shd w:val="clear" w:color="auto" w:fill="auto"/>
            <w:vAlign w:val="center"/>
          </w:tcPr>
          <w:p w14:paraId="5F534B7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935,893</w:t>
            </w:r>
          </w:p>
        </w:tc>
      </w:tr>
      <w:tr w:rsidR="009E215C" w:rsidRPr="004C5A7A" w14:paraId="55B71BB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FD3E0B4"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Financial income</w:t>
            </w:r>
          </w:p>
        </w:tc>
        <w:tc>
          <w:tcPr>
            <w:tcW w:w="1809" w:type="dxa"/>
            <w:tcBorders>
              <w:top w:val="nil"/>
              <w:left w:val="nil"/>
              <w:bottom w:val="nil"/>
              <w:right w:val="nil"/>
            </w:tcBorders>
            <w:shd w:val="clear" w:color="auto" w:fill="auto"/>
            <w:vAlign w:val="center"/>
          </w:tcPr>
          <w:p w14:paraId="6E602A1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7A3B7FE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57A5DE8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36,856,189</w:t>
            </w:r>
          </w:p>
        </w:tc>
        <w:tc>
          <w:tcPr>
            <w:tcW w:w="1810" w:type="dxa"/>
            <w:tcBorders>
              <w:top w:val="nil"/>
              <w:left w:val="nil"/>
              <w:bottom w:val="nil"/>
              <w:right w:val="nil"/>
            </w:tcBorders>
            <w:shd w:val="clear" w:color="auto" w:fill="auto"/>
            <w:vAlign w:val="center"/>
          </w:tcPr>
          <w:p w14:paraId="11571B1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45,665,730</w:t>
            </w:r>
          </w:p>
        </w:tc>
      </w:tr>
      <w:tr w:rsidR="009E215C" w:rsidRPr="004C5A7A" w14:paraId="2758913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6CAF3DEE"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Financial </w:t>
            </w:r>
            <w:proofErr w:type="spellStart"/>
            <w:r w:rsidRPr="004C5A7A">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19E7B65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694C04F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2468841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(36,324,728)</w:t>
            </w:r>
          </w:p>
        </w:tc>
        <w:tc>
          <w:tcPr>
            <w:tcW w:w="1810" w:type="dxa"/>
            <w:tcBorders>
              <w:top w:val="nil"/>
              <w:left w:val="nil"/>
              <w:bottom w:val="nil"/>
              <w:right w:val="nil"/>
            </w:tcBorders>
            <w:shd w:val="clear" w:color="auto" w:fill="auto"/>
            <w:vAlign w:val="center"/>
          </w:tcPr>
          <w:p w14:paraId="58A0AEA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(44,729,837)</w:t>
            </w:r>
          </w:p>
        </w:tc>
      </w:tr>
      <w:tr w:rsidR="009E215C" w:rsidRPr="004C5A7A" w14:paraId="619BE05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BC790F9"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Non-</w:t>
            </w:r>
            <w:proofErr w:type="spellStart"/>
            <w:r w:rsidRPr="004C5A7A">
              <w:rPr>
                <w:rFonts w:ascii="Arial" w:hAnsi="Arial" w:cs="Arial"/>
                <w:b w:val="0"/>
                <w:bCs w:val="0"/>
                <w:sz w:val="14"/>
                <w:szCs w:val="14"/>
              </w:rPr>
              <w:t>attributable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0211577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6E54E36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49A55764" w14:textId="1044966E"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(84,65</w:t>
            </w:r>
            <w:r w:rsidR="00DC4104">
              <w:rPr>
                <w:rFonts w:ascii="Arial" w:eastAsia="DengXian Light" w:hAnsi="Arial" w:cs="Arial"/>
                <w:color w:val="000000"/>
                <w:sz w:val="14"/>
                <w:szCs w:val="14"/>
              </w:rPr>
              <w:t>7</w:t>
            </w:r>
            <w:r w:rsidRPr="004C5A7A">
              <w:rPr>
                <w:rFonts w:ascii="Arial" w:eastAsia="DengXian Light" w:hAnsi="Arial" w:cs="Arial"/>
                <w:color w:val="000000"/>
                <w:sz w:val="14"/>
                <w:szCs w:val="14"/>
              </w:rPr>
              <w:t>)</w:t>
            </w:r>
          </w:p>
        </w:tc>
        <w:tc>
          <w:tcPr>
            <w:tcW w:w="1810" w:type="dxa"/>
            <w:tcBorders>
              <w:top w:val="nil"/>
              <w:left w:val="nil"/>
              <w:bottom w:val="nil"/>
              <w:right w:val="nil"/>
            </w:tcBorders>
            <w:shd w:val="clear" w:color="auto" w:fill="auto"/>
            <w:vAlign w:val="center"/>
          </w:tcPr>
          <w:p w14:paraId="671667E0"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(75,121)</w:t>
            </w:r>
          </w:p>
        </w:tc>
      </w:tr>
      <w:tr w:rsidR="009E215C" w:rsidRPr="004C5A7A" w14:paraId="589BF87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3F9DC32"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 xml:space="preserve">Other income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auto"/>
            <w:vAlign w:val="center"/>
          </w:tcPr>
          <w:p w14:paraId="1381304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5E26AE0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0CEFE56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(22)</w:t>
            </w:r>
          </w:p>
        </w:tc>
        <w:tc>
          <w:tcPr>
            <w:tcW w:w="1810" w:type="dxa"/>
            <w:tcBorders>
              <w:top w:val="nil"/>
              <w:left w:val="nil"/>
              <w:bottom w:val="nil"/>
              <w:right w:val="nil"/>
            </w:tcBorders>
            <w:shd w:val="clear" w:color="auto" w:fill="auto"/>
            <w:vAlign w:val="center"/>
          </w:tcPr>
          <w:p w14:paraId="6A40F24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17</w:t>
            </w:r>
          </w:p>
        </w:tc>
      </w:tr>
      <w:tr w:rsidR="009E215C" w:rsidRPr="004C5A7A" w14:paraId="68A5521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7297E989" w14:textId="77777777" w:rsidR="009E215C" w:rsidRPr="004C5A7A" w:rsidRDefault="009E215C">
            <w:pPr>
              <w:keepNext/>
              <w:keepLines/>
              <w:rPr>
                <w:rFonts w:ascii="Arial" w:hAnsi="Arial" w:cs="Arial"/>
                <w:sz w:val="14"/>
                <w:szCs w:val="14"/>
              </w:rPr>
            </w:pPr>
            <w:r w:rsidRPr="004C5A7A">
              <w:rPr>
                <w:rFonts w:ascii="Arial" w:hAnsi="Arial" w:cs="Arial"/>
                <w:sz w:val="14"/>
                <w:szCs w:val="14"/>
              </w:rPr>
              <w:t xml:space="preserve">Income </w:t>
            </w:r>
            <w:proofErr w:type="spellStart"/>
            <w:r w:rsidRPr="004C5A7A">
              <w:rPr>
                <w:rFonts w:ascii="Arial" w:hAnsi="Arial" w:cs="Arial"/>
                <w:sz w:val="14"/>
                <w:szCs w:val="14"/>
              </w:rPr>
              <w:t>before</w:t>
            </w:r>
            <w:proofErr w:type="spellEnd"/>
            <w:r w:rsidRPr="004C5A7A">
              <w:rPr>
                <w:rFonts w:ascii="Arial" w:hAnsi="Arial" w:cs="Arial"/>
                <w:sz w:val="14"/>
                <w:szCs w:val="14"/>
              </w:rPr>
              <w:t xml:space="preserve"> taxes</w:t>
            </w:r>
          </w:p>
        </w:tc>
        <w:tc>
          <w:tcPr>
            <w:tcW w:w="1809" w:type="dxa"/>
            <w:tcBorders>
              <w:top w:val="nil"/>
              <w:left w:val="nil"/>
              <w:bottom w:val="nil"/>
              <w:right w:val="nil"/>
            </w:tcBorders>
            <w:shd w:val="clear" w:color="auto" w:fill="auto"/>
            <w:vAlign w:val="center"/>
          </w:tcPr>
          <w:p w14:paraId="48E713B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63EC69D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7FA60BF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eastAsia="DengXian Light" w:hAnsi="Arial" w:cs="Arial"/>
                <w:b/>
                <w:bCs/>
                <w:color w:val="000000"/>
                <w:sz w:val="14"/>
                <w:szCs w:val="14"/>
              </w:rPr>
              <w:t>3,971,585</w:t>
            </w:r>
          </w:p>
        </w:tc>
        <w:tc>
          <w:tcPr>
            <w:tcW w:w="1810" w:type="dxa"/>
            <w:tcBorders>
              <w:top w:val="nil"/>
              <w:left w:val="nil"/>
              <w:bottom w:val="nil"/>
              <w:right w:val="nil"/>
            </w:tcBorders>
            <w:shd w:val="clear" w:color="auto" w:fill="auto"/>
            <w:vAlign w:val="center"/>
          </w:tcPr>
          <w:p w14:paraId="2025E3E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3,925,836</w:t>
            </w:r>
          </w:p>
        </w:tc>
      </w:tr>
      <w:tr w:rsidR="009E215C" w:rsidRPr="004C5A7A" w14:paraId="0E31460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294BEEAA" w14:textId="77777777" w:rsidR="009E215C" w:rsidRPr="004C5A7A" w:rsidRDefault="009E215C">
            <w:pPr>
              <w:keepNext/>
              <w:keepLines/>
              <w:ind w:left="113"/>
              <w:rPr>
                <w:rFonts w:ascii="Arial" w:hAnsi="Arial" w:cs="Arial"/>
                <w:b w:val="0"/>
                <w:bCs w:val="0"/>
                <w:color w:val="000000"/>
                <w:sz w:val="14"/>
                <w:szCs w:val="14"/>
                <w:lang w:val="en-US"/>
              </w:rPr>
            </w:pPr>
            <w:r w:rsidRPr="004C5A7A">
              <w:rPr>
                <w:rFonts w:ascii="Arial" w:hAnsi="Arial" w:cs="Arial"/>
                <w:b w:val="0"/>
                <w:bCs w:val="0"/>
                <w:sz w:val="14"/>
                <w:szCs w:val="14"/>
                <w:lang w:val="en-US"/>
              </w:rPr>
              <w:t>Income Tax and Social Contribution</w:t>
            </w:r>
          </w:p>
        </w:tc>
        <w:tc>
          <w:tcPr>
            <w:tcW w:w="1809" w:type="dxa"/>
            <w:tcBorders>
              <w:top w:val="nil"/>
              <w:left w:val="nil"/>
              <w:bottom w:val="nil"/>
              <w:right w:val="nil"/>
            </w:tcBorders>
            <w:shd w:val="clear" w:color="auto" w:fill="auto"/>
            <w:vAlign w:val="center"/>
          </w:tcPr>
          <w:p w14:paraId="610FB83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670" w:type="dxa"/>
            <w:tcBorders>
              <w:top w:val="nil"/>
              <w:left w:val="nil"/>
              <w:bottom w:val="nil"/>
              <w:right w:val="nil"/>
            </w:tcBorders>
            <w:shd w:val="clear" w:color="auto" w:fill="auto"/>
            <w:vAlign w:val="center"/>
          </w:tcPr>
          <w:p w14:paraId="331AE24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810" w:type="dxa"/>
            <w:tcBorders>
              <w:top w:val="nil"/>
              <w:left w:val="nil"/>
              <w:bottom w:val="nil"/>
              <w:right w:val="nil"/>
            </w:tcBorders>
            <w:shd w:val="clear" w:color="auto" w:fill="auto"/>
            <w:vAlign w:val="center"/>
          </w:tcPr>
          <w:p w14:paraId="2966D45F" w14:textId="1EAAD7F2"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(1,550,57</w:t>
            </w:r>
            <w:r w:rsidR="00DC4104">
              <w:rPr>
                <w:rFonts w:ascii="Arial" w:eastAsia="DengXian Light" w:hAnsi="Arial" w:cs="Arial"/>
                <w:color w:val="000000"/>
                <w:sz w:val="14"/>
                <w:szCs w:val="14"/>
              </w:rPr>
              <w:t>8</w:t>
            </w:r>
            <w:r w:rsidRPr="004C5A7A">
              <w:rPr>
                <w:rFonts w:ascii="Arial" w:eastAsia="DengXian Light" w:hAnsi="Arial" w:cs="Arial"/>
                <w:color w:val="000000"/>
                <w:sz w:val="14"/>
                <w:szCs w:val="14"/>
              </w:rPr>
              <w:t>)</w:t>
            </w:r>
          </w:p>
        </w:tc>
        <w:tc>
          <w:tcPr>
            <w:tcW w:w="1810" w:type="dxa"/>
            <w:tcBorders>
              <w:top w:val="nil"/>
              <w:left w:val="nil"/>
              <w:bottom w:val="nil"/>
              <w:right w:val="nil"/>
            </w:tcBorders>
            <w:shd w:val="clear" w:color="auto" w:fill="auto"/>
            <w:vAlign w:val="center"/>
          </w:tcPr>
          <w:p w14:paraId="68EE048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(1,535,846)</w:t>
            </w:r>
          </w:p>
        </w:tc>
      </w:tr>
      <w:tr w:rsidR="009E215C" w:rsidRPr="004C5A7A" w14:paraId="33CB6C0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1357515C"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sz w:val="14"/>
                <w:szCs w:val="14"/>
              </w:rPr>
              <w:t>Shares</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on</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the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auto"/>
            <w:vAlign w:val="center"/>
          </w:tcPr>
          <w:p w14:paraId="17D8E45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auto"/>
            <w:vAlign w:val="center"/>
          </w:tcPr>
          <w:p w14:paraId="76BD37C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auto"/>
            <w:vAlign w:val="center"/>
          </w:tcPr>
          <w:p w14:paraId="5412648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eastAsia="DengXian Light" w:hAnsi="Arial" w:cs="Arial"/>
                <w:color w:val="000000"/>
                <w:sz w:val="14"/>
                <w:szCs w:val="14"/>
              </w:rPr>
              <w:t>(20,284)</w:t>
            </w:r>
          </w:p>
        </w:tc>
        <w:tc>
          <w:tcPr>
            <w:tcW w:w="1810" w:type="dxa"/>
            <w:tcBorders>
              <w:top w:val="nil"/>
              <w:left w:val="nil"/>
              <w:bottom w:val="nil"/>
              <w:right w:val="nil"/>
            </w:tcBorders>
            <w:shd w:val="clear" w:color="auto" w:fill="auto"/>
            <w:vAlign w:val="center"/>
          </w:tcPr>
          <w:p w14:paraId="60A84E2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(15,732)</w:t>
            </w:r>
          </w:p>
        </w:tc>
      </w:tr>
      <w:tr w:rsidR="009E215C" w:rsidRPr="004C5A7A" w14:paraId="39AEE88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1DFC79C0" w14:textId="77777777" w:rsidR="009E215C" w:rsidRPr="004C5A7A" w:rsidRDefault="009E215C">
            <w:pPr>
              <w:keepNext/>
              <w:keepLines/>
              <w:spacing w:before="40" w:after="40"/>
              <w:rPr>
                <w:rFonts w:ascii="Arial" w:hAnsi="Arial" w:cs="Arial"/>
                <w:color w:val="000000"/>
                <w:sz w:val="14"/>
                <w:szCs w:val="14"/>
              </w:rPr>
            </w:pPr>
            <w:r w:rsidRPr="004C5A7A">
              <w:rPr>
                <w:rFonts w:ascii="Arial" w:hAnsi="Arial" w:cs="Arial"/>
                <w:sz w:val="14"/>
                <w:szCs w:val="14"/>
              </w:rPr>
              <w:t>Net income</w:t>
            </w:r>
          </w:p>
        </w:tc>
        <w:tc>
          <w:tcPr>
            <w:tcW w:w="1809" w:type="dxa"/>
            <w:tcBorders>
              <w:top w:val="nil"/>
              <w:left w:val="nil"/>
              <w:bottom w:val="nil"/>
              <w:right w:val="nil"/>
            </w:tcBorders>
            <w:shd w:val="clear" w:color="auto" w:fill="auto"/>
            <w:vAlign w:val="center"/>
          </w:tcPr>
          <w:p w14:paraId="79D7847A"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5C023255"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5B51C403"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eastAsia="DengXian Light" w:hAnsi="Arial" w:cs="Arial"/>
                <w:b/>
                <w:bCs/>
                <w:color w:val="000000"/>
                <w:sz w:val="14"/>
                <w:szCs w:val="14"/>
              </w:rPr>
              <w:t>2,400,723</w:t>
            </w:r>
          </w:p>
        </w:tc>
        <w:tc>
          <w:tcPr>
            <w:tcW w:w="1810" w:type="dxa"/>
            <w:tcBorders>
              <w:top w:val="nil"/>
              <w:left w:val="nil"/>
              <w:bottom w:val="nil"/>
              <w:right w:val="nil"/>
            </w:tcBorders>
            <w:shd w:val="clear" w:color="auto" w:fill="auto"/>
            <w:vAlign w:val="center"/>
          </w:tcPr>
          <w:p w14:paraId="6AD99ED3"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2,374,258</w:t>
            </w:r>
          </w:p>
        </w:tc>
      </w:tr>
      <w:tr w:rsidR="009E215C" w:rsidRPr="004C5A7A" w14:paraId="1765FA3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061B8832"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auto"/>
            <w:vAlign w:val="center"/>
          </w:tcPr>
          <w:p w14:paraId="69449105"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067C6920"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6DD9B136" w14:textId="5FA989C6"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eastAsia="DengXian Light" w:hAnsi="Arial" w:cs="Arial"/>
                <w:color w:val="000000"/>
                <w:sz w:val="14"/>
                <w:szCs w:val="14"/>
              </w:rPr>
              <w:t>(668,81</w:t>
            </w:r>
            <w:r w:rsidR="00DC4104">
              <w:rPr>
                <w:rFonts w:ascii="Arial" w:eastAsia="DengXian Light" w:hAnsi="Arial" w:cs="Arial"/>
                <w:color w:val="000000"/>
                <w:sz w:val="14"/>
                <w:szCs w:val="14"/>
              </w:rPr>
              <w:t>7</w:t>
            </w:r>
            <w:r w:rsidRPr="004C5A7A">
              <w:rPr>
                <w:rFonts w:ascii="Arial" w:eastAsia="DengXian Light" w:hAnsi="Arial" w:cs="Arial"/>
                <w:color w:val="000000"/>
                <w:sz w:val="14"/>
                <w:szCs w:val="14"/>
              </w:rPr>
              <w:t>)</w:t>
            </w:r>
          </w:p>
        </w:tc>
        <w:tc>
          <w:tcPr>
            <w:tcW w:w="1810" w:type="dxa"/>
            <w:tcBorders>
              <w:top w:val="nil"/>
              <w:left w:val="nil"/>
              <w:bottom w:val="nil"/>
              <w:right w:val="nil"/>
            </w:tcBorders>
            <w:shd w:val="clear" w:color="auto" w:fill="auto"/>
            <w:vAlign w:val="center"/>
          </w:tcPr>
          <w:p w14:paraId="5370547C"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852</w:t>
            </w:r>
          </w:p>
        </w:tc>
      </w:tr>
      <w:tr w:rsidR="009E215C" w:rsidRPr="004C5A7A" w14:paraId="7C00BF8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3E3D7377"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sz w:val="14"/>
                <w:szCs w:val="14"/>
              </w:rPr>
              <w:t>Comprehensive</w:t>
            </w:r>
            <w:proofErr w:type="spellEnd"/>
            <w:r w:rsidRPr="004C5A7A">
              <w:rPr>
                <w:rFonts w:ascii="Arial" w:hAnsi="Arial" w:cs="Arial"/>
                <w:sz w:val="14"/>
                <w:szCs w:val="14"/>
              </w:rPr>
              <w:t xml:space="preserve"> income</w:t>
            </w:r>
          </w:p>
        </w:tc>
        <w:tc>
          <w:tcPr>
            <w:tcW w:w="1809" w:type="dxa"/>
            <w:tcBorders>
              <w:top w:val="nil"/>
              <w:left w:val="nil"/>
              <w:bottom w:val="nil"/>
              <w:right w:val="nil"/>
            </w:tcBorders>
            <w:shd w:val="clear" w:color="auto" w:fill="auto"/>
            <w:vAlign w:val="center"/>
          </w:tcPr>
          <w:p w14:paraId="5683616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093C05E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5EBB612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eastAsia="DengXian Light" w:hAnsi="Arial" w:cs="Arial"/>
                <w:b/>
                <w:bCs/>
                <w:color w:val="000000"/>
                <w:sz w:val="14"/>
                <w:szCs w:val="14"/>
              </w:rPr>
              <w:t>1,731,906</w:t>
            </w:r>
          </w:p>
        </w:tc>
        <w:tc>
          <w:tcPr>
            <w:tcW w:w="1810" w:type="dxa"/>
            <w:tcBorders>
              <w:top w:val="nil"/>
              <w:left w:val="nil"/>
              <w:bottom w:val="nil"/>
              <w:right w:val="nil"/>
            </w:tcBorders>
            <w:shd w:val="clear" w:color="auto" w:fill="auto"/>
            <w:vAlign w:val="center"/>
          </w:tcPr>
          <w:p w14:paraId="558C21F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2,375,110</w:t>
            </w:r>
          </w:p>
        </w:tc>
      </w:tr>
      <w:tr w:rsidR="009E215C" w:rsidRPr="004C5A7A" w14:paraId="40C4720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3C1597E" w14:textId="77777777" w:rsidR="009E215C" w:rsidRPr="004C5A7A" w:rsidRDefault="009E215C">
            <w:pPr>
              <w:keepNext/>
              <w:keepLines/>
              <w:rPr>
                <w:rFonts w:ascii="Arial" w:hAnsi="Arial" w:cs="Arial"/>
                <w:color w:val="000000"/>
                <w:sz w:val="14"/>
                <w:szCs w:val="14"/>
              </w:rPr>
            </w:pPr>
            <w:proofErr w:type="spellStart"/>
            <w:r w:rsidRPr="004C5A7A">
              <w:rPr>
                <w:rFonts w:ascii="Arial" w:eastAsia="Times New Roman" w:hAnsi="Arial" w:cs="Arial"/>
                <w:color w:val="000000"/>
                <w:spacing w:val="-2"/>
                <w:sz w:val="14"/>
                <w:szCs w:val="14"/>
                <w:lang w:eastAsia="pt-BR"/>
              </w:rPr>
              <w:t>Attributable</w:t>
            </w:r>
            <w:proofErr w:type="spellEnd"/>
            <w:r w:rsidRPr="004C5A7A">
              <w:rPr>
                <w:rFonts w:ascii="Arial" w:eastAsia="Times New Roman" w:hAnsi="Arial" w:cs="Arial"/>
                <w:color w:val="000000"/>
                <w:spacing w:val="-2"/>
                <w:sz w:val="14"/>
                <w:szCs w:val="14"/>
                <w:lang w:eastAsia="pt-BR"/>
              </w:rPr>
              <w:t xml:space="preserve"> </w:t>
            </w:r>
            <w:proofErr w:type="spellStart"/>
            <w:r w:rsidRPr="004C5A7A">
              <w:rPr>
                <w:rFonts w:ascii="Arial" w:eastAsia="Times New Roman" w:hAnsi="Arial" w:cs="Arial"/>
                <w:color w:val="000000"/>
                <w:spacing w:val="-2"/>
                <w:sz w:val="14"/>
                <w:szCs w:val="14"/>
                <w:lang w:eastAsia="pt-BR"/>
              </w:rPr>
              <w:t>to</w:t>
            </w:r>
            <w:proofErr w:type="spellEnd"/>
            <w:r w:rsidRPr="004C5A7A">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auto"/>
            <w:vAlign w:val="center"/>
          </w:tcPr>
          <w:p w14:paraId="6B93058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auto"/>
            <w:vAlign w:val="center"/>
          </w:tcPr>
          <w:p w14:paraId="0247BBD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auto"/>
            <w:vAlign w:val="center"/>
          </w:tcPr>
          <w:p w14:paraId="14FE497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1,800,422</w:t>
            </w:r>
          </w:p>
        </w:tc>
        <w:tc>
          <w:tcPr>
            <w:tcW w:w="1810" w:type="dxa"/>
            <w:tcBorders>
              <w:top w:val="nil"/>
              <w:left w:val="nil"/>
              <w:bottom w:val="nil"/>
              <w:right w:val="nil"/>
            </w:tcBorders>
            <w:shd w:val="clear" w:color="auto" w:fill="auto"/>
            <w:vAlign w:val="center"/>
          </w:tcPr>
          <w:p w14:paraId="7A55986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1,780,575</w:t>
            </w:r>
          </w:p>
        </w:tc>
      </w:tr>
      <w:tr w:rsidR="009E215C" w:rsidRPr="004C5A7A" w14:paraId="4DDEE85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auto"/>
            <w:vAlign w:val="center"/>
          </w:tcPr>
          <w:p w14:paraId="4B580CE7" w14:textId="77777777" w:rsidR="009E215C" w:rsidRPr="004C5A7A" w:rsidRDefault="009E215C">
            <w:pPr>
              <w:keepNext/>
              <w:keepLines/>
              <w:rPr>
                <w:rFonts w:ascii="Arial" w:eastAsia="Times New Roman" w:hAnsi="Arial" w:cs="Arial"/>
                <w:b w:val="0"/>
                <w:bCs w:val="0"/>
                <w:color w:val="000000"/>
                <w:spacing w:val="-2"/>
                <w:sz w:val="14"/>
                <w:szCs w:val="14"/>
                <w:lang w:eastAsia="pt-BR"/>
              </w:rPr>
            </w:pPr>
            <w:proofErr w:type="spellStart"/>
            <w:r w:rsidRPr="004C5A7A">
              <w:rPr>
                <w:rFonts w:ascii="Arial" w:eastAsia="Times New Roman" w:hAnsi="Arial" w:cs="Arial"/>
                <w:b w:val="0"/>
                <w:bCs w:val="0"/>
                <w:color w:val="000000"/>
                <w:spacing w:val="-2"/>
                <w:sz w:val="14"/>
                <w:szCs w:val="14"/>
                <w:lang w:eastAsia="pt-BR"/>
              </w:rPr>
              <w:t>Adjustment</w:t>
            </w:r>
            <w:proofErr w:type="spellEnd"/>
            <w:r w:rsidRPr="004C5A7A">
              <w:rPr>
                <w:rFonts w:ascii="Arial" w:eastAsia="Times New Roman" w:hAnsi="Arial" w:cs="Arial"/>
                <w:b w:val="0"/>
                <w:bCs w:val="0"/>
                <w:color w:val="000000"/>
                <w:spacing w:val="-2"/>
                <w:sz w:val="14"/>
                <w:szCs w:val="14"/>
                <w:lang w:eastAsia="pt-BR"/>
              </w:rPr>
              <w:t xml:space="preserve"> </w:t>
            </w:r>
            <w:r w:rsidRPr="004C5A7A">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shd w:val="clear" w:color="auto" w:fill="auto"/>
            <w:vAlign w:val="center"/>
          </w:tcPr>
          <w:p w14:paraId="0BF3CBE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auto"/>
            <w:vAlign w:val="center"/>
          </w:tcPr>
          <w:p w14:paraId="22E1B8B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auto"/>
            <w:vAlign w:val="center"/>
          </w:tcPr>
          <w:p w14:paraId="48789BA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1,485</w:t>
            </w:r>
          </w:p>
        </w:tc>
        <w:tc>
          <w:tcPr>
            <w:tcW w:w="1810" w:type="dxa"/>
            <w:tcBorders>
              <w:top w:val="nil"/>
              <w:left w:val="nil"/>
              <w:bottom w:val="nil"/>
              <w:right w:val="nil"/>
            </w:tcBorders>
            <w:shd w:val="clear" w:color="auto" w:fill="auto"/>
            <w:vAlign w:val="center"/>
          </w:tcPr>
          <w:p w14:paraId="55F9091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9,219</w:t>
            </w:r>
          </w:p>
        </w:tc>
      </w:tr>
      <w:tr w:rsidR="009E215C" w:rsidRPr="004C5A7A" w14:paraId="0AC6C9C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auto"/>
            <w:vAlign w:val="center"/>
          </w:tcPr>
          <w:p w14:paraId="7B84066D" w14:textId="77777777" w:rsidR="009E215C" w:rsidRPr="004C5A7A" w:rsidRDefault="009E215C">
            <w:pPr>
              <w:keepNext/>
              <w:keepLines/>
              <w:rPr>
                <w:rFonts w:ascii="Arial" w:hAnsi="Arial" w:cs="Arial"/>
                <w:sz w:val="14"/>
                <w:szCs w:val="14"/>
              </w:rPr>
            </w:pPr>
            <w:proofErr w:type="spellStart"/>
            <w:r w:rsidRPr="004C5A7A">
              <w:rPr>
                <w:rFonts w:ascii="Arial" w:eastAsia="Times New Roman" w:hAnsi="Arial" w:cs="Arial"/>
                <w:color w:val="000000"/>
                <w:spacing w:val="-2"/>
                <w:sz w:val="14"/>
                <w:szCs w:val="14"/>
                <w:lang w:eastAsia="pt-BR"/>
              </w:rPr>
              <w:t>Equity</w:t>
            </w:r>
            <w:proofErr w:type="spellEnd"/>
            <w:r w:rsidRPr="004C5A7A">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auto"/>
            <w:vAlign w:val="center"/>
          </w:tcPr>
          <w:p w14:paraId="12F785F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single" w:sz="2" w:space="0" w:color="1F3864" w:themeColor="accent1" w:themeShade="80"/>
              <w:right w:val="nil"/>
            </w:tcBorders>
            <w:shd w:val="clear" w:color="auto" w:fill="auto"/>
            <w:vAlign w:val="center"/>
          </w:tcPr>
          <w:p w14:paraId="3CDB7D6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single" w:sz="2" w:space="0" w:color="1F3864" w:themeColor="accent1" w:themeShade="80"/>
              <w:right w:val="nil"/>
            </w:tcBorders>
            <w:shd w:val="clear" w:color="auto" w:fill="auto"/>
            <w:vAlign w:val="center"/>
          </w:tcPr>
          <w:p w14:paraId="4B6660A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1,801,907</w:t>
            </w:r>
          </w:p>
        </w:tc>
        <w:tc>
          <w:tcPr>
            <w:tcW w:w="1810" w:type="dxa"/>
            <w:tcBorders>
              <w:top w:val="nil"/>
              <w:left w:val="nil"/>
              <w:bottom w:val="single" w:sz="2" w:space="0" w:color="1F3864" w:themeColor="accent1" w:themeShade="80"/>
              <w:right w:val="nil"/>
            </w:tcBorders>
            <w:shd w:val="clear" w:color="auto" w:fill="auto"/>
            <w:vAlign w:val="center"/>
          </w:tcPr>
          <w:p w14:paraId="31970C7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1,789,794</w:t>
            </w:r>
          </w:p>
        </w:tc>
      </w:tr>
    </w:tbl>
    <w:p w14:paraId="07371A15" w14:textId="77777777" w:rsidR="009E215C" w:rsidRPr="004C5A7A" w:rsidRDefault="009E215C" w:rsidP="00A76AF4">
      <w:pPr>
        <w:pStyle w:val="PargrafodaLista"/>
        <w:numPr>
          <w:ilvl w:val="0"/>
          <w:numId w:val="16"/>
        </w:numPr>
        <w:spacing w:after="0" w:line="240" w:lineRule="auto"/>
        <w:rPr>
          <w:rFonts w:ascii="Arial" w:eastAsia="Times New Roman" w:hAnsi="Arial" w:cs="Arial"/>
          <w:bCs/>
          <w:spacing w:val="-2"/>
          <w:sz w:val="14"/>
          <w:szCs w:val="16"/>
          <w:lang w:val="en-US" w:eastAsia="pt-BR"/>
        </w:rPr>
      </w:pPr>
      <w:r w:rsidRPr="004C5A7A">
        <w:rPr>
          <w:rFonts w:ascii="Arial" w:eastAsia="Times New Roman" w:hAnsi="Arial" w:cs="Arial"/>
          <w:bCs/>
          <w:spacing w:val="-2"/>
          <w:sz w:val="14"/>
          <w:szCs w:val="16"/>
          <w:lang w:val="en-US" w:eastAsia="pt-BR"/>
        </w:rPr>
        <w:t xml:space="preserve">BBA - </w:t>
      </w:r>
      <w:r w:rsidRPr="004C5A7A">
        <w:rPr>
          <w:rFonts w:ascii="Arial" w:eastAsia="Times New Roman" w:hAnsi="Arial" w:cs="Arial"/>
          <w:bCs/>
          <w:i/>
          <w:iCs/>
          <w:spacing w:val="-2"/>
          <w:sz w:val="14"/>
          <w:szCs w:val="16"/>
          <w:lang w:val="en-US" w:eastAsia="pt-BR"/>
        </w:rPr>
        <w:t>Building Block Approach</w:t>
      </w:r>
      <w:r w:rsidRPr="004C5A7A">
        <w:rPr>
          <w:rFonts w:ascii="Arial" w:eastAsia="Times New Roman" w:hAnsi="Arial" w:cs="Arial"/>
          <w:bCs/>
          <w:spacing w:val="-2"/>
          <w:sz w:val="14"/>
          <w:szCs w:val="16"/>
          <w:lang w:val="en-US" w:eastAsia="pt-BR"/>
        </w:rPr>
        <w:t xml:space="preserve"> and VFA - </w:t>
      </w:r>
      <w:r w:rsidRPr="004C5A7A">
        <w:rPr>
          <w:rFonts w:ascii="Arial" w:eastAsia="Times New Roman" w:hAnsi="Arial" w:cs="Arial"/>
          <w:bCs/>
          <w:i/>
          <w:iCs/>
          <w:spacing w:val="-2"/>
          <w:sz w:val="14"/>
          <w:szCs w:val="16"/>
          <w:lang w:val="en-US" w:eastAsia="pt-BR"/>
        </w:rPr>
        <w:t>Variable Fee Approach</w:t>
      </w:r>
      <w:r w:rsidRPr="004C5A7A">
        <w:rPr>
          <w:rFonts w:ascii="Arial" w:eastAsia="Times New Roman" w:hAnsi="Arial" w:cs="Arial"/>
          <w:bCs/>
          <w:spacing w:val="-2"/>
          <w:sz w:val="14"/>
          <w:szCs w:val="16"/>
          <w:lang w:val="en-US" w:eastAsia="pt-BR"/>
        </w:rPr>
        <w:t>.</w:t>
      </w:r>
    </w:p>
    <w:p w14:paraId="67F03BBE" w14:textId="2DB8FCC3" w:rsidR="009E215C" w:rsidRPr="004C5A7A" w:rsidRDefault="009E215C" w:rsidP="00A76AF4">
      <w:pPr>
        <w:pStyle w:val="PargrafodaLista"/>
        <w:numPr>
          <w:ilvl w:val="0"/>
          <w:numId w:val="16"/>
        </w:numPr>
        <w:spacing w:after="0" w:line="240" w:lineRule="auto"/>
        <w:rPr>
          <w:rFonts w:ascii="Arial" w:eastAsia="Times New Roman" w:hAnsi="Arial" w:cs="Arial"/>
          <w:bCs/>
          <w:spacing w:val="-2"/>
          <w:sz w:val="14"/>
          <w:szCs w:val="16"/>
          <w:lang w:eastAsia="pt-BR"/>
        </w:rPr>
      </w:pPr>
      <w:proofErr w:type="spellStart"/>
      <w:r w:rsidRPr="004C5A7A">
        <w:rPr>
          <w:rFonts w:ascii="Arial" w:eastAsia="Times New Roman" w:hAnsi="Arial" w:cs="Arial"/>
          <w:bCs/>
          <w:spacing w:val="-2"/>
          <w:sz w:val="14"/>
          <w:szCs w:val="16"/>
          <w:lang w:eastAsia="pt-BR"/>
        </w:rPr>
        <w:t>Recognition</w:t>
      </w:r>
      <w:proofErr w:type="spellEnd"/>
      <w:r w:rsidRPr="004C5A7A">
        <w:rPr>
          <w:rFonts w:ascii="Arial" w:eastAsia="Times New Roman" w:hAnsi="Arial" w:cs="Arial"/>
          <w:bCs/>
          <w:spacing w:val="-2"/>
          <w:sz w:val="14"/>
          <w:szCs w:val="16"/>
          <w:lang w:eastAsia="pt-BR"/>
        </w:rPr>
        <w:t xml:space="preserve"> </w:t>
      </w:r>
      <w:proofErr w:type="spellStart"/>
      <w:r w:rsidRPr="004C5A7A">
        <w:rPr>
          <w:rFonts w:ascii="Arial" w:eastAsia="Times New Roman" w:hAnsi="Arial" w:cs="Arial"/>
          <w:bCs/>
          <w:spacing w:val="-2"/>
          <w:sz w:val="14"/>
          <w:szCs w:val="16"/>
          <w:lang w:eastAsia="pt-BR"/>
        </w:rPr>
        <w:t>of</w:t>
      </w:r>
      <w:proofErr w:type="spellEnd"/>
      <w:r w:rsidRPr="004C5A7A">
        <w:rPr>
          <w:rFonts w:ascii="Arial" w:eastAsia="Times New Roman" w:hAnsi="Arial" w:cs="Arial"/>
          <w:bCs/>
          <w:spacing w:val="-2"/>
          <w:sz w:val="14"/>
          <w:szCs w:val="16"/>
          <w:lang w:eastAsia="pt-BR"/>
        </w:rPr>
        <w:t xml:space="preserve"> </w:t>
      </w:r>
      <w:proofErr w:type="spellStart"/>
      <w:r w:rsidRPr="004C5A7A">
        <w:rPr>
          <w:rFonts w:ascii="Arial" w:eastAsia="Times New Roman" w:hAnsi="Arial" w:cs="Arial"/>
          <w:bCs/>
          <w:spacing w:val="-2"/>
          <w:sz w:val="14"/>
          <w:szCs w:val="16"/>
          <w:lang w:eastAsia="pt-BR"/>
        </w:rPr>
        <w:t>unrealized</w:t>
      </w:r>
      <w:proofErr w:type="spellEnd"/>
      <w:r w:rsidRPr="004C5A7A">
        <w:rPr>
          <w:rFonts w:ascii="Arial" w:eastAsia="Times New Roman" w:hAnsi="Arial" w:cs="Arial"/>
          <w:bCs/>
          <w:spacing w:val="-2"/>
          <w:sz w:val="14"/>
          <w:szCs w:val="16"/>
          <w:lang w:eastAsia="pt-BR"/>
        </w:rPr>
        <w:t xml:space="preserve"> </w:t>
      </w:r>
      <w:proofErr w:type="spellStart"/>
      <w:r w:rsidRPr="004C5A7A">
        <w:rPr>
          <w:rFonts w:ascii="Arial" w:eastAsia="Times New Roman" w:hAnsi="Arial" w:cs="Arial"/>
          <w:bCs/>
          <w:spacing w:val="-2"/>
          <w:sz w:val="14"/>
          <w:szCs w:val="16"/>
          <w:lang w:eastAsia="pt-BR"/>
        </w:rPr>
        <w:t>results</w:t>
      </w:r>
      <w:proofErr w:type="spellEnd"/>
      <w:r w:rsidRPr="004C5A7A">
        <w:rPr>
          <w:rFonts w:ascii="Arial" w:eastAsia="Times New Roman" w:hAnsi="Arial" w:cs="Arial"/>
          <w:bCs/>
          <w:spacing w:val="-2"/>
          <w:sz w:val="14"/>
          <w:szCs w:val="16"/>
          <w:lang w:eastAsia="pt-BR"/>
        </w:rPr>
        <w:t xml:space="preserve"> </w:t>
      </w:r>
      <w:proofErr w:type="spellStart"/>
      <w:r w:rsidRPr="004C5A7A">
        <w:rPr>
          <w:rFonts w:ascii="Arial" w:eastAsia="Times New Roman" w:hAnsi="Arial" w:cs="Arial"/>
          <w:bCs/>
          <w:spacing w:val="-2"/>
          <w:sz w:val="14"/>
          <w:szCs w:val="16"/>
          <w:lang w:eastAsia="pt-BR"/>
        </w:rPr>
        <w:t>of</w:t>
      </w:r>
      <w:proofErr w:type="spellEnd"/>
      <w:r w:rsidRPr="004C5A7A">
        <w:rPr>
          <w:rFonts w:ascii="Arial" w:eastAsia="Times New Roman" w:hAnsi="Arial" w:cs="Arial"/>
          <w:bCs/>
          <w:spacing w:val="-2"/>
          <w:sz w:val="14"/>
          <w:szCs w:val="16"/>
          <w:lang w:eastAsia="pt-BR"/>
        </w:rPr>
        <w:t xml:space="preserve"> M</w:t>
      </w:r>
      <w:r w:rsidR="004950A4">
        <w:rPr>
          <w:rFonts w:ascii="Arial" w:eastAsia="Times New Roman" w:hAnsi="Arial" w:cs="Arial"/>
          <w:bCs/>
          <w:spacing w:val="-2"/>
          <w:sz w:val="14"/>
          <w:szCs w:val="16"/>
          <w:lang w:eastAsia="pt-BR"/>
        </w:rPr>
        <w:t>APFRE</w:t>
      </w:r>
      <w:r w:rsidRPr="004C5A7A">
        <w:rPr>
          <w:rFonts w:ascii="Arial" w:eastAsia="Times New Roman" w:hAnsi="Arial" w:cs="Arial"/>
          <w:bCs/>
          <w:spacing w:val="-2"/>
          <w:sz w:val="14"/>
          <w:szCs w:val="16"/>
          <w:lang w:eastAsia="pt-BR"/>
        </w:rPr>
        <w:t xml:space="preserve"> Nossa Caixa Vida e Previdência (MNCVP).</w:t>
      </w:r>
    </w:p>
    <w:p w14:paraId="0630D6FF" w14:textId="77777777" w:rsidR="009E215C" w:rsidRPr="004C5A7A" w:rsidRDefault="009E215C" w:rsidP="009E215C">
      <w:pPr>
        <w:pStyle w:val="05-Textonormal"/>
        <w:rPr>
          <w:rFonts w:cs="Arial"/>
          <w:lang w:val="en-US"/>
        </w:rPr>
      </w:pPr>
    </w:p>
    <w:p w14:paraId="1AB4A87D" w14:textId="77777777" w:rsidR="009E215C" w:rsidRPr="004C5A7A" w:rsidRDefault="009E215C" w:rsidP="009E215C">
      <w:pPr>
        <w:pStyle w:val="05-Textonormal"/>
        <w:rPr>
          <w:rFonts w:cs="Arial"/>
          <w:lang w:val="en-US"/>
        </w:rPr>
      </w:pPr>
      <w:r w:rsidRPr="004C5A7A">
        <w:rPr>
          <w:rFonts w:cs="Arial"/>
          <w:lang w:val="en-US"/>
        </w:rPr>
        <w:t>The impacts of adopting CPC 50 [IFRS 17], in 2024 and 2023, and of CPC 48 [IFRS 9], in 2023, on Net income and Comprehensive Income, for comparability purposes, are shown in the following table:</w:t>
      </w:r>
    </w:p>
    <w:p w14:paraId="1FB09190"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9E215C" w:rsidRPr="004C5A7A" w14:paraId="75714B66"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CD0619" w14:textId="77777777" w:rsidR="009E215C" w:rsidRPr="004C5A7A" w:rsidRDefault="009E215C">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6FBD2D"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B96E39"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C63262"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C5A7A">
              <w:rPr>
                <w:rFonts w:ascii="Arial" w:hAnsi="Arial" w:cs="Arial"/>
                <w:bCs w:val="0"/>
                <w:sz w:val="14"/>
                <w:szCs w:val="14"/>
              </w:rPr>
              <w:t>2024</w:t>
            </w:r>
          </w:p>
        </w:tc>
        <w:tc>
          <w:tcPr>
            <w:tcW w:w="169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87C3D9"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4C5A7A">
              <w:rPr>
                <w:rFonts w:ascii="Arial" w:hAnsi="Arial" w:cs="Arial"/>
                <w:bCs w:val="0"/>
                <w:sz w:val="14"/>
                <w:szCs w:val="14"/>
              </w:rPr>
              <w:t>2023</w:t>
            </w:r>
          </w:p>
        </w:tc>
      </w:tr>
      <w:tr w:rsidR="009E215C" w:rsidRPr="004C5A7A" w14:paraId="5BE7869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shd w:val="clear" w:color="auto" w:fill="auto"/>
            <w:vAlign w:val="center"/>
          </w:tcPr>
          <w:p w14:paraId="166673A8" w14:textId="77777777" w:rsidR="009E215C" w:rsidRPr="004C5A7A" w:rsidRDefault="009E215C">
            <w:pPr>
              <w:keepNext/>
              <w:keepLines/>
              <w:rPr>
                <w:rFonts w:ascii="Arial" w:eastAsia="Times New Roman" w:hAnsi="Arial" w:cs="Arial"/>
                <w:b w:val="0"/>
                <w:bCs w:val="0"/>
                <w:spacing w:val="-2"/>
                <w:sz w:val="14"/>
                <w:szCs w:val="14"/>
                <w:lang w:val="en-US"/>
              </w:rPr>
            </w:pPr>
            <w:r w:rsidRPr="004C5A7A">
              <w:rPr>
                <w:rFonts w:ascii="Arial" w:hAnsi="Arial" w:cs="Arial"/>
                <w:b w:val="0"/>
                <w:bCs w:val="0"/>
                <w:sz w:val="14"/>
                <w:szCs w:val="14"/>
                <w:lang w:val="en-US"/>
              </w:rPr>
              <w:t>Net income - BRGAAP and IFRS</w:t>
            </w:r>
          </w:p>
        </w:tc>
        <w:tc>
          <w:tcPr>
            <w:tcW w:w="1576" w:type="dxa"/>
            <w:tcBorders>
              <w:top w:val="single" w:sz="2" w:space="0" w:color="1F3864" w:themeColor="accent1" w:themeShade="80"/>
              <w:left w:val="nil"/>
              <w:bottom w:val="nil"/>
              <w:right w:val="nil"/>
            </w:tcBorders>
            <w:shd w:val="clear" w:color="auto" w:fill="auto"/>
            <w:vAlign w:val="center"/>
          </w:tcPr>
          <w:p w14:paraId="736FA13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0" w:type="dxa"/>
            <w:tcBorders>
              <w:top w:val="single" w:sz="2" w:space="0" w:color="1F3864" w:themeColor="accent1" w:themeShade="80"/>
              <w:left w:val="nil"/>
              <w:bottom w:val="nil"/>
              <w:right w:val="nil"/>
            </w:tcBorders>
            <w:shd w:val="clear" w:color="auto" w:fill="auto"/>
            <w:vAlign w:val="center"/>
          </w:tcPr>
          <w:p w14:paraId="1C8882C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99" w:type="dxa"/>
            <w:tcBorders>
              <w:top w:val="single" w:sz="2" w:space="0" w:color="1F3864" w:themeColor="accent1" w:themeShade="80"/>
              <w:left w:val="nil"/>
              <w:bottom w:val="nil"/>
              <w:right w:val="nil"/>
            </w:tcBorders>
            <w:shd w:val="clear" w:color="auto" w:fill="auto"/>
            <w:vAlign w:val="center"/>
          </w:tcPr>
          <w:p w14:paraId="3C0D4D4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2,400,723 </w:t>
            </w:r>
          </w:p>
        </w:tc>
        <w:tc>
          <w:tcPr>
            <w:tcW w:w="1690" w:type="dxa"/>
            <w:tcBorders>
              <w:top w:val="single" w:sz="2" w:space="0" w:color="1F3864" w:themeColor="accent1" w:themeShade="80"/>
              <w:left w:val="nil"/>
              <w:bottom w:val="nil"/>
              <w:right w:val="nil"/>
            </w:tcBorders>
            <w:shd w:val="clear" w:color="auto" w:fill="auto"/>
            <w:vAlign w:val="center"/>
          </w:tcPr>
          <w:p w14:paraId="655A7FD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bookmarkStart w:id="47" w:name="_Toc157532032"/>
            <w:bookmarkStart w:id="48" w:name="_Toc157702404"/>
            <w:r w:rsidRPr="004C5A7A">
              <w:rPr>
                <w:rFonts w:ascii="Arial" w:hAnsi="Arial" w:cs="Arial"/>
                <w:color w:val="000000"/>
                <w:sz w:val="14"/>
                <w:szCs w:val="14"/>
              </w:rPr>
              <w:t>2,374,258</w:t>
            </w:r>
            <w:bookmarkEnd w:id="47"/>
            <w:bookmarkEnd w:id="48"/>
          </w:p>
        </w:tc>
      </w:tr>
      <w:tr w:rsidR="009E215C" w:rsidRPr="004C5A7A" w14:paraId="450CD00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5C242C9F"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Net income - SUSEPGAAP</w:t>
            </w:r>
          </w:p>
        </w:tc>
        <w:tc>
          <w:tcPr>
            <w:tcW w:w="1576" w:type="dxa"/>
            <w:tcBorders>
              <w:top w:val="nil"/>
              <w:left w:val="nil"/>
              <w:bottom w:val="nil"/>
              <w:right w:val="nil"/>
            </w:tcBorders>
            <w:shd w:val="clear" w:color="auto" w:fill="auto"/>
            <w:vAlign w:val="center"/>
          </w:tcPr>
          <w:p w14:paraId="72D0A5B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4971D15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2E78E6A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1,484,981 </w:t>
            </w:r>
          </w:p>
        </w:tc>
        <w:tc>
          <w:tcPr>
            <w:tcW w:w="1690" w:type="dxa"/>
            <w:tcBorders>
              <w:top w:val="nil"/>
              <w:left w:val="nil"/>
              <w:bottom w:val="nil"/>
              <w:right w:val="nil"/>
            </w:tcBorders>
            <w:shd w:val="clear" w:color="auto" w:fill="auto"/>
            <w:vAlign w:val="center"/>
          </w:tcPr>
          <w:p w14:paraId="6F3450C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bookmarkStart w:id="49" w:name="_Toc157532034"/>
            <w:bookmarkStart w:id="50" w:name="_Toc157702406"/>
            <w:r w:rsidRPr="004C5A7A">
              <w:rPr>
                <w:rFonts w:ascii="Arial" w:hAnsi="Arial" w:cs="Arial"/>
                <w:color w:val="000000"/>
                <w:sz w:val="14"/>
                <w:szCs w:val="14"/>
              </w:rPr>
              <w:t>1,907,043</w:t>
            </w:r>
            <w:bookmarkEnd w:id="49"/>
            <w:bookmarkEnd w:id="50"/>
          </w:p>
        </w:tc>
      </w:tr>
      <w:tr w:rsidR="009E215C" w:rsidRPr="004C5A7A" w14:paraId="5158032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179519EC" w14:textId="77777777" w:rsidR="009E215C" w:rsidRPr="004C5A7A" w:rsidRDefault="009E215C">
            <w:pPr>
              <w:keepNext/>
              <w:keepLines/>
              <w:rPr>
                <w:rFonts w:ascii="Arial" w:hAnsi="Arial" w:cs="Arial"/>
                <w:b w:val="0"/>
                <w:bCs w:val="0"/>
                <w:sz w:val="14"/>
                <w:szCs w:val="14"/>
              </w:rPr>
            </w:pPr>
          </w:p>
        </w:tc>
        <w:tc>
          <w:tcPr>
            <w:tcW w:w="1576" w:type="dxa"/>
            <w:tcBorders>
              <w:top w:val="nil"/>
              <w:left w:val="nil"/>
              <w:bottom w:val="nil"/>
              <w:right w:val="nil"/>
            </w:tcBorders>
            <w:shd w:val="clear" w:color="auto" w:fill="auto"/>
            <w:vAlign w:val="center"/>
          </w:tcPr>
          <w:p w14:paraId="4E103ED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60486CB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shd w:val="clear" w:color="auto" w:fill="auto"/>
            <w:vAlign w:val="center"/>
          </w:tcPr>
          <w:p w14:paraId="5580814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auto"/>
            <w:vAlign w:val="center"/>
          </w:tcPr>
          <w:p w14:paraId="3DED3D5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E215C" w:rsidRPr="004C5A7A" w14:paraId="4EDEE5C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auto"/>
            <w:vAlign w:val="center"/>
          </w:tcPr>
          <w:p w14:paraId="387EF937" w14:textId="77777777" w:rsidR="009E215C" w:rsidRPr="004C5A7A" w:rsidRDefault="009E215C">
            <w:pPr>
              <w:keepNext/>
              <w:keepLines/>
              <w:spacing w:before="40" w:after="40"/>
              <w:rPr>
                <w:rFonts w:ascii="Arial" w:hAnsi="Arial" w:cs="Arial"/>
                <w:b w:val="0"/>
                <w:bCs w:val="0"/>
                <w:sz w:val="14"/>
                <w:szCs w:val="14"/>
                <w:lang w:val="en-US"/>
              </w:rPr>
            </w:pPr>
            <w:r w:rsidRPr="004C5A7A">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auto"/>
            <w:vAlign w:val="center"/>
          </w:tcPr>
          <w:p w14:paraId="7A2B965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0" w:type="dxa"/>
            <w:tcBorders>
              <w:top w:val="nil"/>
              <w:left w:val="nil"/>
              <w:bottom w:val="nil"/>
              <w:right w:val="nil"/>
            </w:tcBorders>
            <w:shd w:val="clear" w:color="auto" w:fill="auto"/>
            <w:vAlign w:val="center"/>
          </w:tcPr>
          <w:p w14:paraId="7533358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99" w:type="dxa"/>
            <w:tcBorders>
              <w:top w:val="nil"/>
              <w:left w:val="nil"/>
              <w:bottom w:val="nil"/>
              <w:right w:val="nil"/>
            </w:tcBorders>
            <w:shd w:val="clear" w:color="auto" w:fill="auto"/>
            <w:vAlign w:val="center"/>
          </w:tcPr>
          <w:p w14:paraId="4899AFF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1,731,906 </w:t>
            </w:r>
          </w:p>
        </w:tc>
        <w:tc>
          <w:tcPr>
            <w:tcW w:w="1690" w:type="dxa"/>
            <w:tcBorders>
              <w:top w:val="nil"/>
              <w:left w:val="nil"/>
              <w:bottom w:val="nil"/>
              <w:right w:val="nil"/>
            </w:tcBorders>
            <w:shd w:val="clear" w:color="auto" w:fill="auto"/>
            <w:vAlign w:val="center"/>
          </w:tcPr>
          <w:p w14:paraId="4AFFB56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bookmarkStart w:id="51" w:name="_Toc157532035"/>
            <w:bookmarkStart w:id="52" w:name="_Toc157702407"/>
            <w:r w:rsidRPr="004C5A7A">
              <w:rPr>
                <w:rFonts w:ascii="Arial" w:hAnsi="Arial" w:cs="Arial"/>
                <w:color w:val="000000"/>
                <w:sz w:val="14"/>
                <w:szCs w:val="14"/>
              </w:rPr>
              <w:t>2,375,110</w:t>
            </w:r>
            <w:bookmarkEnd w:id="51"/>
            <w:bookmarkEnd w:id="52"/>
          </w:p>
        </w:tc>
      </w:tr>
      <w:tr w:rsidR="009E215C" w:rsidRPr="004C5A7A" w14:paraId="5FC11D7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shd w:val="clear" w:color="auto" w:fill="auto"/>
            <w:vAlign w:val="center"/>
          </w:tcPr>
          <w:p w14:paraId="582176A1"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income - SUSEPGAAP</w:t>
            </w:r>
          </w:p>
        </w:tc>
        <w:tc>
          <w:tcPr>
            <w:tcW w:w="1576" w:type="dxa"/>
            <w:tcBorders>
              <w:top w:val="nil"/>
              <w:left w:val="nil"/>
              <w:bottom w:val="single" w:sz="2" w:space="0" w:color="1F3864" w:themeColor="accent1" w:themeShade="80"/>
              <w:right w:val="nil"/>
            </w:tcBorders>
            <w:shd w:val="clear" w:color="auto" w:fill="auto"/>
            <w:vAlign w:val="center"/>
          </w:tcPr>
          <w:p w14:paraId="16D0E3F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shd w:val="clear" w:color="auto" w:fill="auto"/>
            <w:vAlign w:val="center"/>
          </w:tcPr>
          <w:p w14:paraId="66C56C2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single" w:sz="2" w:space="0" w:color="1F3864" w:themeColor="accent1" w:themeShade="80"/>
              <w:right w:val="nil"/>
            </w:tcBorders>
            <w:shd w:val="clear" w:color="auto" w:fill="auto"/>
            <w:vAlign w:val="center"/>
          </w:tcPr>
          <w:p w14:paraId="3ED287E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1,649,589 </w:t>
            </w:r>
          </w:p>
        </w:tc>
        <w:tc>
          <w:tcPr>
            <w:tcW w:w="1690" w:type="dxa"/>
            <w:tcBorders>
              <w:top w:val="nil"/>
              <w:left w:val="nil"/>
              <w:bottom w:val="single" w:sz="2" w:space="0" w:color="1F3864" w:themeColor="accent1" w:themeShade="80"/>
              <w:right w:val="nil"/>
            </w:tcBorders>
            <w:shd w:val="clear" w:color="auto" w:fill="auto"/>
            <w:vAlign w:val="center"/>
          </w:tcPr>
          <w:p w14:paraId="2DB3A4A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bookmarkStart w:id="53" w:name="_Toc157532036"/>
            <w:bookmarkStart w:id="54" w:name="_Toc157702408"/>
            <w:r w:rsidRPr="004C5A7A">
              <w:rPr>
                <w:rFonts w:ascii="Arial" w:hAnsi="Arial" w:cs="Arial"/>
                <w:color w:val="000000"/>
                <w:sz w:val="14"/>
                <w:szCs w:val="14"/>
              </w:rPr>
              <w:t>1,901,920</w:t>
            </w:r>
            <w:bookmarkEnd w:id="53"/>
            <w:bookmarkEnd w:id="54"/>
          </w:p>
        </w:tc>
      </w:tr>
    </w:tbl>
    <w:p w14:paraId="0E946D46"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6F30C063" w14:textId="77777777" w:rsidR="009E215C" w:rsidRPr="004C5A7A" w:rsidRDefault="009E215C" w:rsidP="009E215C">
      <w:pPr>
        <w:keepNext/>
        <w:keepLines/>
        <w:pageBreakBefore/>
        <w:spacing w:after="0" w:line="240" w:lineRule="auto"/>
        <w:rPr>
          <w:rFonts w:ascii="Arial" w:eastAsia="Times New Roman" w:hAnsi="Arial" w:cs="Arial"/>
          <w:spacing w:val="-2"/>
          <w:sz w:val="18"/>
          <w:szCs w:val="20"/>
          <w:lang w:eastAsia="zh-CN"/>
        </w:rPr>
      </w:pPr>
    </w:p>
    <w:p w14:paraId="3C518B61"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1F5CD3FE" w14:textId="77777777" w:rsidR="009E215C" w:rsidRPr="004C5A7A" w:rsidRDefault="009E215C" w:rsidP="009E215C">
      <w:pPr>
        <w:spacing w:after="0" w:line="240" w:lineRule="auto"/>
        <w:jc w:val="right"/>
        <w:rPr>
          <w:rFonts w:ascii="Arial" w:hAnsi="Arial" w:cs="Arial"/>
          <w:b/>
          <w:sz w:val="14"/>
          <w:lang w:eastAsia="pt-BR"/>
        </w:rPr>
      </w:pPr>
      <w:r w:rsidRPr="004C5A7A">
        <w:rPr>
          <w:rFonts w:ascii="Arial" w:hAnsi="Arial" w:cs="Arial"/>
          <w:b/>
          <w:sz w:val="14"/>
          <w:lang w:eastAsia="pt-BR"/>
        </w:rPr>
        <w:t xml:space="preserve">R$ </w:t>
      </w:r>
      <w:proofErr w:type="spellStart"/>
      <w:r w:rsidRPr="004C5A7A">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E215C" w:rsidRPr="004C5A7A" w14:paraId="6880C3A7"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3D8340" w14:textId="77777777" w:rsidR="009E215C" w:rsidRPr="004C5A7A" w:rsidRDefault="009E215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E10F22"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E0E5FDF"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26F1110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2EDECF1C" w14:textId="77777777" w:rsidR="009E215C" w:rsidRPr="004C5A7A" w:rsidRDefault="009E215C">
            <w:pPr>
              <w:keepNext/>
              <w:keepLines/>
              <w:rPr>
                <w:rFonts w:ascii="Arial" w:eastAsia="Times New Roman" w:hAnsi="Arial" w:cs="Arial"/>
                <w:spacing w:val="-2"/>
                <w:sz w:val="14"/>
                <w:szCs w:val="14"/>
                <w:highlight w:val="yellow"/>
              </w:rPr>
            </w:pP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34BC3F2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415,394,760</w:t>
            </w:r>
          </w:p>
        </w:tc>
        <w:tc>
          <w:tcPr>
            <w:tcW w:w="3260" w:type="dxa"/>
            <w:tcBorders>
              <w:top w:val="single" w:sz="2" w:space="0" w:color="1F3864" w:themeColor="accent1" w:themeShade="80"/>
              <w:left w:val="nil"/>
              <w:bottom w:val="nil"/>
              <w:right w:val="nil"/>
            </w:tcBorders>
            <w:shd w:val="clear" w:color="auto" w:fill="auto"/>
            <w:vAlign w:val="center"/>
          </w:tcPr>
          <w:p w14:paraId="34CFE78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378,684,861</w:t>
            </w:r>
          </w:p>
        </w:tc>
      </w:tr>
      <w:tr w:rsidR="009E215C" w:rsidRPr="004C5A7A" w14:paraId="5C201FD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09266F11"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sz w:val="14"/>
                <w:szCs w:val="14"/>
              </w:rPr>
              <w:t xml:space="preserve">Cash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cash </w:t>
            </w:r>
            <w:proofErr w:type="spellStart"/>
            <w:r w:rsidRPr="004C5A7A">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auto"/>
            <w:vAlign w:val="center"/>
          </w:tcPr>
          <w:p w14:paraId="227FA3E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28,576</w:t>
            </w:r>
          </w:p>
        </w:tc>
        <w:tc>
          <w:tcPr>
            <w:tcW w:w="3260" w:type="dxa"/>
            <w:tcBorders>
              <w:top w:val="nil"/>
              <w:left w:val="nil"/>
              <w:bottom w:val="nil"/>
              <w:right w:val="nil"/>
            </w:tcBorders>
            <w:shd w:val="clear" w:color="auto" w:fill="auto"/>
            <w:vAlign w:val="center"/>
          </w:tcPr>
          <w:p w14:paraId="15BF049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26,246</w:t>
            </w:r>
          </w:p>
        </w:tc>
      </w:tr>
      <w:tr w:rsidR="009E215C" w:rsidRPr="004C5A7A" w14:paraId="0AD7AE1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729F7F"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Financial </w:t>
            </w:r>
            <w:proofErr w:type="spellStart"/>
            <w:r w:rsidRPr="004C5A7A">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center"/>
          </w:tcPr>
          <w:p w14:paraId="635DB8E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415,173,160</w:t>
            </w:r>
          </w:p>
        </w:tc>
        <w:tc>
          <w:tcPr>
            <w:tcW w:w="3260" w:type="dxa"/>
            <w:tcBorders>
              <w:top w:val="nil"/>
              <w:left w:val="nil"/>
              <w:bottom w:val="nil"/>
              <w:right w:val="nil"/>
            </w:tcBorders>
            <w:shd w:val="clear" w:color="auto" w:fill="auto"/>
            <w:vAlign w:val="center"/>
          </w:tcPr>
          <w:p w14:paraId="1D8B7A1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378,504,654</w:t>
            </w:r>
          </w:p>
        </w:tc>
      </w:tr>
      <w:tr w:rsidR="009E215C" w:rsidRPr="004C5A7A" w14:paraId="4774EDB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3E1A6C"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Credit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from</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5C885CF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14,003</w:t>
            </w:r>
          </w:p>
        </w:tc>
        <w:tc>
          <w:tcPr>
            <w:tcW w:w="3260" w:type="dxa"/>
            <w:tcBorders>
              <w:top w:val="nil"/>
              <w:left w:val="nil"/>
              <w:bottom w:val="nil"/>
              <w:right w:val="nil"/>
            </w:tcBorders>
            <w:shd w:val="clear" w:color="auto" w:fill="auto"/>
            <w:vAlign w:val="center"/>
          </w:tcPr>
          <w:p w14:paraId="7662CD8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10,162</w:t>
            </w:r>
          </w:p>
        </w:tc>
      </w:tr>
      <w:tr w:rsidR="009E215C" w:rsidRPr="004C5A7A" w14:paraId="6AC1CEF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D18988"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center"/>
          </w:tcPr>
          <w:p w14:paraId="60961BBE"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179,021</w:t>
            </w:r>
          </w:p>
        </w:tc>
        <w:tc>
          <w:tcPr>
            <w:tcW w:w="3260" w:type="dxa"/>
            <w:tcBorders>
              <w:top w:val="nil"/>
              <w:left w:val="nil"/>
              <w:bottom w:val="nil"/>
              <w:right w:val="nil"/>
            </w:tcBorders>
            <w:shd w:val="clear" w:color="auto" w:fill="auto"/>
            <w:vAlign w:val="center"/>
          </w:tcPr>
          <w:p w14:paraId="79B3333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143,799</w:t>
            </w:r>
          </w:p>
        </w:tc>
      </w:tr>
      <w:tr w:rsidR="009E215C" w:rsidRPr="004C5A7A" w14:paraId="598BDD6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2D432E" w14:textId="77777777" w:rsidR="009E215C" w:rsidRPr="004C5A7A" w:rsidRDefault="009E215C">
            <w:pPr>
              <w:keepNext/>
              <w:keepLines/>
              <w:rPr>
                <w:rFonts w:ascii="Arial" w:hAnsi="Arial" w:cs="Arial"/>
                <w:color w:val="000000"/>
                <w:sz w:val="14"/>
                <w:szCs w:val="14"/>
                <w:highlight w:val="yellow"/>
              </w:rPr>
            </w:pPr>
            <w:r w:rsidRPr="004C5A7A">
              <w:rPr>
                <w:rFonts w:ascii="Arial" w:hAnsi="Arial" w:cs="Arial"/>
                <w:sz w:val="14"/>
                <w:szCs w:val="14"/>
              </w:rPr>
              <w:t>Non-</w:t>
            </w: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center"/>
          </w:tcPr>
          <w:p w14:paraId="6B76FBB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18,889,264</w:t>
            </w:r>
          </w:p>
        </w:tc>
        <w:tc>
          <w:tcPr>
            <w:tcW w:w="3260" w:type="dxa"/>
            <w:tcBorders>
              <w:top w:val="nil"/>
              <w:left w:val="nil"/>
              <w:bottom w:val="nil"/>
              <w:right w:val="nil"/>
            </w:tcBorders>
            <w:shd w:val="clear" w:color="auto" w:fill="auto"/>
            <w:vAlign w:val="center"/>
          </w:tcPr>
          <w:p w14:paraId="4EA2E083"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4C5A7A">
              <w:rPr>
                <w:rFonts w:ascii="Arial" w:hAnsi="Arial" w:cs="Arial"/>
                <w:b/>
                <w:bCs/>
                <w:color w:val="000000"/>
                <w:sz w:val="14"/>
                <w:szCs w:val="14"/>
              </w:rPr>
              <w:t>20,251,955</w:t>
            </w:r>
          </w:p>
        </w:tc>
      </w:tr>
      <w:tr w:rsidR="009E215C" w:rsidRPr="004C5A7A" w14:paraId="21E1954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B89945"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Financial </w:t>
            </w:r>
            <w:proofErr w:type="spellStart"/>
            <w:r w:rsidRPr="004C5A7A">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auto"/>
            <w:vAlign w:val="center"/>
          </w:tcPr>
          <w:p w14:paraId="75DCCD6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18,597,565</w:t>
            </w:r>
          </w:p>
        </w:tc>
        <w:tc>
          <w:tcPr>
            <w:tcW w:w="3260" w:type="dxa"/>
            <w:tcBorders>
              <w:top w:val="nil"/>
              <w:left w:val="nil"/>
              <w:bottom w:val="nil"/>
              <w:right w:val="nil"/>
            </w:tcBorders>
            <w:shd w:val="clear" w:color="auto" w:fill="auto"/>
            <w:vAlign w:val="center"/>
          </w:tcPr>
          <w:p w14:paraId="32C09A0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19,939,487</w:t>
            </w:r>
          </w:p>
        </w:tc>
      </w:tr>
      <w:tr w:rsidR="009E215C" w:rsidRPr="004C5A7A" w14:paraId="62139A1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276D26"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Credit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from</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11932DC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40,494</w:t>
            </w:r>
          </w:p>
        </w:tc>
        <w:tc>
          <w:tcPr>
            <w:tcW w:w="3260" w:type="dxa"/>
            <w:tcBorders>
              <w:top w:val="nil"/>
              <w:left w:val="nil"/>
              <w:bottom w:val="nil"/>
              <w:right w:val="nil"/>
            </w:tcBorders>
            <w:shd w:val="clear" w:color="auto" w:fill="auto"/>
            <w:vAlign w:val="center"/>
          </w:tcPr>
          <w:p w14:paraId="56504FD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36,566</w:t>
            </w:r>
          </w:p>
        </w:tc>
      </w:tr>
      <w:tr w:rsidR="009E215C" w:rsidRPr="004C5A7A" w14:paraId="1E943F3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0B1390"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auto"/>
            <w:vAlign w:val="center"/>
          </w:tcPr>
          <w:p w14:paraId="34FA3F6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251,205</w:t>
            </w:r>
          </w:p>
        </w:tc>
        <w:tc>
          <w:tcPr>
            <w:tcW w:w="3260" w:type="dxa"/>
            <w:tcBorders>
              <w:top w:val="nil"/>
              <w:left w:val="nil"/>
              <w:bottom w:val="nil"/>
              <w:right w:val="nil"/>
            </w:tcBorders>
            <w:shd w:val="clear" w:color="auto" w:fill="auto"/>
            <w:vAlign w:val="center"/>
          </w:tcPr>
          <w:p w14:paraId="7F5FF05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275,902</w:t>
            </w:r>
          </w:p>
        </w:tc>
      </w:tr>
      <w:tr w:rsidR="009E215C" w:rsidRPr="004C5A7A" w14:paraId="2482AC8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4982A3" w14:textId="77777777" w:rsidR="009E215C" w:rsidRPr="004C5A7A" w:rsidRDefault="009E215C">
            <w:pPr>
              <w:keepNext/>
              <w:keepLines/>
              <w:rPr>
                <w:rFonts w:ascii="Arial" w:hAnsi="Arial" w:cs="Arial"/>
                <w:color w:val="000000"/>
                <w:sz w:val="14"/>
                <w:szCs w:val="14"/>
                <w:highlight w:val="yellow"/>
              </w:rPr>
            </w:pPr>
            <w:r w:rsidRPr="004C5A7A">
              <w:rPr>
                <w:rFonts w:ascii="Arial" w:hAnsi="Arial" w:cs="Arial"/>
                <w:sz w:val="14"/>
                <w:szCs w:val="14"/>
              </w:rPr>
              <w:t xml:space="preserve">Total </w:t>
            </w:r>
            <w:proofErr w:type="spellStart"/>
            <w:r w:rsidRPr="004C5A7A">
              <w:rPr>
                <w:rFonts w:ascii="Arial" w:hAnsi="Arial" w:cs="Arial"/>
                <w:sz w:val="14"/>
                <w:szCs w:val="14"/>
              </w:rPr>
              <w:t>Assets</w:t>
            </w:r>
            <w:proofErr w:type="spellEnd"/>
          </w:p>
        </w:tc>
        <w:tc>
          <w:tcPr>
            <w:tcW w:w="3260" w:type="dxa"/>
            <w:tcBorders>
              <w:top w:val="nil"/>
              <w:left w:val="nil"/>
              <w:bottom w:val="nil"/>
              <w:right w:val="nil"/>
            </w:tcBorders>
            <w:shd w:val="clear" w:color="auto" w:fill="auto"/>
            <w:vAlign w:val="center"/>
          </w:tcPr>
          <w:p w14:paraId="77256B6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434,284,024</w:t>
            </w:r>
          </w:p>
        </w:tc>
        <w:tc>
          <w:tcPr>
            <w:tcW w:w="3260" w:type="dxa"/>
            <w:tcBorders>
              <w:top w:val="nil"/>
              <w:left w:val="nil"/>
              <w:bottom w:val="nil"/>
              <w:right w:val="nil"/>
            </w:tcBorders>
            <w:shd w:val="clear" w:color="auto" w:fill="auto"/>
            <w:vAlign w:val="center"/>
          </w:tcPr>
          <w:p w14:paraId="71960D2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4C5A7A">
              <w:rPr>
                <w:rFonts w:ascii="Arial" w:hAnsi="Arial" w:cs="Arial"/>
                <w:b/>
                <w:bCs/>
                <w:color w:val="000000"/>
                <w:sz w:val="14"/>
                <w:szCs w:val="14"/>
              </w:rPr>
              <w:t>398,936,816</w:t>
            </w:r>
          </w:p>
        </w:tc>
      </w:tr>
      <w:tr w:rsidR="009E215C" w:rsidRPr="004C5A7A" w14:paraId="131E3D8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220638" w14:textId="77777777" w:rsidR="009E215C" w:rsidRPr="004C5A7A" w:rsidRDefault="009E215C">
            <w:pPr>
              <w:keepNext/>
              <w:keepLines/>
              <w:rPr>
                <w:rFonts w:ascii="Arial" w:hAnsi="Arial" w:cs="Arial"/>
                <w:color w:val="000000"/>
                <w:sz w:val="14"/>
                <w:szCs w:val="14"/>
                <w:highlight w:val="yellow"/>
              </w:rPr>
            </w:pPr>
          </w:p>
        </w:tc>
        <w:tc>
          <w:tcPr>
            <w:tcW w:w="3260" w:type="dxa"/>
            <w:tcBorders>
              <w:top w:val="nil"/>
              <w:left w:val="nil"/>
              <w:bottom w:val="nil"/>
              <w:right w:val="nil"/>
            </w:tcBorders>
            <w:shd w:val="clear" w:color="auto" w:fill="auto"/>
            <w:vAlign w:val="center"/>
          </w:tcPr>
          <w:p w14:paraId="6855753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auto"/>
            <w:vAlign w:val="center"/>
          </w:tcPr>
          <w:p w14:paraId="317FE91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9E215C" w:rsidRPr="004C5A7A" w14:paraId="194A9B8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2BF90E" w14:textId="77777777" w:rsidR="009E215C" w:rsidRPr="004C5A7A" w:rsidRDefault="009E215C">
            <w:pPr>
              <w:keepNext/>
              <w:keepLines/>
              <w:rPr>
                <w:rFonts w:ascii="Arial" w:hAnsi="Arial" w:cs="Arial"/>
                <w:color w:val="000000"/>
                <w:sz w:val="14"/>
                <w:szCs w:val="14"/>
                <w:highlight w:val="yellow"/>
              </w:rPr>
            </w:pP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center"/>
          </w:tcPr>
          <w:p w14:paraId="53FE55B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53,790,732</w:t>
            </w:r>
          </w:p>
        </w:tc>
        <w:tc>
          <w:tcPr>
            <w:tcW w:w="3260" w:type="dxa"/>
            <w:tcBorders>
              <w:top w:val="nil"/>
              <w:left w:val="nil"/>
              <w:bottom w:val="nil"/>
              <w:right w:val="nil"/>
            </w:tcBorders>
            <w:shd w:val="clear" w:color="auto" w:fill="auto"/>
            <w:vAlign w:val="center"/>
          </w:tcPr>
          <w:p w14:paraId="5F2B403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4C5A7A">
              <w:rPr>
                <w:rFonts w:ascii="Arial" w:hAnsi="Arial" w:cs="Arial"/>
                <w:b/>
                <w:bCs/>
                <w:color w:val="000000"/>
                <w:sz w:val="14"/>
                <w:szCs w:val="14"/>
              </w:rPr>
              <w:t>55,376,466</w:t>
            </w:r>
          </w:p>
        </w:tc>
      </w:tr>
      <w:tr w:rsidR="009E215C" w:rsidRPr="004C5A7A" w14:paraId="198A58E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3D49F5"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Amounts</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payable</w:t>
            </w:r>
            <w:proofErr w:type="spellEnd"/>
          </w:p>
        </w:tc>
        <w:tc>
          <w:tcPr>
            <w:tcW w:w="3260" w:type="dxa"/>
            <w:tcBorders>
              <w:top w:val="nil"/>
              <w:left w:val="nil"/>
              <w:bottom w:val="nil"/>
              <w:right w:val="nil"/>
            </w:tcBorders>
            <w:shd w:val="clear" w:color="auto" w:fill="auto"/>
            <w:vAlign w:val="center"/>
          </w:tcPr>
          <w:p w14:paraId="704B138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1,524,892</w:t>
            </w:r>
          </w:p>
        </w:tc>
        <w:tc>
          <w:tcPr>
            <w:tcW w:w="3260" w:type="dxa"/>
            <w:tcBorders>
              <w:top w:val="nil"/>
              <w:left w:val="nil"/>
              <w:bottom w:val="nil"/>
              <w:right w:val="nil"/>
            </w:tcBorders>
            <w:shd w:val="clear" w:color="auto" w:fill="auto"/>
            <w:vAlign w:val="center"/>
          </w:tcPr>
          <w:p w14:paraId="0B38B52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1,532,948</w:t>
            </w:r>
          </w:p>
        </w:tc>
      </w:tr>
      <w:tr w:rsidR="009E215C" w:rsidRPr="004C5A7A" w14:paraId="3D401CC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829267"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Debt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from</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insurance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auto"/>
            <w:vAlign w:val="center"/>
          </w:tcPr>
          <w:p w14:paraId="0B37617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15,035</w:t>
            </w:r>
          </w:p>
        </w:tc>
        <w:tc>
          <w:tcPr>
            <w:tcW w:w="3260" w:type="dxa"/>
            <w:tcBorders>
              <w:top w:val="nil"/>
              <w:left w:val="nil"/>
              <w:bottom w:val="nil"/>
              <w:right w:val="nil"/>
            </w:tcBorders>
            <w:shd w:val="clear" w:color="auto" w:fill="auto"/>
            <w:vAlign w:val="center"/>
          </w:tcPr>
          <w:p w14:paraId="66A4042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13,919</w:t>
            </w:r>
          </w:p>
        </w:tc>
      </w:tr>
      <w:tr w:rsidR="009E215C" w:rsidRPr="004C5A7A" w14:paraId="32F6A9F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9D5C4E"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Insurance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center"/>
          </w:tcPr>
          <w:p w14:paraId="32EAFDE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52,210,355</w:t>
            </w:r>
          </w:p>
        </w:tc>
        <w:tc>
          <w:tcPr>
            <w:tcW w:w="3260" w:type="dxa"/>
            <w:tcBorders>
              <w:top w:val="nil"/>
              <w:left w:val="nil"/>
              <w:bottom w:val="nil"/>
              <w:right w:val="nil"/>
            </w:tcBorders>
            <w:shd w:val="clear" w:color="auto" w:fill="auto"/>
            <w:vAlign w:val="center"/>
          </w:tcPr>
          <w:p w14:paraId="7C1B00B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53,765,585</w:t>
            </w:r>
          </w:p>
        </w:tc>
      </w:tr>
      <w:tr w:rsidR="009E215C" w:rsidRPr="004C5A7A" w14:paraId="5383F2A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E2775D"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center"/>
          </w:tcPr>
          <w:p w14:paraId="7A0A0B7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40,450</w:t>
            </w:r>
          </w:p>
        </w:tc>
        <w:tc>
          <w:tcPr>
            <w:tcW w:w="3260" w:type="dxa"/>
            <w:tcBorders>
              <w:top w:val="nil"/>
              <w:left w:val="nil"/>
              <w:bottom w:val="nil"/>
              <w:right w:val="nil"/>
            </w:tcBorders>
            <w:shd w:val="clear" w:color="auto" w:fill="auto"/>
            <w:vAlign w:val="center"/>
          </w:tcPr>
          <w:p w14:paraId="6E65D40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64,014</w:t>
            </w:r>
          </w:p>
        </w:tc>
      </w:tr>
      <w:tr w:rsidR="009E215C" w:rsidRPr="004C5A7A" w14:paraId="6BFCF19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FFB520" w14:textId="77777777" w:rsidR="009E215C" w:rsidRPr="004C5A7A" w:rsidRDefault="009E215C">
            <w:pPr>
              <w:keepNext/>
              <w:keepLines/>
              <w:spacing w:before="40" w:after="40"/>
              <w:rPr>
                <w:rFonts w:ascii="Arial" w:hAnsi="Arial" w:cs="Arial"/>
                <w:sz w:val="14"/>
                <w:szCs w:val="14"/>
                <w:highlight w:val="yellow"/>
              </w:rPr>
            </w:pPr>
            <w:r w:rsidRPr="004C5A7A">
              <w:rPr>
                <w:rFonts w:ascii="Arial" w:hAnsi="Arial" w:cs="Arial"/>
                <w:sz w:val="14"/>
                <w:szCs w:val="14"/>
              </w:rPr>
              <w:t>Non-</w:t>
            </w: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Liabilities</w:t>
            </w:r>
            <w:proofErr w:type="spellEnd"/>
          </w:p>
        </w:tc>
        <w:tc>
          <w:tcPr>
            <w:tcW w:w="3260" w:type="dxa"/>
            <w:tcBorders>
              <w:top w:val="nil"/>
              <w:left w:val="nil"/>
              <w:bottom w:val="nil"/>
              <w:right w:val="nil"/>
            </w:tcBorders>
            <w:shd w:val="clear" w:color="auto" w:fill="auto"/>
            <w:vAlign w:val="center"/>
          </w:tcPr>
          <w:p w14:paraId="77D44DA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373,538,897</w:t>
            </w:r>
          </w:p>
        </w:tc>
        <w:tc>
          <w:tcPr>
            <w:tcW w:w="3260" w:type="dxa"/>
            <w:tcBorders>
              <w:top w:val="nil"/>
              <w:left w:val="nil"/>
              <w:bottom w:val="nil"/>
              <w:right w:val="nil"/>
            </w:tcBorders>
            <w:shd w:val="clear" w:color="auto" w:fill="auto"/>
            <w:vAlign w:val="center"/>
          </w:tcPr>
          <w:p w14:paraId="26B43FB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335,947,925</w:t>
            </w:r>
          </w:p>
        </w:tc>
      </w:tr>
      <w:tr w:rsidR="009E215C" w:rsidRPr="004C5A7A" w14:paraId="41FDF20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CC60AD"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Insurance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auto"/>
            <w:vAlign w:val="center"/>
          </w:tcPr>
          <w:p w14:paraId="78A5C9C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371,849,947</w:t>
            </w:r>
          </w:p>
        </w:tc>
        <w:tc>
          <w:tcPr>
            <w:tcW w:w="3260" w:type="dxa"/>
            <w:tcBorders>
              <w:top w:val="nil"/>
              <w:left w:val="nil"/>
              <w:bottom w:val="nil"/>
              <w:right w:val="nil"/>
            </w:tcBorders>
            <w:shd w:val="clear" w:color="auto" w:fill="auto"/>
            <w:vAlign w:val="center"/>
          </w:tcPr>
          <w:p w14:paraId="0B39C31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334,743,291</w:t>
            </w:r>
          </w:p>
        </w:tc>
      </w:tr>
      <w:tr w:rsidR="009E215C" w:rsidRPr="004C5A7A" w14:paraId="7410467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3B5BAC"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auto"/>
            <w:vAlign w:val="center"/>
          </w:tcPr>
          <w:p w14:paraId="6E38C0D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1,688,950</w:t>
            </w:r>
          </w:p>
        </w:tc>
        <w:tc>
          <w:tcPr>
            <w:tcW w:w="3260" w:type="dxa"/>
            <w:tcBorders>
              <w:top w:val="nil"/>
              <w:left w:val="nil"/>
              <w:bottom w:val="nil"/>
              <w:right w:val="nil"/>
            </w:tcBorders>
            <w:shd w:val="clear" w:color="auto" w:fill="auto"/>
            <w:vAlign w:val="center"/>
          </w:tcPr>
          <w:p w14:paraId="124B769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1,204,634</w:t>
            </w:r>
          </w:p>
        </w:tc>
      </w:tr>
      <w:tr w:rsidR="009E215C" w:rsidRPr="004C5A7A" w14:paraId="15730F4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6BCFAC" w14:textId="77777777" w:rsidR="009E215C" w:rsidRPr="004C5A7A" w:rsidRDefault="009E215C">
            <w:pPr>
              <w:keepNext/>
              <w:keepLines/>
              <w:spacing w:before="40" w:after="40"/>
              <w:rPr>
                <w:rFonts w:ascii="Arial" w:eastAsia="Times New Roman" w:hAnsi="Arial" w:cs="Arial"/>
                <w:spacing w:val="-2"/>
                <w:sz w:val="14"/>
                <w:szCs w:val="14"/>
                <w:highlight w:val="yellow"/>
              </w:rPr>
            </w:pPr>
            <w:proofErr w:type="spellStart"/>
            <w:r w:rsidRPr="004C5A7A">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center"/>
          </w:tcPr>
          <w:p w14:paraId="560AB2F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6,954,395</w:t>
            </w:r>
          </w:p>
        </w:tc>
        <w:tc>
          <w:tcPr>
            <w:tcW w:w="3260" w:type="dxa"/>
            <w:tcBorders>
              <w:top w:val="nil"/>
              <w:left w:val="nil"/>
              <w:bottom w:val="nil"/>
              <w:right w:val="nil"/>
            </w:tcBorders>
            <w:shd w:val="clear" w:color="auto" w:fill="auto"/>
            <w:vAlign w:val="center"/>
          </w:tcPr>
          <w:p w14:paraId="738020B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7,612,425</w:t>
            </w:r>
          </w:p>
        </w:tc>
      </w:tr>
      <w:tr w:rsidR="009E215C" w:rsidRPr="004C5A7A" w14:paraId="1CFC28D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1DDCB3"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Capital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reserves</w:t>
            </w:r>
          </w:p>
        </w:tc>
        <w:tc>
          <w:tcPr>
            <w:tcW w:w="3260" w:type="dxa"/>
            <w:tcBorders>
              <w:top w:val="nil"/>
              <w:left w:val="nil"/>
              <w:bottom w:val="nil"/>
              <w:right w:val="nil"/>
            </w:tcBorders>
            <w:shd w:val="clear" w:color="auto" w:fill="auto"/>
            <w:vAlign w:val="center"/>
          </w:tcPr>
          <w:p w14:paraId="66A8AAE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7,857,636</w:t>
            </w:r>
          </w:p>
        </w:tc>
        <w:tc>
          <w:tcPr>
            <w:tcW w:w="3260" w:type="dxa"/>
            <w:tcBorders>
              <w:top w:val="nil"/>
              <w:left w:val="nil"/>
              <w:bottom w:val="nil"/>
              <w:right w:val="nil"/>
            </w:tcBorders>
            <w:shd w:val="clear" w:color="auto" w:fill="auto"/>
            <w:vAlign w:val="center"/>
          </w:tcPr>
          <w:p w14:paraId="6FB20F2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7,846,850</w:t>
            </w:r>
          </w:p>
        </w:tc>
      </w:tr>
      <w:tr w:rsidR="009E215C" w:rsidRPr="004C5A7A" w14:paraId="66F5DB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B728F5"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Asset</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valuation</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adjustment</w:t>
            </w:r>
            <w:proofErr w:type="spellEnd"/>
          </w:p>
        </w:tc>
        <w:tc>
          <w:tcPr>
            <w:tcW w:w="3260" w:type="dxa"/>
            <w:tcBorders>
              <w:top w:val="nil"/>
              <w:left w:val="nil"/>
              <w:bottom w:val="nil"/>
              <w:right w:val="nil"/>
            </w:tcBorders>
            <w:shd w:val="clear" w:color="auto" w:fill="auto"/>
            <w:vAlign w:val="center"/>
          </w:tcPr>
          <w:p w14:paraId="5DAAED9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(343,053)</w:t>
            </w:r>
          </w:p>
        </w:tc>
        <w:tc>
          <w:tcPr>
            <w:tcW w:w="3260" w:type="dxa"/>
            <w:tcBorders>
              <w:top w:val="nil"/>
              <w:left w:val="nil"/>
              <w:bottom w:val="nil"/>
              <w:right w:val="nil"/>
            </w:tcBorders>
            <w:shd w:val="clear" w:color="auto" w:fill="auto"/>
            <w:vAlign w:val="center"/>
          </w:tcPr>
          <w:p w14:paraId="016A52C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(4,540)</w:t>
            </w:r>
          </w:p>
        </w:tc>
      </w:tr>
      <w:tr w:rsidR="009E215C" w:rsidRPr="004C5A7A" w14:paraId="5C4030F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0F4B2D4"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auto"/>
            <w:vAlign w:val="center"/>
          </w:tcPr>
          <w:p w14:paraId="467D1E9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(560,188)</w:t>
            </w:r>
          </w:p>
        </w:tc>
        <w:tc>
          <w:tcPr>
            <w:tcW w:w="3260" w:type="dxa"/>
            <w:tcBorders>
              <w:top w:val="nil"/>
              <w:left w:val="nil"/>
              <w:bottom w:val="nil"/>
              <w:right w:val="nil"/>
            </w:tcBorders>
            <w:shd w:val="clear" w:color="auto" w:fill="auto"/>
            <w:vAlign w:val="center"/>
          </w:tcPr>
          <w:p w14:paraId="490B942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(229,885)</w:t>
            </w:r>
          </w:p>
        </w:tc>
      </w:tr>
      <w:tr w:rsidR="009E215C" w:rsidRPr="004C5A7A" w14:paraId="0371760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A2D9BB" w14:textId="77777777" w:rsidR="009E215C" w:rsidRPr="004C5A7A" w:rsidRDefault="009E215C">
            <w:pPr>
              <w:keepNext/>
              <w:keepLines/>
              <w:spacing w:before="40" w:after="40"/>
              <w:rPr>
                <w:rFonts w:ascii="Arial" w:hAnsi="Arial" w:cs="Arial"/>
                <w:sz w:val="14"/>
                <w:szCs w:val="14"/>
                <w:highlight w:val="yellow"/>
              </w:rPr>
            </w:pPr>
            <w:proofErr w:type="spellStart"/>
            <w:r w:rsidRPr="004C5A7A">
              <w:rPr>
                <w:rFonts w:ascii="Arial" w:hAnsi="Arial" w:cs="Arial"/>
                <w:sz w:val="14"/>
                <w:szCs w:val="14"/>
              </w:rPr>
              <w:t>Liabilities</w:t>
            </w:r>
            <w:proofErr w:type="spellEnd"/>
            <w:r w:rsidRPr="004C5A7A">
              <w:rPr>
                <w:rFonts w:ascii="Arial" w:hAnsi="Arial" w:cs="Arial"/>
                <w:sz w:val="14"/>
                <w:szCs w:val="14"/>
              </w:rPr>
              <w:t xml:space="preserve"> </w:t>
            </w:r>
            <w:proofErr w:type="spellStart"/>
            <w:r w:rsidRPr="004C5A7A">
              <w:rPr>
                <w:rFonts w:ascii="Arial" w:hAnsi="Arial" w:cs="Arial"/>
                <w:sz w:val="14"/>
                <w:szCs w:val="14"/>
              </w:rPr>
              <w:t>and</w:t>
            </w:r>
            <w:proofErr w:type="spellEnd"/>
            <w:r w:rsidRPr="004C5A7A">
              <w:rPr>
                <w:rFonts w:ascii="Arial" w:hAnsi="Arial" w:cs="Arial"/>
                <w:sz w:val="14"/>
                <w:szCs w:val="14"/>
              </w:rPr>
              <w:t xml:space="preserve"> </w:t>
            </w:r>
            <w:proofErr w:type="spellStart"/>
            <w:r w:rsidRPr="004C5A7A">
              <w:rPr>
                <w:rFonts w:ascii="Arial" w:hAnsi="Arial" w:cs="Arial"/>
                <w:sz w:val="14"/>
                <w:szCs w:val="14"/>
              </w:rPr>
              <w:t>Equity</w:t>
            </w:r>
            <w:proofErr w:type="spellEnd"/>
          </w:p>
        </w:tc>
        <w:tc>
          <w:tcPr>
            <w:tcW w:w="3260" w:type="dxa"/>
            <w:tcBorders>
              <w:top w:val="nil"/>
              <w:left w:val="nil"/>
              <w:bottom w:val="nil"/>
              <w:right w:val="nil"/>
            </w:tcBorders>
            <w:shd w:val="clear" w:color="auto" w:fill="auto"/>
            <w:vAlign w:val="center"/>
          </w:tcPr>
          <w:p w14:paraId="7387B3A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434,284,024</w:t>
            </w:r>
          </w:p>
        </w:tc>
        <w:tc>
          <w:tcPr>
            <w:tcW w:w="3260" w:type="dxa"/>
            <w:tcBorders>
              <w:top w:val="nil"/>
              <w:left w:val="nil"/>
              <w:bottom w:val="nil"/>
              <w:right w:val="nil"/>
            </w:tcBorders>
            <w:shd w:val="clear" w:color="auto" w:fill="auto"/>
            <w:vAlign w:val="center"/>
          </w:tcPr>
          <w:p w14:paraId="3803C38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398,936,816</w:t>
            </w:r>
          </w:p>
        </w:tc>
      </w:tr>
      <w:tr w:rsidR="009E215C" w:rsidRPr="004C5A7A" w14:paraId="3A3C24A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CAA04C"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sz w:val="14"/>
                <w:szCs w:val="14"/>
              </w:rPr>
              <w:t>Attributable</w:t>
            </w:r>
            <w:proofErr w:type="spellEnd"/>
            <w:r w:rsidRPr="004C5A7A">
              <w:rPr>
                <w:rFonts w:ascii="Arial" w:hAnsi="Arial" w:cs="Arial"/>
                <w:sz w:val="14"/>
                <w:szCs w:val="14"/>
              </w:rPr>
              <w:t xml:space="preserve"> to BB Seguridade</w:t>
            </w:r>
          </w:p>
        </w:tc>
        <w:tc>
          <w:tcPr>
            <w:tcW w:w="3260" w:type="dxa"/>
            <w:tcBorders>
              <w:top w:val="nil"/>
              <w:left w:val="nil"/>
              <w:bottom w:val="nil"/>
              <w:right w:val="nil"/>
            </w:tcBorders>
            <w:shd w:val="clear" w:color="auto" w:fill="auto"/>
            <w:vAlign w:val="center"/>
          </w:tcPr>
          <w:p w14:paraId="227459B4"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 xml:space="preserve">                      5,215,449</w:t>
            </w:r>
          </w:p>
        </w:tc>
        <w:tc>
          <w:tcPr>
            <w:tcW w:w="3260" w:type="dxa"/>
            <w:tcBorders>
              <w:top w:val="nil"/>
              <w:left w:val="nil"/>
              <w:bottom w:val="nil"/>
              <w:right w:val="nil"/>
            </w:tcBorders>
            <w:shd w:val="clear" w:color="auto" w:fill="auto"/>
            <w:vAlign w:val="center"/>
          </w:tcPr>
          <w:p w14:paraId="64A21CE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5,708,938</w:t>
            </w:r>
          </w:p>
        </w:tc>
      </w:tr>
      <w:tr w:rsidR="009E215C" w:rsidRPr="004C5A7A" w14:paraId="3BCF10C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563CB6"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sz w:val="14"/>
                <w:szCs w:val="14"/>
              </w:rPr>
              <w:t>Unrealized</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w:t>
            </w:r>
            <w:proofErr w:type="spellEnd"/>
            <w:r w:rsidRPr="004C5A7A">
              <w:rPr>
                <w:rFonts w:ascii="Arial" w:hAnsi="Arial" w:cs="Arial"/>
                <w:b w:val="0"/>
                <w:bCs w:val="0"/>
                <w:sz w:val="14"/>
                <w:szCs w:val="14"/>
              </w:rPr>
              <w:t xml:space="preserve"> </w:t>
            </w:r>
            <w:r w:rsidRPr="004C5A7A">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7763CE2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color w:val="000000"/>
                <w:sz w:val="14"/>
                <w:szCs w:val="14"/>
              </w:rPr>
              <w:t>(12,127)</w:t>
            </w:r>
          </w:p>
        </w:tc>
        <w:tc>
          <w:tcPr>
            <w:tcW w:w="3260" w:type="dxa"/>
            <w:tcBorders>
              <w:top w:val="nil"/>
              <w:left w:val="nil"/>
              <w:bottom w:val="nil"/>
              <w:right w:val="nil"/>
            </w:tcBorders>
            <w:shd w:val="clear" w:color="auto" w:fill="auto"/>
            <w:vAlign w:val="center"/>
          </w:tcPr>
          <w:p w14:paraId="4AE7DB2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(13,612)</w:t>
            </w:r>
          </w:p>
        </w:tc>
      </w:tr>
      <w:tr w:rsidR="009E215C" w:rsidRPr="004C5A7A" w14:paraId="7C5265B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11C28EB0" w14:textId="77777777" w:rsidR="009E215C" w:rsidRPr="004C5A7A" w:rsidRDefault="009E215C">
            <w:pPr>
              <w:keepNext/>
              <w:keepLines/>
              <w:rPr>
                <w:rFonts w:ascii="Arial" w:hAnsi="Arial" w:cs="Arial"/>
                <w:color w:val="000000"/>
                <w:sz w:val="14"/>
                <w:szCs w:val="14"/>
                <w:highlight w:val="yellow"/>
              </w:rPr>
            </w:pPr>
            <w:proofErr w:type="spellStart"/>
            <w:r w:rsidRPr="004C5A7A">
              <w:rPr>
                <w:rFonts w:ascii="Arial" w:hAnsi="Arial" w:cs="Arial"/>
                <w:sz w:val="14"/>
                <w:szCs w:val="14"/>
              </w:rPr>
              <w:t>Investment</w:t>
            </w:r>
            <w:proofErr w:type="spellEnd"/>
            <w:r w:rsidRPr="004C5A7A">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6FE8AFD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 xml:space="preserve">                      5,203,322</w:t>
            </w:r>
          </w:p>
        </w:tc>
        <w:tc>
          <w:tcPr>
            <w:tcW w:w="3260" w:type="dxa"/>
            <w:tcBorders>
              <w:top w:val="nil"/>
              <w:left w:val="nil"/>
              <w:bottom w:val="single" w:sz="2" w:space="0" w:color="1F3864" w:themeColor="accent1" w:themeShade="80"/>
              <w:right w:val="nil"/>
            </w:tcBorders>
            <w:shd w:val="clear" w:color="auto" w:fill="auto"/>
            <w:vAlign w:val="center"/>
          </w:tcPr>
          <w:p w14:paraId="4CAF4E0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4C5A7A">
              <w:rPr>
                <w:rFonts w:ascii="Arial" w:hAnsi="Arial" w:cs="Arial"/>
                <w:b/>
                <w:bCs/>
                <w:color w:val="000000"/>
                <w:sz w:val="14"/>
                <w:szCs w:val="14"/>
              </w:rPr>
              <w:t>5,695,326</w:t>
            </w:r>
          </w:p>
        </w:tc>
      </w:tr>
    </w:tbl>
    <w:p w14:paraId="00144C1D" w14:textId="77777777" w:rsidR="009E215C" w:rsidRPr="004C5A7A" w:rsidRDefault="009E215C" w:rsidP="00A76AF4">
      <w:pPr>
        <w:pStyle w:val="PargrafodaLista"/>
        <w:keepNext/>
        <w:keepLines/>
        <w:numPr>
          <w:ilvl w:val="0"/>
          <w:numId w:val="15"/>
        </w:numPr>
        <w:spacing w:after="0" w:line="240" w:lineRule="auto"/>
        <w:ind w:left="284" w:hanging="284"/>
        <w:rPr>
          <w:rFonts w:ascii="Arial" w:eastAsia="Times New Roman" w:hAnsi="Arial" w:cs="Arial"/>
          <w:bCs/>
          <w:color w:val="1F3864" w:themeColor="accent1" w:themeShade="80"/>
          <w:spacing w:val="-2"/>
          <w:sz w:val="14"/>
          <w:szCs w:val="16"/>
          <w:lang w:val="en-US" w:eastAsia="pt-BR"/>
        </w:rPr>
      </w:pPr>
      <w:r w:rsidRPr="004C5A7A">
        <w:rPr>
          <w:rFonts w:ascii="Arial" w:eastAsia="Times New Roman" w:hAnsi="Arial" w:cs="Arial"/>
          <w:bCs/>
          <w:color w:val="000000" w:themeColor="text1"/>
          <w:spacing w:val="-2"/>
          <w:sz w:val="14"/>
          <w:szCs w:val="16"/>
          <w:lang w:val="en-US" w:eastAsia="pt-BR"/>
        </w:rPr>
        <w:t xml:space="preserve">Amount refers to the unrealized result of the sale of the shareholding in MAPFRE </w:t>
      </w:r>
      <w:proofErr w:type="spellStart"/>
      <w:r w:rsidRPr="004C5A7A">
        <w:rPr>
          <w:rFonts w:ascii="Arial" w:eastAsia="Times New Roman" w:hAnsi="Arial" w:cs="Arial"/>
          <w:bCs/>
          <w:color w:val="000000" w:themeColor="text1"/>
          <w:spacing w:val="-2"/>
          <w:sz w:val="14"/>
          <w:szCs w:val="16"/>
          <w:lang w:val="en-US" w:eastAsia="pt-BR"/>
        </w:rPr>
        <w:t>Nossa</w:t>
      </w:r>
      <w:proofErr w:type="spellEnd"/>
      <w:r w:rsidRPr="004C5A7A">
        <w:rPr>
          <w:rFonts w:ascii="Arial" w:eastAsia="Times New Roman" w:hAnsi="Arial" w:cs="Arial"/>
          <w:bCs/>
          <w:color w:val="000000" w:themeColor="text1"/>
          <w:spacing w:val="-2"/>
          <w:sz w:val="14"/>
          <w:szCs w:val="16"/>
          <w:lang w:val="en-US" w:eastAsia="pt-BR"/>
        </w:rPr>
        <w:t xml:space="preserve"> Caixa Vida e </w:t>
      </w:r>
      <w:proofErr w:type="spellStart"/>
      <w:r w:rsidRPr="004C5A7A">
        <w:rPr>
          <w:rFonts w:ascii="Arial" w:eastAsia="Times New Roman" w:hAnsi="Arial" w:cs="Arial"/>
          <w:bCs/>
          <w:color w:val="000000" w:themeColor="text1"/>
          <w:spacing w:val="-2"/>
          <w:sz w:val="14"/>
          <w:szCs w:val="16"/>
          <w:lang w:val="en-US" w:eastAsia="pt-BR"/>
        </w:rPr>
        <w:t>Previdência</w:t>
      </w:r>
      <w:proofErr w:type="spellEnd"/>
      <w:r w:rsidRPr="004C5A7A">
        <w:rPr>
          <w:rFonts w:ascii="Arial" w:eastAsia="Times New Roman" w:hAnsi="Arial" w:cs="Arial"/>
          <w:bCs/>
          <w:color w:val="000000" w:themeColor="text1"/>
          <w:spacing w:val="-2"/>
          <w:sz w:val="14"/>
          <w:szCs w:val="16"/>
          <w:lang w:val="en-US" w:eastAsia="pt-BR"/>
        </w:rPr>
        <w:t xml:space="preserve"> (MNCVP) in July 2012.</w:t>
      </w:r>
    </w:p>
    <w:p w14:paraId="25B89E1F" w14:textId="77777777" w:rsidR="009E215C" w:rsidRPr="004C5A7A" w:rsidRDefault="009E215C" w:rsidP="009E215C">
      <w:pPr>
        <w:pStyle w:val="05-Textonormal"/>
        <w:spacing w:line="240" w:lineRule="auto"/>
        <w:rPr>
          <w:rFonts w:cs="Arial"/>
          <w:lang w:val="en-US"/>
        </w:rPr>
      </w:pPr>
    </w:p>
    <w:p w14:paraId="3696DDD6" w14:textId="77777777" w:rsidR="009E215C" w:rsidRPr="004C5A7A" w:rsidRDefault="009E215C" w:rsidP="009E215C">
      <w:pPr>
        <w:pStyle w:val="01-TtulodeNota"/>
        <w:spacing w:before="0" w:after="0"/>
        <w:rPr>
          <w:rFonts w:cs="Arial"/>
          <w:b w:val="0"/>
          <w:sz w:val="18"/>
          <w:lang w:val="en-US" w:eastAsia="zh-CN"/>
        </w:rPr>
      </w:pPr>
      <w:r w:rsidRPr="004C5A7A">
        <w:rPr>
          <w:rFonts w:cs="Arial"/>
          <w:b w:val="0"/>
          <w:sz w:val="18"/>
          <w:lang w:val="en-US" w:eastAsia="zh-CN"/>
        </w:rPr>
        <w:t>The impacts of CPC 50 [IFRS 17], in 2024 and 2023, and of CPC 48 [IFRS 9], in 2023, on Shareholders' Equity, for comparability purposes, are shown in the table below:</w:t>
      </w:r>
    </w:p>
    <w:p w14:paraId="54C9224C"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E215C" w:rsidRPr="004C5A7A" w14:paraId="5092E94F"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335A95B" w14:textId="77777777" w:rsidR="009E215C" w:rsidRPr="004C5A7A" w:rsidRDefault="009E215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AEE989"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423909"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1F34877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2F0D49C7" w14:textId="77777777" w:rsidR="009E215C" w:rsidRPr="004C5A7A" w:rsidRDefault="009E215C">
            <w:pPr>
              <w:keepNext/>
              <w:keepLines/>
              <w:rPr>
                <w:rFonts w:ascii="Arial" w:eastAsia="Times New Roman" w:hAnsi="Arial" w:cs="Arial"/>
                <w:b w:val="0"/>
                <w:bCs w:val="0"/>
                <w:spacing w:val="-2"/>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BRGAAP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shd w:val="clear" w:color="auto" w:fill="auto"/>
            <w:vAlign w:val="center"/>
          </w:tcPr>
          <w:p w14:paraId="2BD4151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6,954,395 </w:t>
            </w:r>
          </w:p>
        </w:tc>
        <w:tc>
          <w:tcPr>
            <w:tcW w:w="2126" w:type="dxa"/>
            <w:tcBorders>
              <w:top w:val="single" w:sz="2" w:space="0" w:color="1F3864" w:themeColor="accent1" w:themeShade="80"/>
              <w:left w:val="nil"/>
              <w:bottom w:val="nil"/>
              <w:right w:val="nil"/>
            </w:tcBorders>
            <w:shd w:val="clear" w:color="auto" w:fill="auto"/>
            <w:vAlign w:val="center"/>
          </w:tcPr>
          <w:p w14:paraId="023AA76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7,612,425 </w:t>
            </w:r>
          </w:p>
        </w:tc>
      </w:tr>
      <w:tr w:rsidR="009E215C" w:rsidRPr="004C5A7A" w14:paraId="6841B7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D3D956F"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SUSEPGAAP</w:t>
            </w:r>
          </w:p>
        </w:tc>
        <w:tc>
          <w:tcPr>
            <w:tcW w:w="2126" w:type="dxa"/>
            <w:tcBorders>
              <w:top w:val="nil"/>
              <w:left w:val="nil"/>
              <w:bottom w:val="single" w:sz="2" w:space="0" w:color="1F3864" w:themeColor="accent1" w:themeShade="80"/>
              <w:right w:val="nil"/>
            </w:tcBorders>
            <w:shd w:val="clear" w:color="auto" w:fill="auto"/>
            <w:vAlign w:val="center"/>
          </w:tcPr>
          <w:p w14:paraId="7E9A8C7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5,569,085 </w:t>
            </w:r>
          </w:p>
        </w:tc>
        <w:tc>
          <w:tcPr>
            <w:tcW w:w="2126" w:type="dxa"/>
            <w:tcBorders>
              <w:top w:val="nil"/>
              <w:left w:val="nil"/>
              <w:bottom w:val="single" w:sz="2" w:space="0" w:color="1F3864" w:themeColor="accent1" w:themeShade="80"/>
              <w:right w:val="nil"/>
            </w:tcBorders>
            <w:shd w:val="clear" w:color="auto" w:fill="auto"/>
            <w:vAlign w:val="center"/>
          </w:tcPr>
          <w:p w14:paraId="0A0B22C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6,699,945 </w:t>
            </w:r>
          </w:p>
        </w:tc>
      </w:tr>
    </w:tbl>
    <w:p w14:paraId="3C222013" w14:textId="77777777" w:rsidR="009E215C" w:rsidRPr="004C5A7A" w:rsidRDefault="009E215C" w:rsidP="009E215C">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 xml:space="preserve">c.3) </w:t>
      </w:r>
      <w:proofErr w:type="spellStart"/>
      <w:r w:rsidRPr="004C5A7A">
        <w:rPr>
          <w:rFonts w:ascii="Arial" w:eastAsia="Times New Roman" w:hAnsi="Arial" w:cs="Arial"/>
          <w:b/>
          <w:color w:val="1F3864" w:themeColor="accent1" w:themeShade="80"/>
          <w:spacing w:val="-2"/>
          <w:sz w:val="18"/>
          <w:szCs w:val="20"/>
          <w:lang w:eastAsia="pt-BR"/>
        </w:rPr>
        <w:t>Brasildental</w:t>
      </w:r>
      <w:proofErr w:type="spellEnd"/>
      <w:r w:rsidRPr="004C5A7A">
        <w:rPr>
          <w:rFonts w:ascii="Arial" w:eastAsia="Times New Roman" w:hAnsi="Arial" w:cs="Arial"/>
          <w:b/>
          <w:color w:val="1F3864" w:themeColor="accent1" w:themeShade="80"/>
          <w:spacing w:val="-2"/>
          <w:sz w:val="18"/>
          <w:szCs w:val="20"/>
          <w:lang w:eastAsia="pt-BR"/>
        </w:rPr>
        <w:t xml:space="preserve"> Operadora de Planos Odontológicos S.A. (</w:t>
      </w:r>
      <w:proofErr w:type="spellStart"/>
      <w:r w:rsidRPr="004C5A7A">
        <w:rPr>
          <w:rFonts w:ascii="Arial" w:eastAsia="Times New Roman" w:hAnsi="Arial" w:cs="Arial"/>
          <w:b/>
          <w:color w:val="1F3864" w:themeColor="accent1" w:themeShade="80"/>
          <w:spacing w:val="-2"/>
          <w:sz w:val="18"/>
          <w:szCs w:val="20"/>
          <w:lang w:eastAsia="pt-BR"/>
        </w:rPr>
        <w:t>Brasildental</w:t>
      </w:r>
      <w:proofErr w:type="spellEnd"/>
      <w:r w:rsidRPr="004C5A7A">
        <w:rPr>
          <w:rFonts w:ascii="Arial" w:eastAsia="Times New Roman" w:hAnsi="Arial" w:cs="Arial"/>
          <w:b/>
          <w:color w:val="1F3864" w:themeColor="accent1" w:themeShade="80"/>
          <w:spacing w:val="-2"/>
          <w:sz w:val="18"/>
          <w:szCs w:val="20"/>
          <w:lang w:eastAsia="pt-BR"/>
        </w:rPr>
        <w:t>)</w:t>
      </w:r>
    </w:p>
    <w:p w14:paraId="04355298"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0CAE54F5" w14:textId="77777777" w:rsidR="009E215C" w:rsidRPr="004C5A7A" w:rsidRDefault="009E215C" w:rsidP="009E215C">
      <w:pPr>
        <w:spacing w:after="0" w:line="240" w:lineRule="auto"/>
        <w:rPr>
          <w:rFonts w:ascii="Arial" w:eastAsia="Times New Roman" w:hAnsi="Arial" w:cs="Arial"/>
          <w:spacing w:val="-2"/>
          <w:sz w:val="18"/>
          <w:szCs w:val="20"/>
          <w:lang w:val="en-US" w:eastAsia="zh-CN"/>
        </w:rPr>
      </w:pPr>
      <w:r w:rsidRPr="004C5A7A">
        <w:rPr>
          <w:rFonts w:ascii="Arial" w:eastAsia="Times New Roman" w:hAnsi="Arial" w:cs="Arial"/>
          <w:b/>
          <w:color w:val="1F3864" w:themeColor="accent1" w:themeShade="80"/>
          <w:spacing w:val="-2"/>
          <w:sz w:val="18"/>
          <w:szCs w:val="20"/>
          <w:lang w:val="en-US" w:eastAsia="pt-BR"/>
        </w:rPr>
        <w:t>Income Statement Information</w:t>
      </w:r>
    </w:p>
    <w:p w14:paraId="16FDF646"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0" w:type="dxa"/>
        <w:jc w:val="center"/>
        <w:tblLayout w:type="fixed"/>
        <w:tblLook w:val="04A0" w:firstRow="1" w:lastRow="0" w:firstColumn="1" w:lastColumn="0" w:noHBand="0" w:noVBand="1"/>
      </w:tblPr>
      <w:tblGrid>
        <w:gridCol w:w="3078"/>
        <w:gridCol w:w="1493"/>
        <w:gridCol w:w="1667"/>
        <w:gridCol w:w="1750"/>
        <w:gridCol w:w="1642"/>
      </w:tblGrid>
      <w:tr w:rsidR="009E215C" w:rsidRPr="004C5A7A" w14:paraId="26B8525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DDA8E8" w14:textId="77777777" w:rsidR="009E215C" w:rsidRPr="004C5A7A" w:rsidRDefault="009E215C">
            <w:pPr>
              <w:jc w:val="center"/>
              <w:rPr>
                <w:rFonts w:ascii="Arial" w:hAnsi="Arial" w:cs="Arial"/>
                <w:sz w:val="14"/>
                <w:szCs w:val="14"/>
                <w:lang w:val="en-US"/>
              </w:rPr>
            </w:pPr>
          </w:p>
        </w:tc>
        <w:tc>
          <w:tcPr>
            <w:tcW w:w="149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A59F13"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6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D49117"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5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6CEFC7E"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C5A7A">
              <w:rPr>
                <w:rFonts w:ascii="Arial" w:hAnsi="Arial" w:cs="Arial"/>
                <w:sz w:val="14"/>
                <w:szCs w:val="14"/>
              </w:rPr>
              <w:t xml:space="preserve">01.01 </w:t>
            </w:r>
            <w:proofErr w:type="spellStart"/>
            <w:r w:rsidRPr="004C5A7A">
              <w:rPr>
                <w:rFonts w:ascii="Arial" w:hAnsi="Arial" w:cs="Arial"/>
                <w:sz w:val="14"/>
                <w:szCs w:val="14"/>
              </w:rPr>
              <w:t>to</w:t>
            </w:r>
            <w:proofErr w:type="spellEnd"/>
            <w:r w:rsidRPr="004C5A7A">
              <w:rPr>
                <w:rFonts w:ascii="Arial" w:hAnsi="Arial" w:cs="Arial"/>
                <w:sz w:val="14"/>
                <w:szCs w:val="14"/>
              </w:rPr>
              <w:t xml:space="preserve"> 11.30.2024 </w:t>
            </w:r>
            <w:r w:rsidRPr="004C5A7A">
              <w:rPr>
                <w:rFonts w:ascii="Arial" w:hAnsi="Arial" w:cs="Arial"/>
                <w:sz w:val="14"/>
                <w:szCs w:val="14"/>
                <w:vertAlign w:val="superscript"/>
              </w:rPr>
              <w:t>(2)</w:t>
            </w:r>
          </w:p>
        </w:tc>
        <w:tc>
          <w:tcPr>
            <w:tcW w:w="16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DB93F25" w14:textId="77777777" w:rsidR="009E215C" w:rsidRPr="004C5A7A" w:rsidRDefault="009E215C">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01.01 </w:t>
            </w:r>
            <w:proofErr w:type="spellStart"/>
            <w:r w:rsidRPr="004C5A7A">
              <w:rPr>
                <w:rFonts w:ascii="Arial" w:hAnsi="Arial" w:cs="Arial"/>
                <w:sz w:val="14"/>
                <w:szCs w:val="14"/>
              </w:rPr>
              <w:t>to</w:t>
            </w:r>
            <w:proofErr w:type="spellEnd"/>
            <w:r w:rsidRPr="004C5A7A">
              <w:rPr>
                <w:rFonts w:ascii="Arial" w:hAnsi="Arial" w:cs="Arial"/>
                <w:sz w:val="14"/>
                <w:szCs w:val="14"/>
              </w:rPr>
              <w:t xml:space="preserve"> 11.30.2023 </w:t>
            </w:r>
            <w:r w:rsidRPr="004C5A7A">
              <w:rPr>
                <w:rFonts w:ascii="Arial" w:hAnsi="Arial" w:cs="Arial"/>
                <w:sz w:val="14"/>
                <w:szCs w:val="14"/>
                <w:vertAlign w:val="superscript"/>
              </w:rPr>
              <w:t>(2)</w:t>
            </w:r>
          </w:p>
        </w:tc>
      </w:tr>
      <w:tr w:rsidR="009E215C" w:rsidRPr="004C5A7A" w14:paraId="08D12BF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single" w:sz="2" w:space="0" w:color="1F3864" w:themeColor="accent1" w:themeShade="80"/>
              <w:left w:val="nil"/>
              <w:bottom w:val="nil"/>
              <w:right w:val="nil"/>
            </w:tcBorders>
            <w:shd w:val="clear" w:color="auto" w:fill="auto"/>
            <w:vAlign w:val="center"/>
          </w:tcPr>
          <w:p w14:paraId="083AF281" w14:textId="77777777" w:rsidR="009E215C" w:rsidRPr="004C5A7A" w:rsidRDefault="009E215C">
            <w:pPr>
              <w:keepNext/>
              <w:keepLines/>
              <w:rPr>
                <w:rFonts w:ascii="Arial" w:eastAsia="Times New Roman" w:hAnsi="Arial" w:cs="Arial"/>
                <w:spacing w:val="-2"/>
                <w:sz w:val="14"/>
                <w:szCs w:val="14"/>
              </w:rPr>
            </w:pPr>
            <w:proofErr w:type="spellStart"/>
            <w:r w:rsidRPr="004C5A7A">
              <w:rPr>
                <w:rFonts w:ascii="Arial" w:hAnsi="Arial" w:cs="Arial"/>
                <w:color w:val="000000"/>
                <w:sz w:val="14"/>
                <w:szCs w:val="14"/>
              </w:rPr>
              <w:t>Result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of</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insurance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contracts</w:t>
            </w:r>
            <w:proofErr w:type="spellEnd"/>
          </w:p>
        </w:tc>
        <w:tc>
          <w:tcPr>
            <w:tcW w:w="1493" w:type="dxa"/>
            <w:tcBorders>
              <w:top w:val="single" w:sz="2" w:space="0" w:color="1F3864" w:themeColor="accent1" w:themeShade="80"/>
              <w:left w:val="nil"/>
              <w:bottom w:val="nil"/>
              <w:right w:val="nil"/>
            </w:tcBorders>
            <w:shd w:val="clear" w:color="auto" w:fill="auto"/>
            <w:vAlign w:val="center"/>
          </w:tcPr>
          <w:p w14:paraId="5875E2C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67" w:type="dxa"/>
            <w:tcBorders>
              <w:top w:val="single" w:sz="2" w:space="0" w:color="1F3864" w:themeColor="accent1" w:themeShade="80"/>
              <w:left w:val="nil"/>
              <w:bottom w:val="nil"/>
              <w:right w:val="nil"/>
            </w:tcBorders>
            <w:shd w:val="clear" w:color="auto" w:fill="auto"/>
            <w:vAlign w:val="center"/>
          </w:tcPr>
          <w:p w14:paraId="3D88E02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50" w:type="dxa"/>
            <w:tcBorders>
              <w:top w:val="single" w:sz="2" w:space="0" w:color="1F3864" w:themeColor="accent1" w:themeShade="80"/>
              <w:left w:val="nil"/>
              <w:bottom w:val="nil"/>
              <w:right w:val="nil"/>
            </w:tcBorders>
            <w:shd w:val="clear" w:color="auto" w:fill="auto"/>
            <w:vAlign w:val="center"/>
          </w:tcPr>
          <w:p w14:paraId="470D04E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113,619</w:t>
            </w:r>
          </w:p>
        </w:tc>
        <w:tc>
          <w:tcPr>
            <w:tcW w:w="1642" w:type="dxa"/>
            <w:tcBorders>
              <w:top w:val="single" w:sz="2" w:space="0" w:color="1F3864" w:themeColor="accent1" w:themeShade="80"/>
              <w:left w:val="nil"/>
              <w:bottom w:val="nil"/>
              <w:right w:val="nil"/>
            </w:tcBorders>
            <w:shd w:val="clear" w:color="auto" w:fill="auto"/>
            <w:vAlign w:val="center"/>
          </w:tcPr>
          <w:p w14:paraId="5982C51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110,341</w:t>
            </w:r>
          </w:p>
        </w:tc>
      </w:tr>
      <w:tr w:rsidR="009E215C" w:rsidRPr="004C5A7A" w14:paraId="54FBF43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B90D702"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color w:val="000000"/>
                <w:sz w:val="14"/>
                <w:szCs w:val="14"/>
              </w:rPr>
              <w:t>Result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of</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BBA </w:t>
            </w:r>
            <w:r w:rsidRPr="004C5A7A">
              <w:rPr>
                <w:rFonts w:ascii="Arial" w:hAnsi="Arial" w:cs="Arial"/>
                <w:b w:val="0"/>
                <w:bCs w:val="0"/>
                <w:color w:val="000000"/>
                <w:sz w:val="14"/>
                <w:szCs w:val="14"/>
                <w:vertAlign w:val="superscript"/>
              </w:rPr>
              <w:t>(1)</w:t>
            </w:r>
          </w:p>
        </w:tc>
        <w:tc>
          <w:tcPr>
            <w:tcW w:w="1493" w:type="dxa"/>
            <w:tcBorders>
              <w:top w:val="nil"/>
              <w:left w:val="nil"/>
              <w:bottom w:val="nil"/>
              <w:right w:val="nil"/>
            </w:tcBorders>
            <w:shd w:val="clear" w:color="auto" w:fill="auto"/>
            <w:vAlign w:val="center"/>
          </w:tcPr>
          <w:p w14:paraId="5E95429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1F29678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1275DF3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36,360</w:t>
            </w:r>
          </w:p>
        </w:tc>
        <w:tc>
          <w:tcPr>
            <w:tcW w:w="1642" w:type="dxa"/>
            <w:tcBorders>
              <w:top w:val="nil"/>
              <w:left w:val="nil"/>
              <w:bottom w:val="nil"/>
              <w:right w:val="nil"/>
            </w:tcBorders>
            <w:shd w:val="clear" w:color="auto" w:fill="auto"/>
            <w:vAlign w:val="center"/>
          </w:tcPr>
          <w:p w14:paraId="4F002E4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33,168</w:t>
            </w:r>
          </w:p>
        </w:tc>
      </w:tr>
      <w:tr w:rsidR="009E215C" w:rsidRPr="004C5A7A" w14:paraId="0EFEB06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0D5CCEE" w14:textId="77777777" w:rsidR="009E215C" w:rsidRPr="004C5A7A" w:rsidRDefault="009E215C">
            <w:pPr>
              <w:keepNext/>
              <w:keepLines/>
              <w:ind w:left="113"/>
              <w:rPr>
                <w:rFonts w:ascii="Arial" w:hAnsi="Arial" w:cs="Arial"/>
                <w:b w:val="0"/>
                <w:bCs w:val="0"/>
                <w:sz w:val="14"/>
                <w:szCs w:val="14"/>
              </w:rPr>
            </w:pPr>
            <w:proofErr w:type="spellStart"/>
            <w:r w:rsidRPr="004C5A7A">
              <w:rPr>
                <w:rFonts w:ascii="Arial" w:hAnsi="Arial" w:cs="Arial"/>
                <w:b w:val="0"/>
                <w:bCs w:val="0"/>
                <w:color w:val="000000"/>
                <w:sz w:val="14"/>
                <w:szCs w:val="14"/>
              </w:rPr>
              <w:t>Result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of</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contracts</w:t>
            </w:r>
            <w:proofErr w:type="spellEnd"/>
            <w:r w:rsidRPr="004C5A7A">
              <w:rPr>
                <w:rFonts w:ascii="Arial" w:hAnsi="Arial" w:cs="Arial"/>
                <w:b w:val="0"/>
                <w:bCs w:val="0"/>
                <w:color w:val="000000"/>
                <w:sz w:val="14"/>
                <w:szCs w:val="14"/>
              </w:rPr>
              <w:t xml:space="preserve"> PAA </w:t>
            </w:r>
            <w:r w:rsidRPr="004C5A7A">
              <w:rPr>
                <w:rFonts w:ascii="Arial" w:hAnsi="Arial" w:cs="Arial"/>
                <w:b w:val="0"/>
                <w:bCs w:val="0"/>
                <w:color w:val="000000"/>
                <w:sz w:val="14"/>
                <w:szCs w:val="14"/>
                <w:vertAlign w:val="superscript"/>
              </w:rPr>
              <w:t>(1)</w:t>
            </w:r>
          </w:p>
        </w:tc>
        <w:tc>
          <w:tcPr>
            <w:tcW w:w="1493" w:type="dxa"/>
            <w:tcBorders>
              <w:top w:val="nil"/>
              <w:left w:val="nil"/>
              <w:bottom w:val="nil"/>
              <w:right w:val="nil"/>
            </w:tcBorders>
            <w:shd w:val="clear" w:color="auto" w:fill="auto"/>
            <w:vAlign w:val="center"/>
          </w:tcPr>
          <w:p w14:paraId="0523C19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47C5C23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08B8E9C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77,259</w:t>
            </w:r>
          </w:p>
        </w:tc>
        <w:tc>
          <w:tcPr>
            <w:tcW w:w="1642" w:type="dxa"/>
            <w:tcBorders>
              <w:top w:val="nil"/>
              <w:left w:val="nil"/>
              <w:bottom w:val="nil"/>
              <w:right w:val="nil"/>
            </w:tcBorders>
            <w:shd w:val="clear" w:color="auto" w:fill="auto"/>
            <w:vAlign w:val="center"/>
          </w:tcPr>
          <w:p w14:paraId="38ED9F2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77,173</w:t>
            </w:r>
          </w:p>
        </w:tc>
      </w:tr>
      <w:tr w:rsidR="009E215C" w:rsidRPr="004C5A7A" w14:paraId="7F32600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BC1F2C0" w14:textId="77777777" w:rsidR="009E215C" w:rsidRPr="004C5A7A" w:rsidRDefault="009E215C">
            <w:pPr>
              <w:keepNext/>
              <w:keepLines/>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3A8A845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6F040094"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07971B1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(79,279)</w:t>
            </w:r>
          </w:p>
        </w:tc>
        <w:tc>
          <w:tcPr>
            <w:tcW w:w="1642" w:type="dxa"/>
            <w:tcBorders>
              <w:top w:val="nil"/>
              <w:left w:val="nil"/>
              <w:bottom w:val="nil"/>
              <w:right w:val="nil"/>
            </w:tcBorders>
            <w:shd w:val="clear" w:color="auto" w:fill="auto"/>
            <w:vAlign w:val="center"/>
          </w:tcPr>
          <w:p w14:paraId="4AF6F56E"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(74,338)</w:t>
            </w:r>
          </w:p>
        </w:tc>
      </w:tr>
      <w:tr w:rsidR="009E215C" w:rsidRPr="004C5A7A" w14:paraId="1C5E3CA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4A9A583D"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color w:val="000000"/>
                <w:sz w:val="14"/>
                <w:szCs w:val="14"/>
              </w:rPr>
              <w:t>Insurance</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margin</w:t>
            </w:r>
            <w:proofErr w:type="spellEnd"/>
          </w:p>
        </w:tc>
        <w:tc>
          <w:tcPr>
            <w:tcW w:w="1493" w:type="dxa"/>
            <w:tcBorders>
              <w:top w:val="nil"/>
              <w:left w:val="nil"/>
              <w:bottom w:val="nil"/>
              <w:right w:val="nil"/>
            </w:tcBorders>
            <w:shd w:val="clear" w:color="auto" w:fill="auto"/>
            <w:vAlign w:val="center"/>
          </w:tcPr>
          <w:p w14:paraId="1E37ED7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67" w:type="dxa"/>
            <w:tcBorders>
              <w:top w:val="nil"/>
              <w:left w:val="nil"/>
              <w:bottom w:val="nil"/>
              <w:right w:val="nil"/>
            </w:tcBorders>
            <w:shd w:val="clear" w:color="auto" w:fill="auto"/>
            <w:vAlign w:val="center"/>
          </w:tcPr>
          <w:p w14:paraId="629D7E6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50" w:type="dxa"/>
            <w:tcBorders>
              <w:top w:val="nil"/>
              <w:left w:val="nil"/>
              <w:bottom w:val="nil"/>
              <w:right w:val="nil"/>
            </w:tcBorders>
            <w:shd w:val="clear" w:color="auto" w:fill="auto"/>
            <w:vAlign w:val="center"/>
          </w:tcPr>
          <w:p w14:paraId="4F078B5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34,340</w:t>
            </w:r>
          </w:p>
        </w:tc>
        <w:tc>
          <w:tcPr>
            <w:tcW w:w="1642" w:type="dxa"/>
            <w:tcBorders>
              <w:top w:val="nil"/>
              <w:left w:val="nil"/>
              <w:bottom w:val="nil"/>
              <w:right w:val="nil"/>
            </w:tcBorders>
            <w:shd w:val="clear" w:color="auto" w:fill="auto"/>
            <w:vAlign w:val="center"/>
          </w:tcPr>
          <w:p w14:paraId="6F79527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36,003</w:t>
            </w:r>
          </w:p>
        </w:tc>
      </w:tr>
      <w:tr w:rsidR="009E215C" w:rsidRPr="004C5A7A" w14:paraId="43A1D10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648E7BE"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 xml:space="preserve">Financial </w:t>
            </w:r>
            <w:proofErr w:type="spellStart"/>
            <w:r w:rsidRPr="004C5A7A">
              <w:rPr>
                <w:rFonts w:ascii="Arial" w:hAnsi="Arial" w:cs="Arial"/>
                <w:color w:val="000000"/>
                <w:sz w:val="14"/>
                <w:szCs w:val="14"/>
              </w:rPr>
              <w:t>result</w:t>
            </w:r>
            <w:proofErr w:type="spellEnd"/>
          </w:p>
        </w:tc>
        <w:tc>
          <w:tcPr>
            <w:tcW w:w="1493" w:type="dxa"/>
            <w:tcBorders>
              <w:top w:val="nil"/>
              <w:left w:val="nil"/>
              <w:bottom w:val="nil"/>
              <w:right w:val="nil"/>
            </w:tcBorders>
            <w:shd w:val="clear" w:color="auto" w:fill="auto"/>
            <w:vAlign w:val="center"/>
          </w:tcPr>
          <w:p w14:paraId="15EF5C8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67" w:type="dxa"/>
            <w:tcBorders>
              <w:top w:val="nil"/>
              <w:left w:val="nil"/>
              <w:bottom w:val="nil"/>
              <w:right w:val="nil"/>
            </w:tcBorders>
            <w:shd w:val="clear" w:color="auto" w:fill="auto"/>
            <w:vAlign w:val="center"/>
          </w:tcPr>
          <w:p w14:paraId="1ABCC41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50" w:type="dxa"/>
            <w:tcBorders>
              <w:top w:val="nil"/>
              <w:left w:val="nil"/>
              <w:bottom w:val="nil"/>
              <w:right w:val="nil"/>
            </w:tcBorders>
            <w:shd w:val="clear" w:color="auto" w:fill="auto"/>
            <w:vAlign w:val="center"/>
          </w:tcPr>
          <w:p w14:paraId="56BA75A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892</w:t>
            </w:r>
          </w:p>
        </w:tc>
        <w:tc>
          <w:tcPr>
            <w:tcW w:w="1642" w:type="dxa"/>
            <w:tcBorders>
              <w:top w:val="nil"/>
              <w:left w:val="nil"/>
              <w:bottom w:val="nil"/>
              <w:right w:val="nil"/>
            </w:tcBorders>
            <w:shd w:val="clear" w:color="auto" w:fill="auto"/>
            <w:vAlign w:val="center"/>
          </w:tcPr>
          <w:p w14:paraId="4A413BD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4,269</w:t>
            </w:r>
          </w:p>
        </w:tc>
      </w:tr>
      <w:tr w:rsidR="009E215C" w:rsidRPr="004C5A7A" w14:paraId="4ABDA4F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31DD6B56"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color w:val="000000"/>
                <w:sz w:val="14"/>
                <w:szCs w:val="14"/>
              </w:rPr>
              <w:t>Financial income</w:t>
            </w:r>
          </w:p>
        </w:tc>
        <w:tc>
          <w:tcPr>
            <w:tcW w:w="1493" w:type="dxa"/>
            <w:tcBorders>
              <w:top w:val="nil"/>
              <w:left w:val="nil"/>
              <w:bottom w:val="nil"/>
              <w:right w:val="nil"/>
            </w:tcBorders>
            <w:shd w:val="clear" w:color="auto" w:fill="auto"/>
            <w:vAlign w:val="center"/>
          </w:tcPr>
          <w:p w14:paraId="166BA20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3A32B91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46F347B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2,990</w:t>
            </w:r>
          </w:p>
        </w:tc>
        <w:tc>
          <w:tcPr>
            <w:tcW w:w="1642" w:type="dxa"/>
            <w:tcBorders>
              <w:top w:val="nil"/>
              <w:left w:val="nil"/>
              <w:bottom w:val="nil"/>
              <w:right w:val="nil"/>
            </w:tcBorders>
            <w:shd w:val="clear" w:color="auto" w:fill="auto"/>
            <w:vAlign w:val="center"/>
          </w:tcPr>
          <w:p w14:paraId="7E13700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5,128</w:t>
            </w:r>
          </w:p>
        </w:tc>
      </w:tr>
      <w:tr w:rsidR="009E215C" w:rsidRPr="004C5A7A" w14:paraId="0D0B3BC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86F8634" w14:textId="77777777" w:rsidR="009E215C" w:rsidRPr="004C5A7A" w:rsidRDefault="009E215C">
            <w:pPr>
              <w:keepNext/>
              <w:keepLines/>
              <w:ind w:left="113"/>
              <w:rPr>
                <w:rFonts w:ascii="Arial" w:hAnsi="Arial" w:cs="Arial"/>
                <w:b w:val="0"/>
                <w:bCs w:val="0"/>
                <w:sz w:val="14"/>
                <w:szCs w:val="14"/>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197C623E"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53D1A6D6"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2CFA301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(2,098)</w:t>
            </w:r>
          </w:p>
        </w:tc>
        <w:tc>
          <w:tcPr>
            <w:tcW w:w="1642" w:type="dxa"/>
            <w:tcBorders>
              <w:top w:val="nil"/>
              <w:left w:val="nil"/>
              <w:bottom w:val="nil"/>
              <w:right w:val="nil"/>
            </w:tcBorders>
            <w:shd w:val="clear" w:color="auto" w:fill="auto"/>
            <w:vAlign w:val="center"/>
          </w:tcPr>
          <w:p w14:paraId="1512CB3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(859)</w:t>
            </w:r>
          </w:p>
        </w:tc>
      </w:tr>
      <w:tr w:rsidR="009E215C" w:rsidRPr="004C5A7A" w14:paraId="1026AF3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02FFF9C3" w14:textId="77777777" w:rsidR="009E215C" w:rsidRPr="004C5A7A" w:rsidRDefault="009E215C">
            <w:pPr>
              <w:keepNext/>
              <w:keepLines/>
              <w:rPr>
                <w:rFonts w:ascii="Arial" w:hAnsi="Arial" w:cs="Arial"/>
                <w:b w:val="0"/>
                <w:bCs w:val="0"/>
                <w:color w:val="000000"/>
                <w:sz w:val="14"/>
                <w:szCs w:val="14"/>
              </w:rPr>
            </w:pPr>
            <w:r w:rsidRPr="004C5A7A">
              <w:rPr>
                <w:rFonts w:ascii="Arial" w:hAnsi="Arial" w:cs="Arial"/>
                <w:b w:val="0"/>
                <w:bCs w:val="0"/>
                <w:color w:val="000000"/>
                <w:sz w:val="14"/>
                <w:szCs w:val="14"/>
              </w:rPr>
              <w:t xml:space="preserve">Other income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expenses</w:t>
            </w:r>
            <w:proofErr w:type="spellEnd"/>
          </w:p>
        </w:tc>
        <w:tc>
          <w:tcPr>
            <w:tcW w:w="1493" w:type="dxa"/>
            <w:tcBorders>
              <w:top w:val="nil"/>
              <w:left w:val="nil"/>
              <w:bottom w:val="nil"/>
              <w:right w:val="nil"/>
            </w:tcBorders>
            <w:shd w:val="clear" w:color="auto" w:fill="auto"/>
            <w:vAlign w:val="center"/>
          </w:tcPr>
          <w:p w14:paraId="311D6C7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50D77ED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76297B2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c>
          <w:tcPr>
            <w:tcW w:w="1642" w:type="dxa"/>
            <w:tcBorders>
              <w:top w:val="nil"/>
              <w:left w:val="nil"/>
              <w:bottom w:val="nil"/>
              <w:right w:val="nil"/>
            </w:tcBorders>
            <w:shd w:val="clear" w:color="auto" w:fill="auto"/>
            <w:vAlign w:val="center"/>
          </w:tcPr>
          <w:p w14:paraId="306790B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(3,360)</w:t>
            </w:r>
          </w:p>
        </w:tc>
      </w:tr>
      <w:tr w:rsidR="009E215C" w:rsidRPr="004C5A7A" w14:paraId="1C7279E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371DA84E"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 xml:space="preserve">Income </w:t>
            </w:r>
            <w:proofErr w:type="spellStart"/>
            <w:r w:rsidRPr="004C5A7A">
              <w:rPr>
                <w:rFonts w:ascii="Arial" w:hAnsi="Arial" w:cs="Arial"/>
                <w:color w:val="000000"/>
                <w:sz w:val="14"/>
                <w:szCs w:val="14"/>
              </w:rPr>
              <w:t>before</w:t>
            </w:r>
            <w:proofErr w:type="spellEnd"/>
            <w:r w:rsidRPr="004C5A7A">
              <w:rPr>
                <w:rFonts w:ascii="Arial" w:hAnsi="Arial" w:cs="Arial"/>
                <w:color w:val="000000"/>
                <w:sz w:val="14"/>
                <w:szCs w:val="14"/>
              </w:rPr>
              <w:t xml:space="preserve"> taxes</w:t>
            </w:r>
          </w:p>
        </w:tc>
        <w:tc>
          <w:tcPr>
            <w:tcW w:w="1493" w:type="dxa"/>
            <w:tcBorders>
              <w:top w:val="nil"/>
              <w:left w:val="nil"/>
              <w:bottom w:val="nil"/>
              <w:right w:val="nil"/>
            </w:tcBorders>
            <w:shd w:val="clear" w:color="auto" w:fill="auto"/>
            <w:vAlign w:val="center"/>
          </w:tcPr>
          <w:p w14:paraId="07CE767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67" w:type="dxa"/>
            <w:tcBorders>
              <w:top w:val="nil"/>
              <w:left w:val="nil"/>
              <w:bottom w:val="nil"/>
              <w:right w:val="nil"/>
            </w:tcBorders>
            <w:shd w:val="clear" w:color="auto" w:fill="auto"/>
            <w:vAlign w:val="center"/>
          </w:tcPr>
          <w:p w14:paraId="16A309D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50" w:type="dxa"/>
            <w:tcBorders>
              <w:top w:val="nil"/>
              <w:left w:val="nil"/>
              <w:bottom w:val="nil"/>
              <w:right w:val="nil"/>
            </w:tcBorders>
            <w:shd w:val="clear" w:color="auto" w:fill="auto"/>
            <w:vAlign w:val="center"/>
          </w:tcPr>
          <w:p w14:paraId="07BE7FA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35,232</w:t>
            </w:r>
          </w:p>
        </w:tc>
        <w:tc>
          <w:tcPr>
            <w:tcW w:w="1642" w:type="dxa"/>
            <w:tcBorders>
              <w:top w:val="nil"/>
              <w:left w:val="nil"/>
              <w:bottom w:val="nil"/>
              <w:right w:val="nil"/>
            </w:tcBorders>
            <w:shd w:val="clear" w:color="auto" w:fill="auto"/>
            <w:vAlign w:val="center"/>
          </w:tcPr>
          <w:p w14:paraId="3234537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36,912</w:t>
            </w:r>
          </w:p>
        </w:tc>
      </w:tr>
      <w:tr w:rsidR="009E215C" w:rsidRPr="004C5A7A" w14:paraId="75EBA23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EBBA147" w14:textId="77777777" w:rsidR="009E215C" w:rsidRPr="004C5A7A" w:rsidRDefault="009E215C">
            <w:pPr>
              <w:keepNext/>
              <w:keepLines/>
              <w:spacing w:before="40" w:after="40"/>
              <w:ind w:left="113"/>
              <w:rPr>
                <w:rFonts w:ascii="Arial" w:hAnsi="Arial" w:cs="Arial"/>
                <w:b w:val="0"/>
                <w:bCs w:val="0"/>
                <w:color w:val="000000"/>
                <w:sz w:val="14"/>
                <w:szCs w:val="14"/>
                <w:lang w:val="en-US"/>
              </w:rPr>
            </w:pPr>
            <w:r w:rsidRPr="004C5A7A">
              <w:rPr>
                <w:rFonts w:ascii="Arial" w:hAnsi="Arial" w:cs="Arial"/>
                <w:b w:val="0"/>
                <w:bCs w:val="0"/>
                <w:color w:val="000000"/>
                <w:sz w:val="14"/>
                <w:szCs w:val="14"/>
                <w:lang w:val="en-US"/>
              </w:rPr>
              <w:t xml:space="preserve">Income Tax and Social Contribution </w:t>
            </w:r>
          </w:p>
        </w:tc>
        <w:tc>
          <w:tcPr>
            <w:tcW w:w="1493" w:type="dxa"/>
            <w:tcBorders>
              <w:top w:val="nil"/>
              <w:left w:val="nil"/>
              <w:bottom w:val="nil"/>
              <w:right w:val="nil"/>
            </w:tcBorders>
            <w:shd w:val="clear" w:color="auto" w:fill="auto"/>
            <w:vAlign w:val="center"/>
          </w:tcPr>
          <w:p w14:paraId="2F27257E"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667" w:type="dxa"/>
            <w:tcBorders>
              <w:top w:val="nil"/>
              <w:left w:val="nil"/>
              <w:bottom w:val="nil"/>
              <w:right w:val="nil"/>
            </w:tcBorders>
            <w:shd w:val="clear" w:color="auto" w:fill="auto"/>
            <w:vAlign w:val="center"/>
          </w:tcPr>
          <w:p w14:paraId="0BD620A1"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750" w:type="dxa"/>
            <w:tcBorders>
              <w:top w:val="nil"/>
              <w:left w:val="nil"/>
              <w:bottom w:val="nil"/>
              <w:right w:val="nil"/>
            </w:tcBorders>
            <w:shd w:val="clear" w:color="auto" w:fill="auto"/>
            <w:vAlign w:val="center"/>
          </w:tcPr>
          <w:p w14:paraId="30AE6967"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(11,994)</w:t>
            </w:r>
          </w:p>
        </w:tc>
        <w:tc>
          <w:tcPr>
            <w:tcW w:w="1642" w:type="dxa"/>
            <w:tcBorders>
              <w:top w:val="nil"/>
              <w:left w:val="nil"/>
              <w:bottom w:val="nil"/>
              <w:right w:val="nil"/>
            </w:tcBorders>
            <w:shd w:val="clear" w:color="auto" w:fill="auto"/>
            <w:vAlign w:val="center"/>
          </w:tcPr>
          <w:p w14:paraId="2E0E4EA4"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(11,770)</w:t>
            </w:r>
          </w:p>
        </w:tc>
      </w:tr>
      <w:tr w:rsidR="009E215C" w:rsidRPr="004C5A7A" w14:paraId="163BB0D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6BBB4AD5" w14:textId="77777777" w:rsidR="009E215C" w:rsidRPr="004C5A7A" w:rsidRDefault="009E215C">
            <w:pPr>
              <w:keepNext/>
              <w:keepLines/>
              <w:spacing w:before="40" w:after="40"/>
              <w:ind w:left="113"/>
              <w:rPr>
                <w:rFonts w:ascii="Arial" w:hAnsi="Arial" w:cs="Arial"/>
                <w:color w:val="000000"/>
                <w:sz w:val="14"/>
                <w:szCs w:val="14"/>
              </w:rPr>
            </w:pPr>
            <w:r w:rsidRPr="004C5A7A">
              <w:rPr>
                <w:rFonts w:ascii="Arial" w:hAnsi="Arial" w:cs="Arial"/>
                <w:b w:val="0"/>
                <w:bCs w:val="0"/>
                <w:color w:val="000000"/>
                <w:sz w:val="14"/>
                <w:szCs w:val="14"/>
              </w:rPr>
              <w:t xml:space="preserve">Profit </w:t>
            </w:r>
            <w:proofErr w:type="spellStart"/>
            <w:r w:rsidRPr="004C5A7A">
              <w:rPr>
                <w:rFonts w:ascii="Arial" w:hAnsi="Arial" w:cs="Arial"/>
                <w:b w:val="0"/>
                <w:bCs w:val="0"/>
                <w:color w:val="000000"/>
                <w:sz w:val="14"/>
                <w:szCs w:val="14"/>
              </w:rPr>
              <w:t>sharing</w:t>
            </w:r>
            <w:proofErr w:type="spellEnd"/>
          </w:p>
        </w:tc>
        <w:tc>
          <w:tcPr>
            <w:tcW w:w="1493" w:type="dxa"/>
            <w:tcBorders>
              <w:top w:val="nil"/>
              <w:left w:val="nil"/>
              <w:bottom w:val="nil"/>
              <w:right w:val="nil"/>
            </w:tcBorders>
            <w:shd w:val="clear" w:color="auto" w:fill="auto"/>
            <w:vAlign w:val="center"/>
          </w:tcPr>
          <w:p w14:paraId="0B32BD66"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3498BAD0"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62437F59"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233</w:t>
            </w:r>
          </w:p>
        </w:tc>
        <w:tc>
          <w:tcPr>
            <w:tcW w:w="1642" w:type="dxa"/>
            <w:tcBorders>
              <w:top w:val="nil"/>
              <w:left w:val="nil"/>
              <w:bottom w:val="nil"/>
              <w:right w:val="nil"/>
            </w:tcBorders>
            <w:shd w:val="clear" w:color="auto" w:fill="auto"/>
            <w:vAlign w:val="center"/>
          </w:tcPr>
          <w:p w14:paraId="5279659A"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(858)</w:t>
            </w:r>
          </w:p>
        </w:tc>
      </w:tr>
      <w:tr w:rsidR="009E215C" w:rsidRPr="004C5A7A" w14:paraId="519EBF1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0AFC1787" w14:textId="77777777" w:rsidR="009E215C" w:rsidRPr="004C5A7A" w:rsidRDefault="009E215C">
            <w:pPr>
              <w:keepNext/>
              <w:keepLines/>
              <w:spacing w:before="40" w:after="40"/>
              <w:rPr>
                <w:rFonts w:ascii="Arial" w:hAnsi="Arial" w:cs="Arial"/>
                <w:color w:val="000000"/>
                <w:sz w:val="14"/>
                <w:szCs w:val="14"/>
              </w:rPr>
            </w:pPr>
            <w:r w:rsidRPr="004C5A7A">
              <w:rPr>
                <w:rFonts w:ascii="Arial" w:hAnsi="Arial" w:cs="Arial"/>
                <w:color w:val="000000"/>
                <w:sz w:val="14"/>
                <w:szCs w:val="14"/>
              </w:rPr>
              <w:t>Net income</w:t>
            </w:r>
          </w:p>
        </w:tc>
        <w:tc>
          <w:tcPr>
            <w:tcW w:w="1493" w:type="dxa"/>
            <w:tcBorders>
              <w:top w:val="nil"/>
              <w:left w:val="nil"/>
              <w:bottom w:val="nil"/>
              <w:right w:val="nil"/>
            </w:tcBorders>
            <w:shd w:val="clear" w:color="auto" w:fill="auto"/>
            <w:vAlign w:val="center"/>
          </w:tcPr>
          <w:p w14:paraId="041F4D58"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3FE6DE65"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16EE8FBA"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23,471</w:t>
            </w:r>
          </w:p>
        </w:tc>
        <w:tc>
          <w:tcPr>
            <w:tcW w:w="1642" w:type="dxa"/>
            <w:tcBorders>
              <w:top w:val="nil"/>
              <w:left w:val="nil"/>
              <w:bottom w:val="nil"/>
              <w:right w:val="nil"/>
            </w:tcBorders>
            <w:shd w:val="clear" w:color="auto" w:fill="auto"/>
            <w:vAlign w:val="center"/>
          </w:tcPr>
          <w:p w14:paraId="590C8D8A"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24,284</w:t>
            </w:r>
          </w:p>
        </w:tc>
      </w:tr>
      <w:tr w:rsidR="009E215C" w:rsidRPr="004C5A7A" w14:paraId="49746CC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5216055C" w14:textId="77777777" w:rsidR="009E215C" w:rsidRPr="004C5A7A" w:rsidRDefault="009E215C">
            <w:pPr>
              <w:keepNext/>
              <w:keepLines/>
              <w:rPr>
                <w:rFonts w:ascii="Arial" w:hAnsi="Arial" w:cs="Arial"/>
                <w:color w:val="00000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results</w:t>
            </w:r>
            <w:proofErr w:type="spellEnd"/>
          </w:p>
        </w:tc>
        <w:tc>
          <w:tcPr>
            <w:tcW w:w="1493" w:type="dxa"/>
            <w:tcBorders>
              <w:top w:val="nil"/>
              <w:left w:val="nil"/>
              <w:bottom w:val="nil"/>
              <w:right w:val="nil"/>
            </w:tcBorders>
            <w:shd w:val="clear" w:color="auto" w:fill="auto"/>
            <w:vAlign w:val="center"/>
          </w:tcPr>
          <w:p w14:paraId="31D88E1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67" w:type="dxa"/>
            <w:tcBorders>
              <w:top w:val="nil"/>
              <w:left w:val="nil"/>
              <w:bottom w:val="nil"/>
              <w:right w:val="nil"/>
            </w:tcBorders>
            <w:shd w:val="clear" w:color="auto" w:fill="auto"/>
            <w:vAlign w:val="center"/>
          </w:tcPr>
          <w:p w14:paraId="5BD0B36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50" w:type="dxa"/>
            <w:tcBorders>
              <w:top w:val="nil"/>
              <w:left w:val="nil"/>
              <w:bottom w:val="nil"/>
              <w:right w:val="nil"/>
            </w:tcBorders>
            <w:shd w:val="clear" w:color="auto" w:fill="auto"/>
            <w:vAlign w:val="center"/>
          </w:tcPr>
          <w:p w14:paraId="707F00C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(375)</w:t>
            </w:r>
          </w:p>
        </w:tc>
        <w:tc>
          <w:tcPr>
            <w:tcW w:w="1642" w:type="dxa"/>
            <w:tcBorders>
              <w:top w:val="nil"/>
              <w:left w:val="nil"/>
              <w:bottom w:val="nil"/>
              <w:right w:val="nil"/>
            </w:tcBorders>
            <w:shd w:val="clear" w:color="auto" w:fill="auto"/>
            <w:vAlign w:val="center"/>
          </w:tcPr>
          <w:p w14:paraId="534CEED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2,729</w:t>
            </w:r>
          </w:p>
        </w:tc>
      </w:tr>
      <w:tr w:rsidR="009E215C" w:rsidRPr="004C5A7A" w14:paraId="028E12C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27DD5A1" w14:textId="77777777" w:rsidR="009E215C" w:rsidRPr="004C5A7A" w:rsidRDefault="009E215C">
            <w:pPr>
              <w:keepNext/>
              <w:keepLines/>
              <w:rPr>
                <w:rFonts w:ascii="Arial" w:hAnsi="Arial" w:cs="Arial"/>
                <w:color w:val="000000"/>
                <w:sz w:val="14"/>
                <w:szCs w:val="14"/>
              </w:rPr>
            </w:pPr>
            <w:proofErr w:type="spellStart"/>
            <w:r w:rsidRPr="004C5A7A">
              <w:rPr>
                <w:rFonts w:ascii="Arial" w:hAnsi="Arial" w:cs="Arial"/>
                <w:color w:val="000000"/>
                <w:sz w:val="14"/>
                <w:szCs w:val="14"/>
              </w:rPr>
              <w:t>Comprehensive</w:t>
            </w:r>
            <w:proofErr w:type="spellEnd"/>
            <w:r w:rsidRPr="004C5A7A">
              <w:rPr>
                <w:rFonts w:ascii="Arial" w:hAnsi="Arial" w:cs="Arial"/>
                <w:color w:val="000000"/>
                <w:sz w:val="14"/>
                <w:szCs w:val="14"/>
              </w:rPr>
              <w:t xml:space="preserve"> income</w:t>
            </w:r>
          </w:p>
        </w:tc>
        <w:tc>
          <w:tcPr>
            <w:tcW w:w="1493" w:type="dxa"/>
            <w:tcBorders>
              <w:top w:val="nil"/>
              <w:left w:val="nil"/>
              <w:bottom w:val="nil"/>
              <w:right w:val="nil"/>
            </w:tcBorders>
            <w:shd w:val="clear" w:color="auto" w:fill="auto"/>
            <w:vAlign w:val="center"/>
          </w:tcPr>
          <w:p w14:paraId="007931F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447EBE9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4D61F22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23,096</w:t>
            </w:r>
          </w:p>
        </w:tc>
        <w:tc>
          <w:tcPr>
            <w:tcW w:w="1642" w:type="dxa"/>
            <w:tcBorders>
              <w:top w:val="nil"/>
              <w:left w:val="nil"/>
              <w:bottom w:val="nil"/>
              <w:right w:val="nil"/>
            </w:tcBorders>
            <w:shd w:val="clear" w:color="auto" w:fill="auto"/>
            <w:vAlign w:val="center"/>
          </w:tcPr>
          <w:p w14:paraId="4194BFC7"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27,013</w:t>
            </w:r>
          </w:p>
        </w:tc>
      </w:tr>
      <w:tr w:rsidR="009E215C" w:rsidRPr="004C5A7A" w14:paraId="5025186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1F7436B0" w14:textId="77777777" w:rsidR="009E215C" w:rsidRPr="004C5A7A" w:rsidRDefault="009E215C">
            <w:pPr>
              <w:keepNext/>
              <w:keepLines/>
              <w:rPr>
                <w:rFonts w:ascii="Arial" w:hAnsi="Arial" w:cs="Arial"/>
                <w:sz w:val="14"/>
                <w:szCs w:val="14"/>
              </w:rPr>
            </w:pPr>
            <w:proofErr w:type="spellStart"/>
            <w:r w:rsidRPr="004C5A7A">
              <w:rPr>
                <w:rFonts w:ascii="Arial" w:eastAsia="Times New Roman" w:hAnsi="Arial" w:cs="Arial"/>
                <w:color w:val="000000"/>
                <w:spacing w:val="-2"/>
                <w:sz w:val="14"/>
                <w:szCs w:val="14"/>
                <w:lang w:eastAsia="pt-BR"/>
              </w:rPr>
              <w:t>Attributable</w:t>
            </w:r>
            <w:proofErr w:type="spellEnd"/>
            <w:r w:rsidRPr="004C5A7A">
              <w:rPr>
                <w:rFonts w:ascii="Arial" w:eastAsia="Times New Roman" w:hAnsi="Arial" w:cs="Arial"/>
                <w:color w:val="000000"/>
                <w:spacing w:val="-2"/>
                <w:sz w:val="14"/>
                <w:szCs w:val="14"/>
                <w:lang w:eastAsia="pt-BR"/>
              </w:rPr>
              <w:t xml:space="preserve"> </w:t>
            </w:r>
            <w:proofErr w:type="spellStart"/>
            <w:r w:rsidRPr="004C5A7A">
              <w:rPr>
                <w:rFonts w:ascii="Arial" w:eastAsia="Times New Roman" w:hAnsi="Arial" w:cs="Arial"/>
                <w:color w:val="000000"/>
                <w:spacing w:val="-2"/>
                <w:sz w:val="14"/>
                <w:szCs w:val="14"/>
                <w:lang w:eastAsia="pt-BR"/>
              </w:rPr>
              <w:t>to</w:t>
            </w:r>
            <w:proofErr w:type="spellEnd"/>
            <w:r w:rsidRPr="004C5A7A">
              <w:rPr>
                <w:rFonts w:ascii="Arial" w:eastAsia="Times New Roman" w:hAnsi="Arial" w:cs="Arial"/>
                <w:color w:val="000000"/>
                <w:spacing w:val="-2"/>
                <w:sz w:val="14"/>
                <w:szCs w:val="14"/>
                <w:lang w:eastAsia="pt-BR"/>
              </w:rPr>
              <w:t xml:space="preserve"> BB Seguridade</w:t>
            </w:r>
          </w:p>
        </w:tc>
        <w:tc>
          <w:tcPr>
            <w:tcW w:w="1493" w:type="dxa"/>
            <w:tcBorders>
              <w:top w:val="nil"/>
              <w:left w:val="nil"/>
              <w:bottom w:val="nil"/>
              <w:right w:val="nil"/>
            </w:tcBorders>
            <w:shd w:val="clear" w:color="auto" w:fill="auto"/>
            <w:vAlign w:val="center"/>
          </w:tcPr>
          <w:p w14:paraId="4862CD3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1167883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4BE108D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17,602</w:t>
            </w:r>
          </w:p>
        </w:tc>
        <w:tc>
          <w:tcPr>
            <w:tcW w:w="1642" w:type="dxa"/>
            <w:tcBorders>
              <w:top w:val="nil"/>
              <w:left w:val="nil"/>
              <w:bottom w:val="nil"/>
              <w:right w:val="nil"/>
            </w:tcBorders>
            <w:shd w:val="clear" w:color="auto" w:fill="auto"/>
            <w:vAlign w:val="center"/>
          </w:tcPr>
          <w:p w14:paraId="131CBA5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18,213</w:t>
            </w:r>
          </w:p>
        </w:tc>
      </w:tr>
      <w:tr w:rsidR="009E215C" w:rsidRPr="004C5A7A" w14:paraId="2875E08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nil"/>
              <w:right w:val="nil"/>
            </w:tcBorders>
            <w:shd w:val="clear" w:color="auto" w:fill="auto"/>
            <w:vAlign w:val="center"/>
          </w:tcPr>
          <w:p w14:paraId="3A2548B6" w14:textId="77777777" w:rsidR="009E215C" w:rsidRPr="004C5A7A" w:rsidRDefault="009E215C">
            <w:pPr>
              <w:keepNext/>
              <w:keepLines/>
              <w:rPr>
                <w:rFonts w:ascii="Arial" w:eastAsia="Times New Roman" w:hAnsi="Arial" w:cs="Arial"/>
                <w:color w:val="000000"/>
                <w:spacing w:val="-2"/>
                <w:sz w:val="14"/>
                <w:szCs w:val="14"/>
                <w:lang w:eastAsia="pt-BR"/>
              </w:rPr>
            </w:pPr>
            <w:proofErr w:type="spellStart"/>
            <w:r w:rsidRPr="004C5A7A">
              <w:rPr>
                <w:rFonts w:ascii="Arial" w:hAnsi="Arial" w:cs="Arial"/>
                <w:b w:val="0"/>
                <w:bCs w:val="0"/>
                <w:color w:val="000000"/>
                <w:sz w:val="14"/>
                <w:szCs w:val="14"/>
              </w:rPr>
              <w:t>Adjustment</w:t>
            </w:r>
            <w:proofErr w:type="spellEnd"/>
            <w:r w:rsidRPr="004C5A7A">
              <w:rPr>
                <w:rFonts w:ascii="Arial" w:hAnsi="Arial" w:cs="Arial"/>
                <w:b w:val="0"/>
                <w:bCs w:val="0"/>
                <w:color w:val="000000"/>
                <w:sz w:val="14"/>
                <w:szCs w:val="14"/>
              </w:rPr>
              <w:t xml:space="preserve"> </w:t>
            </w:r>
            <w:r w:rsidRPr="004C5A7A">
              <w:rPr>
                <w:rFonts w:ascii="Arial" w:hAnsi="Arial" w:cs="Arial"/>
                <w:b w:val="0"/>
                <w:bCs w:val="0"/>
                <w:color w:val="000000"/>
                <w:sz w:val="14"/>
                <w:szCs w:val="14"/>
                <w:vertAlign w:val="superscript"/>
              </w:rPr>
              <w:t>(3)</w:t>
            </w:r>
          </w:p>
        </w:tc>
        <w:tc>
          <w:tcPr>
            <w:tcW w:w="1493" w:type="dxa"/>
            <w:tcBorders>
              <w:top w:val="nil"/>
              <w:left w:val="nil"/>
              <w:bottom w:val="nil"/>
              <w:right w:val="nil"/>
            </w:tcBorders>
            <w:shd w:val="clear" w:color="auto" w:fill="auto"/>
            <w:vAlign w:val="center"/>
          </w:tcPr>
          <w:p w14:paraId="4363312E"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67" w:type="dxa"/>
            <w:tcBorders>
              <w:top w:val="nil"/>
              <w:left w:val="nil"/>
              <w:bottom w:val="nil"/>
              <w:right w:val="nil"/>
            </w:tcBorders>
            <w:shd w:val="clear" w:color="auto" w:fill="auto"/>
            <w:vAlign w:val="center"/>
          </w:tcPr>
          <w:p w14:paraId="4F627AF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50" w:type="dxa"/>
            <w:tcBorders>
              <w:top w:val="nil"/>
              <w:left w:val="nil"/>
              <w:bottom w:val="nil"/>
              <w:right w:val="nil"/>
            </w:tcBorders>
            <w:shd w:val="clear" w:color="auto" w:fill="auto"/>
            <w:vAlign w:val="center"/>
          </w:tcPr>
          <w:p w14:paraId="10152E7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1,992</w:t>
            </w:r>
          </w:p>
        </w:tc>
        <w:tc>
          <w:tcPr>
            <w:tcW w:w="1642" w:type="dxa"/>
            <w:tcBorders>
              <w:top w:val="nil"/>
              <w:left w:val="nil"/>
              <w:bottom w:val="nil"/>
              <w:right w:val="nil"/>
            </w:tcBorders>
            <w:shd w:val="clear" w:color="auto" w:fill="auto"/>
            <w:vAlign w:val="center"/>
          </w:tcPr>
          <w:p w14:paraId="17A4CDB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r>
      <w:tr w:rsidR="009E215C" w:rsidRPr="004C5A7A" w14:paraId="0D27AB7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78" w:type="dxa"/>
            <w:tcBorders>
              <w:top w:val="nil"/>
              <w:left w:val="nil"/>
              <w:bottom w:val="single" w:sz="2" w:space="0" w:color="1F3864" w:themeColor="accent1" w:themeShade="80"/>
              <w:right w:val="nil"/>
            </w:tcBorders>
            <w:shd w:val="clear" w:color="auto" w:fill="auto"/>
            <w:vAlign w:val="center"/>
          </w:tcPr>
          <w:p w14:paraId="4D340B43" w14:textId="77777777" w:rsidR="009E215C" w:rsidRPr="004C5A7A" w:rsidRDefault="009E215C">
            <w:pPr>
              <w:keepNext/>
              <w:keepLines/>
              <w:rPr>
                <w:rFonts w:ascii="Arial" w:hAnsi="Arial" w:cs="Arial"/>
                <w:color w:val="000000"/>
                <w:sz w:val="14"/>
                <w:szCs w:val="14"/>
              </w:rPr>
            </w:pPr>
            <w:proofErr w:type="spellStart"/>
            <w:r w:rsidRPr="004C5A7A">
              <w:rPr>
                <w:rFonts w:ascii="Arial" w:eastAsia="Times New Roman" w:hAnsi="Arial" w:cs="Arial"/>
                <w:color w:val="000000"/>
                <w:spacing w:val="-2"/>
                <w:sz w:val="14"/>
                <w:szCs w:val="14"/>
                <w:lang w:eastAsia="pt-BR"/>
              </w:rPr>
              <w:t>Equity</w:t>
            </w:r>
            <w:proofErr w:type="spellEnd"/>
            <w:r w:rsidRPr="004C5A7A">
              <w:rPr>
                <w:rFonts w:ascii="Arial" w:eastAsia="Times New Roman" w:hAnsi="Arial" w:cs="Arial"/>
                <w:color w:val="000000"/>
                <w:spacing w:val="-2"/>
                <w:sz w:val="14"/>
                <w:szCs w:val="14"/>
                <w:lang w:eastAsia="pt-BR"/>
              </w:rPr>
              <w:t xml:space="preserve"> income</w:t>
            </w:r>
          </w:p>
        </w:tc>
        <w:tc>
          <w:tcPr>
            <w:tcW w:w="1493" w:type="dxa"/>
            <w:tcBorders>
              <w:top w:val="nil"/>
              <w:left w:val="nil"/>
              <w:bottom w:val="single" w:sz="2" w:space="0" w:color="1F3864" w:themeColor="accent1" w:themeShade="80"/>
              <w:right w:val="nil"/>
            </w:tcBorders>
            <w:shd w:val="clear" w:color="auto" w:fill="auto"/>
            <w:vAlign w:val="center"/>
          </w:tcPr>
          <w:p w14:paraId="60A0F03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67" w:type="dxa"/>
            <w:tcBorders>
              <w:top w:val="nil"/>
              <w:left w:val="nil"/>
              <w:bottom w:val="single" w:sz="2" w:space="0" w:color="1F3864" w:themeColor="accent1" w:themeShade="80"/>
              <w:right w:val="nil"/>
            </w:tcBorders>
            <w:shd w:val="clear" w:color="auto" w:fill="auto"/>
            <w:vAlign w:val="center"/>
          </w:tcPr>
          <w:p w14:paraId="192C56E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50" w:type="dxa"/>
            <w:tcBorders>
              <w:top w:val="nil"/>
              <w:left w:val="nil"/>
              <w:bottom w:val="single" w:sz="2" w:space="0" w:color="1F3864" w:themeColor="accent1" w:themeShade="80"/>
              <w:right w:val="nil"/>
            </w:tcBorders>
            <w:shd w:val="clear" w:color="auto" w:fill="auto"/>
            <w:vAlign w:val="center"/>
          </w:tcPr>
          <w:p w14:paraId="550DDAF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19,594</w:t>
            </w:r>
          </w:p>
        </w:tc>
        <w:tc>
          <w:tcPr>
            <w:tcW w:w="1642" w:type="dxa"/>
            <w:tcBorders>
              <w:top w:val="nil"/>
              <w:left w:val="nil"/>
              <w:bottom w:val="single" w:sz="2" w:space="0" w:color="1F3864" w:themeColor="accent1" w:themeShade="80"/>
              <w:right w:val="nil"/>
            </w:tcBorders>
            <w:shd w:val="clear" w:color="auto" w:fill="auto"/>
            <w:vAlign w:val="center"/>
          </w:tcPr>
          <w:p w14:paraId="0F961EC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18,213</w:t>
            </w:r>
          </w:p>
        </w:tc>
      </w:tr>
    </w:tbl>
    <w:p w14:paraId="45E98850" w14:textId="77777777" w:rsidR="009E215C" w:rsidRPr="004C5A7A" w:rsidRDefault="009E215C" w:rsidP="00A76AF4">
      <w:pPr>
        <w:pStyle w:val="PargrafodaLista"/>
        <w:numPr>
          <w:ilvl w:val="0"/>
          <w:numId w:val="17"/>
        </w:numPr>
        <w:spacing w:after="0" w:line="240" w:lineRule="auto"/>
        <w:ind w:left="284" w:hanging="284"/>
        <w:rPr>
          <w:rFonts w:ascii="Arial" w:eastAsia="Times New Roman" w:hAnsi="Arial" w:cs="Arial"/>
          <w:bCs/>
          <w:spacing w:val="-2"/>
          <w:sz w:val="14"/>
          <w:szCs w:val="16"/>
          <w:lang w:val="en-US" w:eastAsia="pt-BR"/>
        </w:rPr>
      </w:pPr>
      <w:r w:rsidRPr="004C5A7A">
        <w:rPr>
          <w:rFonts w:ascii="Arial" w:eastAsia="Times New Roman" w:hAnsi="Arial" w:cs="Arial"/>
          <w:bCs/>
          <w:spacing w:val="-2"/>
          <w:sz w:val="14"/>
          <w:szCs w:val="16"/>
          <w:lang w:val="en-US" w:eastAsia="pt-BR"/>
        </w:rPr>
        <w:t xml:space="preserve">BBA - </w:t>
      </w:r>
      <w:r w:rsidRPr="004C5A7A">
        <w:rPr>
          <w:rFonts w:ascii="Arial" w:eastAsia="Times New Roman" w:hAnsi="Arial" w:cs="Arial"/>
          <w:bCs/>
          <w:i/>
          <w:iCs/>
          <w:spacing w:val="-2"/>
          <w:sz w:val="14"/>
          <w:szCs w:val="16"/>
          <w:lang w:val="en-US" w:eastAsia="pt-BR"/>
        </w:rPr>
        <w:t>Building Block Approach</w:t>
      </w:r>
      <w:r w:rsidRPr="004C5A7A">
        <w:rPr>
          <w:rFonts w:ascii="Arial" w:eastAsia="Times New Roman" w:hAnsi="Arial" w:cs="Arial"/>
          <w:bCs/>
          <w:spacing w:val="-2"/>
          <w:sz w:val="14"/>
          <w:szCs w:val="16"/>
          <w:lang w:val="en-US" w:eastAsia="pt-BR"/>
        </w:rPr>
        <w:t xml:space="preserve"> and </w:t>
      </w:r>
      <w:r w:rsidRPr="004C5A7A">
        <w:rPr>
          <w:rFonts w:ascii="Arial" w:eastAsia="Times New Roman" w:hAnsi="Arial" w:cs="Arial"/>
          <w:kern w:val="20"/>
          <w:sz w:val="14"/>
          <w:szCs w:val="16"/>
          <w:lang w:val="en-US" w:eastAsia="pt-BR"/>
        </w:rPr>
        <w:t xml:space="preserve">PAA - </w:t>
      </w:r>
      <w:r w:rsidRPr="004C5A7A">
        <w:rPr>
          <w:rFonts w:ascii="Arial" w:eastAsia="Times New Roman" w:hAnsi="Arial" w:cs="Arial"/>
          <w:i/>
          <w:iCs/>
          <w:kern w:val="20"/>
          <w:sz w:val="14"/>
          <w:szCs w:val="16"/>
          <w:lang w:val="en-US" w:eastAsia="pt-BR"/>
        </w:rPr>
        <w:t>Premium Allocation Approach</w:t>
      </w:r>
      <w:r w:rsidRPr="004C5A7A">
        <w:rPr>
          <w:rFonts w:ascii="Arial" w:eastAsia="Times New Roman" w:hAnsi="Arial" w:cs="Arial"/>
          <w:kern w:val="20"/>
          <w:sz w:val="14"/>
          <w:szCs w:val="16"/>
          <w:lang w:val="en-US" w:eastAsia="pt-BR"/>
        </w:rPr>
        <w:t>.</w:t>
      </w:r>
    </w:p>
    <w:p w14:paraId="2B1F329D" w14:textId="77777777" w:rsidR="009E215C" w:rsidRPr="004C5A7A" w:rsidRDefault="009E215C" w:rsidP="00A76AF4">
      <w:pPr>
        <w:pStyle w:val="PargrafodaLista"/>
        <w:numPr>
          <w:ilvl w:val="0"/>
          <w:numId w:val="17"/>
        </w:numPr>
        <w:spacing w:after="0" w:line="240" w:lineRule="auto"/>
        <w:ind w:left="284" w:hanging="284"/>
        <w:rPr>
          <w:rFonts w:ascii="Arial" w:eastAsia="Times New Roman" w:hAnsi="Arial" w:cs="Arial"/>
          <w:bCs/>
          <w:spacing w:val="-2"/>
          <w:sz w:val="14"/>
          <w:szCs w:val="16"/>
          <w:lang w:val="en-US" w:eastAsia="pt-BR"/>
        </w:rPr>
      </w:pPr>
      <w:r w:rsidRPr="004C5A7A">
        <w:rPr>
          <w:rFonts w:ascii="Arial" w:eastAsia="Times New Roman" w:hAnsi="Arial" w:cs="Arial"/>
          <w:bCs/>
          <w:spacing w:val="-2"/>
          <w:sz w:val="14"/>
          <w:szCs w:val="16"/>
          <w:lang w:val="en-US" w:eastAsia="pt-BR"/>
        </w:rPr>
        <w:t>Balance with a one-month lag.</w:t>
      </w:r>
    </w:p>
    <w:p w14:paraId="66E58ACC" w14:textId="77777777" w:rsidR="009E215C" w:rsidRPr="004C5A7A" w:rsidRDefault="009E215C" w:rsidP="00A76AF4">
      <w:pPr>
        <w:pStyle w:val="PargrafodaLista"/>
        <w:numPr>
          <w:ilvl w:val="0"/>
          <w:numId w:val="17"/>
        </w:numPr>
        <w:spacing w:after="0" w:line="240" w:lineRule="auto"/>
        <w:ind w:left="284" w:hanging="284"/>
        <w:rPr>
          <w:rFonts w:ascii="Arial" w:eastAsia="Times New Roman" w:hAnsi="Arial" w:cs="Arial"/>
          <w:bCs/>
          <w:spacing w:val="-2"/>
          <w:sz w:val="14"/>
          <w:szCs w:val="16"/>
          <w:lang w:val="en-US" w:eastAsia="pt-BR"/>
        </w:rPr>
      </w:pPr>
      <w:r w:rsidRPr="004C5A7A">
        <w:rPr>
          <w:rFonts w:ascii="Arial" w:eastAsia="Times New Roman" w:hAnsi="Arial" w:cs="Arial"/>
          <w:bCs/>
          <w:spacing w:val="-2"/>
          <w:sz w:val="14"/>
          <w:szCs w:val="16"/>
          <w:lang w:val="en-US" w:eastAsia="pt-BR"/>
        </w:rPr>
        <w:t xml:space="preserve">Refers to the equity result for December 2023, recognized in BB </w:t>
      </w:r>
      <w:proofErr w:type="spellStart"/>
      <w:r w:rsidRPr="004C5A7A">
        <w:rPr>
          <w:rFonts w:ascii="Arial" w:eastAsia="Times New Roman" w:hAnsi="Arial" w:cs="Arial"/>
          <w:bCs/>
          <w:spacing w:val="-2"/>
          <w:sz w:val="14"/>
          <w:szCs w:val="16"/>
          <w:lang w:val="en-US" w:eastAsia="pt-BR"/>
        </w:rPr>
        <w:t>Seguridade</w:t>
      </w:r>
      <w:proofErr w:type="spellEnd"/>
      <w:r w:rsidRPr="004C5A7A">
        <w:rPr>
          <w:rFonts w:ascii="Arial" w:eastAsia="Times New Roman" w:hAnsi="Arial" w:cs="Arial"/>
          <w:bCs/>
          <w:spacing w:val="-2"/>
          <w:sz w:val="14"/>
          <w:szCs w:val="16"/>
          <w:lang w:val="en-US" w:eastAsia="pt-BR"/>
        </w:rPr>
        <w:t xml:space="preserve"> in January 2024, due to the one-month time lag used for the purposes of recognizing the equity result, as discussed in note 03.h.</w:t>
      </w:r>
    </w:p>
    <w:p w14:paraId="0F0AA52E" w14:textId="77777777" w:rsidR="009E215C" w:rsidRPr="004C5A7A" w:rsidRDefault="009E215C" w:rsidP="009E215C">
      <w:pPr>
        <w:pStyle w:val="05-Textonormal"/>
        <w:rPr>
          <w:rFonts w:cs="Arial"/>
          <w:lang w:val="en-US"/>
        </w:rPr>
      </w:pPr>
    </w:p>
    <w:p w14:paraId="266F8CDC" w14:textId="77777777" w:rsidR="009E215C" w:rsidRPr="004C5A7A" w:rsidRDefault="009E215C" w:rsidP="009E215C">
      <w:pPr>
        <w:pStyle w:val="05-Textonormal"/>
        <w:rPr>
          <w:rFonts w:cs="Arial"/>
          <w:lang w:val="en-US"/>
        </w:rPr>
      </w:pPr>
      <w:r w:rsidRPr="004C5A7A">
        <w:rPr>
          <w:rFonts w:cs="Arial"/>
          <w:lang w:val="en-US"/>
        </w:rPr>
        <w:t>The impacts of adopting CPC 50 [IFRS 17], in 2024 and 2023, and of CPC 48 [IFRS 9], in 2023, on Net income and Comprehensive Income, for comparability purposes, are shown in the following table:</w:t>
      </w:r>
    </w:p>
    <w:p w14:paraId="207BA1C6" w14:textId="77777777" w:rsidR="009E215C" w:rsidRPr="004C5A7A" w:rsidRDefault="009E215C" w:rsidP="009E215C">
      <w:pPr>
        <w:pStyle w:val="PargrafodaLista"/>
        <w:spacing w:after="0" w:line="240" w:lineRule="auto"/>
        <w:ind w:left="360"/>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235"/>
        <w:gridCol w:w="1468"/>
        <w:gridCol w:w="1428"/>
        <w:gridCol w:w="1777"/>
        <w:gridCol w:w="1731"/>
      </w:tblGrid>
      <w:tr w:rsidR="009E215C" w:rsidRPr="004C5A7A" w14:paraId="126C579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F9F834" w14:textId="77777777" w:rsidR="009E215C" w:rsidRPr="004C5A7A" w:rsidRDefault="009E215C">
            <w:pPr>
              <w:jc w:val="center"/>
              <w:rPr>
                <w:rFonts w:ascii="Arial" w:hAnsi="Arial" w:cs="Arial"/>
                <w:sz w:val="14"/>
                <w:szCs w:val="14"/>
                <w:lang w:val="en-US"/>
              </w:rPr>
            </w:pPr>
          </w:p>
        </w:tc>
        <w:tc>
          <w:tcPr>
            <w:tcW w:w="146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B3C37A"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5ED7F7"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7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59004DC"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C5A7A">
              <w:rPr>
                <w:rFonts w:ascii="Arial" w:hAnsi="Arial" w:cs="Arial"/>
                <w:sz w:val="14"/>
                <w:szCs w:val="14"/>
              </w:rPr>
              <w:t xml:space="preserve">01.01 </w:t>
            </w:r>
            <w:proofErr w:type="spellStart"/>
            <w:r w:rsidRPr="004C5A7A">
              <w:rPr>
                <w:rFonts w:ascii="Arial" w:hAnsi="Arial" w:cs="Arial"/>
                <w:sz w:val="14"/>
                <w:szCs w:val="14"/>
              </w:rPr>
              <w:t>to</w:t>
            </w:r>
            <w:proofErr w:type="spellEnd"/>
            <w:r w:rsidRPr="004C5A7A">
              <w:rPr>
                <w:rFonts w:ascii="Arial" w:hAnsi="Arial" w:cs="Arial"/>
                <w:sz w:val="14"/>
                <w:szCs w:val="14"/>
              </w:rPr>
              <w:t xml:space="preserve"> 11.30.2024 </w:t>
            </w:r>
            <w:r w:rsidRPr="004C5A7A">
              <w:rPr>
                <w:rFonts w:ascii="Arial" w:hAnsi="Arial" w:cs="Arial"/>
                <w:sz w:val="14"/>
                <w:szCs w:val="14"/>
                <w:vertAlign w:val="superscript"/>
              </w:rPr>
              <w:t>(1)</w:t>
            </w:r>
          </w:p>
        </w:tc>
        <w:tc>
          <w:tcPr>
            <w:tcW w:w="17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173581" w14:textId="77777777" w:rsidR="009E215C" w:rsidRPr="004C5A7A" w:rsidRDefault="009E215C">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01.01 </w:t>
            </w:r>
            <w:proofErr w:type="spellStart"/>
            <w:r w:rsidRPr="004C5A7A">
              <w:rPr>
                <w:rFonts w:ascii="Arial" w:hAnsi="Arial" w:cs="Arial"/>
                <w:sz w:val="14"/>
                <w:szCs w:val="14"/>
              </w:rPr>
              <w:t>to</w:t>
            </w:r>
            <w:proofErr w:type="spellEnd"/>
            <w:r w:rsidRPr="004C5A7A">
              <w:rPr>
                <w:rFonts w:ascii="Arial" w:hAnsi="Arial" w:cs="Arial"/>
                <w:sz w:val="14"/>
                <w:szCs w:val="14"/>
              </w:rPr>
              <w:t xml:space="preserve"> 11.30.2023 </w:t>
            </w:r>
            <w:r w:rsidRPr="004C5A7A">
              <w:rPr>
                <w:rFonts w:ascii="Arial" w:hAnsi="Arial" w:cs="Arial"/>
                <w:sz w:val="14"/>
                <w:szCs w:val="14"/>
                <w:vertAlign w:val="superscript"/>
              </w:rPr>
              <w:t>(1)</w:t>
            </w:r>
          </w:p>
        </w:tc>
      </w:tr>
      <w:tr w:rsidR="009E215C" w:rsidRPr="004C5A7A" w14:paraId="3F08F76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single" w:sz="2" w:space="0" w:color="1F3864" w:themeColor="accent1" w:themeShade="80"/>
              <w:left w:val="nil"/>
              <w:bottom w:val="nil"/>
              <w:right w:val="nil"/>
            </w:tcBorders>
            <w:shd w:val="clear" w:color="auto" w:fill="auto"/>
            <w:vAlign w:val="center"/>
          </w:tcPr>
          <w:p w14:paraId="616887B4" w14:textId="77777777" w:rsidR="009E215C" w:rsidRPr="004C5A7A" w:rsidRDefault="009E215C">
            <w:pPr>
              <w:keepNext/>
              <w:keepLines/>
              <w:rPr>
                <w:rFonts w:ascii="Arial" w:eastAsia="Times New Roman" w:hAnsi="Arial" w:cs="Arial"/>
                <w:b w:val="0"/>
                <w:bCs w:val="0"/>
                <w:spacing w:val="-2"/>
                <w:sz w:val="14"/>
                <w:szCs w:val="14"/>
                <w:lang w:val="en-US"/>
              </w:rPr>
            </w:pPr>
            <w:r w:rsidRPr="004C5A7A">
              <w:rPr>
                <w:rFonts w:ascii="Arial" w:hAnsi="Arial" w:cs="Arial"/>
                <w:b w:val="0"/>
                <w:bCs w:val="0"/>
                <w:sz w:val="14"/>
                <w:szCs w:val="14"/>
                <w:lang w:val="en-US"/>
              </w:rPr>
              <w:t>Net income - BRGAAP and IFRS</w:t>
            </w:r>
          </w:p>
        </w:tc>
        <w:tc>
          <w:tcPr>
            <w:tcW w:w="1468" w:type="dxa"/>
            <w:tcBorders>
              <w:top w:val="single" w:sz="2" w:space="0" w:color="1F3864" w:themeColor="accent1" w:themeShade="80"/>
              <w:left w:val="nil"/>
              <w:bottom w:val="nil"/>
              <w:right w:val="nil"/>
            </w:tcBorders>
            <w:shd w:val="clear" w:color="auto" w:fill="auto"/>
            <w:vAlign w:val="center"/>
          </w:tcPr>
          <w:p w14:paraId="022AF46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428" w:type="dxa"/>
            <w:tcBorders>
              <w:top w:val="single" w:sz="2" w:space="0" w:color="1F3864" w:themeColor="accent1" w:themeShade="80"/>
              <w:left w:val="nil"/>
              <w:bottom w:val="nil"/>
              <w:right w:val="nil"/>
            </w:tcBorders>
            <w:shd w:val="clear" w:color="auto" w:fill="auto"/>
            <w:vAlign w:val="center"/>
          </w:tcPr>
          <w:p w14:paraId="44EF28D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77" w:type="dxa"/>
            <w:tcBorders>
              <w:top w:val="single" w:sz="2" w:space="0" w:color="1F3864" w:themeColor="accent1" w:themeShade="80"/>
              <w:left w:val="nil"/>
              <w:bottom w:val="nil"/>
              <w:right w:val="nil"/>
            </w:tcBorders>
            <w:shd w:val="clear" w:color="auto" w:fill="auto"/>
            <w:vAlign w:val="center"/>
          </w:tcPr>
          <w:p w14:paraId="25FE07D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C5A7A">
              <w:rPr>
                <w:rFonts w:ascii="Arial" w:hAnsi="Arial" w:cs="Arial"/>
                <w:color w:val="000000"/>
                <w:sz w:val="14"/>
                <w:szCs w:val="14"/>
              </w:rPr>
              <w:t xml:space="preserve">23,471 </w:t>
            </w:r>
          </w:p>
        </w:tc>
        <w:tc>
          <w:tcPr>
            <w:tcW w:w="1731" w:type="dxa"/>
            <w:tcBorders>
              <w:top w:val="single" w:sz="2" w:space="0" w:color="1F3864" w:themeColor="accent1" w:themeShade="80"/>
              <w:left w:val="nil"/>
              <w:bottom w:val="nil"/>
              <w:right w:val="nil"/>
            </w:tcBorders>
            <w:shd w:val="clear" w:color="auto" w:fill="auto"/>
            <w:vAlign w:val="center"/>
          </w:tcPr>
          <w:p w14:paraId="1D7F7DC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4C5A7A">
              <w:rPr>
                <w:rFonts w:ascii="Arial" w:hAnsi="Arial" w:cs="Arial"/>
                <w:color w:val="000000"/>
                <w:sz w:val="14"/>
                <w:szCs w:val="14"/>
              </w:rPr>
              <w:t>24,284</w:t>
            </w:r>
          </w:p>
        </w:tc>
      </w:tr>
      <w:tr w:rsidR="009E215C" w:rsidRPr="004C5A7A" w14:paraId="56A4252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nil"/>
              <w:right w:val="nil"/>
            </w:tcBorders>
            <w:shd w:val="clear" w:color="auto" w:fill="auto"/>
            <w:vAlign w:val="center"/>
          </w:tcPr>
          <w:p w14:paraId="56075E5D" w14:textId="77777777" w:rsidR="009E215C" w:rsidRPr="004C5A7A" w:rsidRDefault="009E215C">
            <w:pPr>
              <w:keepNext/>
              <w:keepLines/>
              <w:rPr>
                <w:rFonts w:ascii="Arial" w:hAnsi="Arial" w:cs="Arial"/>
                <w:b w:val="0"/>
                <w:bCs w:val="0"/>
                <w:sz w:val="14"/>
                <w:szCs w:val="14"/>
              </w:rPr>
            </w:pPr>
            <w:r w:rsidRPr="004C5A7A">
              <w:rPr>
                <w:rFonts w:ascii="Arial" w:hAnsi="Arial" w:cs="Arial"/>
                <w:b w:val="0"/>
                <w:bCs w:val="0"/>
                <w:sz w:val="14"/>
                <w:szCs w:val="14"/>
              </w:rPr>
              <w:t>Net income - ANSGAAP</w:t>
            </w:r>
          </w:p>
        </w:tc>
        <w:tc>
          <w:tcPr>
            <w:tcW w:w="1468" w:type="dxa"/>
            <w:tcBorders>
              <w:top w:val="nil"/>
              <w:left w:val="nil"/>
              <w:bottom w:val="nil"/>
              <w:right w:val="nil"/>
            </w:tcBorders>
            <w:shd w:val="clear" w:color="auto" w:fill="auto"/>
            <w:vAlign w:val="center"/>
          </w:tcPr>
          <w:p w14:paraId="73BC07F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28" w:type="dxa"/>
            <w:tcBorders>
              <w:top w:val="nil"/>
              <w:left w:val="nil"/>
              <w:bottom w:val="nil"/>
              <w:right w:val="nil"/>
            </w:tcBorders>
            <w:shd w:val="clear" w:color="auto" w:fill="auto"/>
            <w:vAlign w:val="center"/>
          </w:tcPr>
          <w:p w14:paraId="0F8AD4C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77" w:type="dxa"/>
            <w:tcBorders>
              <w:top w:val="nil"/>
              <w:left w:val="nil"/>
              <w:bottom w:val="nil"/>
              <w:right w:val="nil"/>
            </w:tcBorders>
            <w:shd w:val="clear" w:color="auto" w:fill="auto"/>
            <w:vAlign w:val="center"/>
          </w:tcPr>
          <w:p w14:paraId="5C11400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21,564 </w:t>
            </w:r>
          </w:p>
        </w:tc>
        <w:tc>
          <w:tcPr>
            <w:tcW w:w="1731" w:type="dxa"/>
            <w:tcBorders>
              <w:top w:val="nil"/>
              <w:left w:val="nil"/>
              <w:bottom w:val="nil"/>
              <w:right w:val="nil"/>
            </w:tcBorders>
            <w:shd w:val="clear" w:color="auto" w:fill="auto"/>
            <w:vAlign w:val="center"/>
          </w:tcPr>
          <w:p w14:paraId="1CD29B7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 xml:space="preserve">22,251 </w:t>
            </w:r>
          </w:p>
        </w:tc>
      </w:tr>
      <w:tr w:rsidR="009E215C" w:rsidRPr="004C5A7A" w14:paraId="2E4D125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nil"/>
              <w:right w:val="nil"/>
            </w:tcBorders>
            <w:shd w:val="clear" w:color="auto" w:fill="auto"/>
            <w:vAlign w:val="center"/>
          </w:tcPr>
          <w:p w14:paraId="72318CEC" w14:textId="77777777" w:rsidR="009E215C" w:rsidRPr="004C5A7A" w:rsidRDefault="009E215C">
            <w:pPr>
              <w:keepNext/>
              <w:keepLines/>
              <w:rPr>
                <w:rFonts w:ascii="Arial" w:hAnsi="Arial" w:cs="Arial"/>
                <w:b w:val="0"/>
                <w:bCs w:val="0"/>
                <w:sz w:val="14"/>
                <w:szCs w:val="14"/>
              </w:rPr>
            </w:pPr>
          </w:p>
        </w:tc>
        <w:tc>
          <w:tcPr>
            <w:tcW w:w="1468" w:type="dxa"/>
            <w:tcBorders>
              <w:top w:val="nil"/>
              <w:left w:val="nil"/>
              <w:bottom w:val="nil"/>
              <w:right w:val="nil"/>
            </w:tcBorders>
            <w:shd w:val="clear" w:color="auto" w:fill="auto"/>
            <w:vAlign w:val="center"/>
          </w:tcPr>
          <w:p w14:paraId="71F8386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28" w:type="dxa"/>
            <w:tcBorders>
              <w:top w:val="nil"/>
              <w:left w:val="nil"/>
              <w:bottom w:val="nil"/>
              <w:right w:val="nil"/>
            </w:tcBorders>
            <w:shd w:val="clear" w:color="auto" w:fill="auto"/>
            <w:vAlign w:val="center"/>
          </w:tcPr>
          <w:p w14:paraId="5A9A008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7" w:type="dxa"/>
            <w:tcBorders>
              <w:top w:val="nil"/>
              <w:left w:val="nil"/>
              <w:bottom w:val="nil"/>
              <w:right w:val="nil"/>
            </w:tcBorders>
            <w:shd w:val="clear" w:color="auto" w:fill="auto"/>
            <w:vAlign w:val="center"/>
          </w:tcPr>
          <w:p w14:paraId="6112D47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center"/>
          </w:tcPr>
          <w:p w14:paraId="2A6CE2FF"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E215C" w:rsidRPr="004C5A7A" w14:paraId="5D279C6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nil"/>
              <w:right w:val="nil"/>
            </w:tcBorders>
            <w:shd w:val="clear" w:color="auto" w:fill="auto"/>
            <w:vAlign w:val="center"/>
          </w:tcPr>
          <w:p w14:paraId="5DC5C5A2" w14:textId="77777777" w:rsidR="009E215C" w:rsidRPr="004C5A7A" w:rsidRDefault="009E215C">
            <w:pPr>
              <w:keepNext/>
              <w:keepLines/>
              <w:spacing w:before="40" w:after="40"/>
              <w:rPr>
                <w:rFonts w:ascii="Arial" w:hAnsi="Arial" w:cs="Arial"/>
                <w:b w:val="0"/>
                <w:bCs w:val="0"/>
                <w:sz w:val="14"/>
                <w:szCs w:val="14"/>
                <w:lang w:val="en-US"/>
              </w:rPr>
            </w:pPr>
            <w:r w:rsidRPr="004C5A7A">
              <w:rPr>
                <w:rFonts w:ascii="Arial" w:hAnsi="Arial" w:cs="Arial"/>
                <w:b w:val="0"/>
                <w:bCs w:val="0"/>
                <w:sz w:val="14"/>
                <w:szCs w:val="14"/>
                <w:lang w:val="en-US"/>
              </w:rPr>
              <w:t>Comprehensive income - BRGAAP and IFRS</w:t>
            </w:r>
          </w:p>
        </w:tc>
        <w:tc>
          <w:tcPr>
            <w:tcW w:w="1468" w:type="dxa"/>
            <w:tcBorders>
              <w:top w:val="nil"/>
              <w:left w:val="nil"/>
              <w:bottom w:val="nil"/>
              <w:right w:val="nil"/>
            </w:tcBorders>
            <w:shd w:val="clear" w:color="auto" w:fill="auto"/>
            <w:vAlign w:val="center"/>
          </w:tcPr>
          <w:p w14:paraId="073BC7E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428" w:type="dxa"/>
            <w:tcBorders>
              <w:top w:val="nil"/>
              <w:left w:val="nil"/>
              <w:bottom w:val="nil"/>
              <w:right w:val="nil"/>
            </w:tcBorders>
            <w:shd w:val="clear" w:color="auto" w:fill="auto"/>
            <w:vAlign w:val="center"/>
          </w:tcPr>
          <w:p w14:paraId="1B6F7EB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77" w:type="dxa"/>
            <w:tcBorders>
              <w:top w:val="nil"/>
              <w:left w:val="nil"/>
              <w:bottom w:val="nil"/>
              <w:right w:val="nil"/>
            </w:tcBorders>
            <w:shd w:val="clear" w:color="auto" w:fill="auto"/>
            <w:vAlign w:val="center"/>
          </w:tcPr>
          <w:p w14:paraId="1F5C2D7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23,096 </w:t>
            </w:r>
          </w:p>
        </w:tc>
        <w:tc>
          <w:tcPr>
            <w:tcW w:w="1731" w:type="dxa"/>
            <w:tcBorders>
              <w:top w:val="nil"/>
              <w:left w:val="nil"/>
              <w:bottom w:val="nil"/>
              <w:right w:val="nil"/>
            </w:tcBorders>
            <w:shd w:val="clear" w:color="auto" w:fill="auto"/>
            <w:vAlign w:val="center"/>
          </w:tcPr>
          <w:p w14:paraId="2E49B81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27,013</w:t>
            </w:r>
          </w:p>
        </w:tc>
      </w:tr>
      <w:tr w:rsidR="009E215C" w:rsidRPr="004C5A7A" w14:paraId="5941194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235" w:type="dxa"/>
            <w:tcBorders>
              <w:top w:val="nil"/>
              <w:left w:val="nil"/>
              <w:bottom w:val="single" w:sz="2" w:space="0" w:color="1F3864" w:themeColor="accent1" w:themeShade="80"/>
              <w:right w:val="nil"/>
            </w:tcBorders>
            <w:shd w:val="clear" w:color="auto" w:fill="auto"/>
            <w:vAlign w:val="center"/>
          </w:tcPr>
          <w:p w14:paraId="53A8CE2C"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income - ANSGAAP</w:t>
            </w:r>
          </w:p>
        </w:tc>
        <w:tc>
          <w:tcPr>
            <w:tcW w:w="1468" w:type="dxa"/>
            <w:tcBorders>
              <w:top w:val="nil"/>
              <w:left w:val="nil"/>
              <w:bottom w:val="single" w:sz="2" w:space="0" w:color="1F3864" w:themeColor="accent1" w:themeShade="80"/>
              <w:right w:val="nil"/>
            </w:tcBorders>
            <w:shd w:val="clear" w:color="auto" w:fill="auto"/>
            <w:vAlign w:val="center"/>
          </w:tcPr>
          <w:p w14:paraId="0DFA604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28" w:type="dxa"/>
            <w:tcBorders>
              <w:top w:val="nil"/>
              <w:left w:val="nil"/>
              <w:bottom w:val="single" w:sz="2" w:space="0" w:color="1F3864" w:themeColor="accent1" w:themeShade="80"/>
              <w:right w:val="nil"/>
            </w:tcBorders>
            <w:shd w:val="clear" w:color="auto" w:fill="auto"/>
            <w:vAlign w:val="center"/>
          </w:tcPr>
          <w:p w14:paraId="594B512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7" w:type="dxa"/>
            <w:tcBorders>
              <w:top w:val="nil"/>
              <w:left w:val="nil"/>
              <w:bottom w:val="single" w:sz="2" w:space="0" w:color="1F3864" w:themeColor="accent1" w:themeShade="80"/>
              <w:right w:val="nil"/>
            </w:tcBorders>
            <w:shd w:val="clear" w:color="auto" w:fill="auto"/>
            <w:vAlign w:val="center"/>
          </w:tcPr>
          <w:p w14:paraId="397590E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21,189 </w:t>
            </w:r>
          </w:p>
        </w:tc>
        <w:tc>
          <w:tcPr>
            <w:tcW w:w="1731" w:type="dxa"/>
            <w:tcBorders>
              <w:top w:val="nil"/>
              <w:left w:val="nil"/>
              <w:bottom w:val="single" w:sz="2" w:space="0" w:color="1F3864" w:themeColor="accent1" w:themeShade="80"/>
              <w:right w:val="nil"/>
            </w:tcBorders>
            <w:shd w:val="clear" w:color="auto" w:fill="auto"/>
            <w:vAlign w:val="center"/>
          </w:tcPr>
          <w:p w14:paraId="6E449CD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22,251</w:t>
            </w:r>
          </w:p>
        </w:tc>
      </w:tr>
    </w:tbl>
    <w:p w14:paraId="31729AEC" w14:textId="77777777" w:rsidR="009E215C" w:rsidRPr="004C5A7A" w:rsidRDefault="009E215C" w:rsidP="00A76AF4">
      <w:pPr>
        <w:pStyle w:val="PargrafodaLista"/>
        <w:numPr>
          <w:ilvl w:val="0"/>
          <w:numId w:val="28"/>
        </w:numPr>
        <w:spacing w:after="0" w:line="276" w:lineRule="auto"/>
        <w:ind w:left="284" w:hanging="284"/>
        <w:rPr>
          <w:rFonts w:ascii="Arial" w:eastAsia="Times New Roman" w:hAnsi="Arial" w:cs="Arial"/>
          <w:bCs/>
          <w:spacing w:val="-2"/>
          <w:sz w:val="14"/>
          <w:szCs w:val="16"/>
          <w:lang w:val="en-US" w:eastAsia="pt-BR"/>
        </w:rPr>
      </w:pPr>
      <w:r w:rsidRPr="004C5A7A">
        <w:rPr>
          <w:rFonts w:ascii="Arial" w:eastAsia="Times New Roman" w:hAnsi="Arial" w:cs="Arial"/>
          <w:bCs/>
          <w:spacing w:val="-2"/>
          <w:sz w:val="14"/>
          <w:szCs w:val="16"/>
          <w:lang w:val="en-US" w:eastAsia="pt-BR"/>
        </w:rPr>
        <w:t>Balance with a one-month lag.</w:t>
      </w:r>
    </w:p>
    <w:p w14:paraId="14AE0E14" w14:textId="77777777" w:rsidR="009E215C" w:rsidRPr="004C5A7A" w:rsidRDefault="009E215C" w:rsidP="009E215C">
      <w:pPr>
        <w:rPr>
          <w:rFonts w:ascii="Arial" w:eastAsia="Times New Roman" w:hAnsi="Arial" w:cs="Arial"/>
          <w:bCs/>
          <w:spacing w:val="-2"/>
          <w:sz w:val="14"/>
          <w:szCs w:val="16"/>
          <w:lang w:val="en-US" w:eastAsia="pt-BR"/>
        </w:rPr>
      </w:pPr>
    </w:p>
    <w:p w14:paraId="745ECD89" w14:textId="77777777"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73FFEA6A"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3BD0E935" w14:textId="77777777" w:rsidR="009E215C" w:rsidRPr="004C5A7A" w:rsidRDefault="009E215C" w:rsidP="009E215C">
      <w:pPr>
        <w:spacing w:after="0" w:line="240" w:lineRule="auto"/>
        <w:jc w:val="right"/>
        <w:rPr>
          <w:rFonts w:ascii="Arial" w:hAnsi="Arial" w:cs="Arial"/>
          <w:b/>
          <w:sz w:val="14"/>
          <w:lang w:eastAsia="pt-BR"/>
        </w:rPr>
      </w:pPr>
      <w:r w:rsidRPr="004C5A7A">
        <w:rPr>
          <w:rFonts w:ascii="Arial" w:hAnsi="Arial" w:cs="Arial"/>
          <w:b/>
          <w:sz w:val="14"/>
          <w:lang w:eastAsia="pt-BR"/>
        </w:rPr>
        <w:t xml:space="preserve">R$ </w:t>
      </w:r>
      <w:proofErr w:type="spellStart"/>
      <w:r w:rsidRPr="004C5A7A">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E215C" w:rsidRPr="004C5A7A" w14:paraId="14A30BA1"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88F641A" w14:textId="77777777" w:rsidR="009E215C" w:rsidRPr="004C5A7A" w:rsidRDefault="009E215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002F16"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Nov</w:t>
            </w:r>
            <w:proofErr w:type="spellEnd"/>
            <w:r w:rsidRPr="004C5A7A">
              <w:rPr>
                <w:rFonts w:ascii="Arial" w:hAnsi="Arial" w:cs="Arial"/>
                <w:sz w:val="14"/>
                <w:szCs w:val="14"/>
              </w:rPr>
              <w:t xml:space="preserve"> 30, 2024 </w:t>
            </w:r>
            <w:r w:rsidRPr="004C5A7A">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1B1935"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Nov</w:t>
            </w:r>
            <w:proofErr w:type="spellEnd"/>
            <w:r w:rsidRPr="004C5A7A">
              <w:rPr>
                <w:rFonts w:ascii="Arial" w:hAnsi="Arial" w:cs="Arial"/>
                <w:sz w:val="14"/>
                <w:szCs w:val="14"/>
              </w:rPr>
              <w:t xml:space="preserve"> 30, 2023 </w:t>
            </w:r>
            <w:r w:rsidRPr="004C5A7A">
              <w:rPr>
                <w:rFonts w:ascii="Arial" w:hAnsi="Arial" w:cs="Arial"/>
                <w:sz w:val="14"/>
                <w:szCs w:val="14"/>
                <w:vertAlign w:val="superscript"/>
              </w:rPr>
              <w:t>(1)</w:t>
            </w:r>
          </w:p>
        </w:tc>
      </w:tr>
      <w:tr w:rsidR="009E215C" w:rsidRPr="004C5A7A" w14:paraId="5B7FB3A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hideMark/>
          </w:tcPr>
          <w:p w14:paraId="4E01DF40" w14:textId="77777777" w:rsidR="009E215C" w:rsidRPr="004C5A7A" w:rsidRDefault="009E215C">
            <w:pPr>
              <w:keepNext/>
              <w:keepLines/>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auto"/>
            <w:vAlign w:val="center"/>
          </w:tcPr>
          <w:p w14:paraId="38DE8A3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37,292</w:t>
            </w:r>
          </w:p>
        </w:tc>
        <w:tc>
          <w:tcPr>
            <w:tcW w:w="3260" w:type="dxa"/>
            <w:tcBorders>
              <w:top w:val="single" w:sz="2" w:space="0" w:color="1F3864" w:themeColor="accent1" w:themeShade="80"/>
              <w:left w:val="nil"/>
              <w:bottom w:val="nil"/>
              <w:right w:val="nil"/>
            </w:tcBorders>
            <w:shd w:val="clear" w:color="auto" w:fill="auto"/>
            <w:vAlign w:val="center"/>
          </w:tcPr>
          <w:p w14:paraId="4C6861E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35,708</w:t>
            </w:r>
          </w:p>
        </w:tc>
      </w:tr>
      <w:tr w:rsidR="009E215C" w:rsidRPr="004C5A7A" w14:paraId="70BB7C0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4D1CE3DD"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Cash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cash </w:t>
            </w:r>
            <w:proofErr w:type="spellStart"/>
            <w:r w:rsidRPr="004C5A7A">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auto"/>
            <w:vAlign w:val="center"/>
          </w:tcPr>
          <w:p w14:paraId="685E845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1,156</w:t>
            </w:r>
          </w:p>
        </w:tc>
        <w:tc>
          <w:tcPr>
            <w:tcW w:w="3260" w:type="dxa"/>
            <w:tcBorders>
              <w:top w:val="nil"/>
              <w:left w:val="nil"/>
              <w:bottom w:val="nil"/>
              <w:right w:val="nil"/>
            </w:tcBorders>
            <w:shd w:val="clear" w:color="auto" w:fill="auto"/>
            <w:vAlign w:val="center"/>
          </w:tcPr>
          <w:p w14:paraId="0D076BB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1,703</w:t>
            </w:r>
          </w:p>
        </w:tc>
      </w:tr>
      <w:tr w:rsidR="009E215C" w:rsidRPr="004C5A7A" w14:paraId="512CB7F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93109B"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auto"/>
            <w:vAlign w:val="center"/>
          </w:tcPr>
          <w:p w14:paraId="1BF0FD5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35,315</w:t>
            </w:r>
          </w:p>
        </w:tc>
        <w:tc>
          <w:tcPr>
            <w:tcW w:w="3260" w:type="dxa"/>
            <w:tcBorders>
              <w:top w:val="nil"/>
              <w:left w:val="nil"/>
              <w:bottom w:val="nil"/>
              <w:right w:val="nil"/>
            </w:tcBorders>
            <w:shd w:val="clear" w:color="auto" w:fill="auto"/>
            <w:vAlign w:val="center"/>
          </w:tcPr>
          <w:p w14:paraId="07332C07"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31,029</w:t>
            </w:r>
          </w:p>
        </w:tc>
      </w:tr>
      <w:tr w:rsidR="009E215C" w:rsidRPr="004C5A7A" w14:paraId="7AB263D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9AA479" w14:textId="77777777" w:rsidR="009E215C" w:rsidRPr="004C5A7A" w:rsidRDefault="009E215C">
            <w:pPr>
              <w:keepNext/>
              <w:keepLines/>
              <w:ind w:left="113"/>
              <w:rPr>
                <w:rFonts w:ascii="Arial" w:hAnsi="Arial" w:cs="Arial"/>
                <w:b w:val="0"/>
                <w:bCs w:val="0"/>
                <w:color w:val="000000"/>
                <w:sz w:val="14"/>
                <w:szCs w:val="14"/>
                <w:highlight w:val="yellow"/>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36A487B4"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244</w:t>
            </w:r>
          </w:p>
        </w:tc>
        <w:tc>
          <w:tcPr>
            <w:tcW w:w="3260" w:type="dxa"/>
            <w:tcBorders>
              <w:top w:val="nil"/>
              <w:left w:val="nil"/>
              <w:bottom w:val="nil"/>
              <w:right w:val="nil"/>
            </w:tcBorders>
            <w:shd w:val="clear" w:color="auto" w:fill="auto"/>
            <w:vAlign w:val="center"/>
          </w:tcPr>
          <w:p w14:paraId="60F6E4BF"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4C5A7A">
              <w:rPr>
                <w:rFonts w:ascii="Arial" w:hAnsi="Arial" w:cs="Arial"/>
                <w:color w:val="000000"/>
                <w:sz w:val="14"/>
                <w:szCs w:val="14"/>
              </w:rPr>
              <w:t>304</w:t>
            </w:r>
          </w:p>
        </w:tc>
      </w:tr>
      <w:tr w:rsidR="009E215C" w:rsidRPr="004C5A7A" w14:paraId="0EF5C27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AD94B0" w14:textId="77777777" w:rsidR="009E215C" w:rsidRPr="004C5A7A" w:rsidRDefault="009E215C">
            <w:pPr>
              <w:keepNext/>
              <w:keepLines/>
              <w:spacing w:before="40" w:after="40"/>
              <w:ind w:left="113"/>
              <w:rPr>
                <w:rFonts w:ascii="Arial" w:hAnsi="Arial" w:cs="Arial"/>
                <w:b w:val="0"/>
                <w:bCs w:val="0"/>
                <w:sz w:val="14"/>
                <w:szCs w:val="14"/>
                <w:highlight w:val="yellow"/>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262DEC6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577</w:t>
            </w:r>
          </w:p>
        </w:tc>
        <w:tc>
          <w:tcPr>
            <w:tcW w:w="3260" w:type="dxa"/>
            <w:tcBorders>
              <w:top w:val="nil"/>
              <w:left w:val="nil"/>
              <w:bottom w:val="nil"/>
              <w:right w:val="nil"/>
            </w:tcBorders>
            <w:shd w:val="clear" w:color="auto" w:fill="auto"/>
            <w:vAlign w:val="center"/>
          </w:tcPr>
          <w:p w14:paraId="4AD2AAF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2,672</w:t>
            </w:r>
          </w:p>
        </w:tc>
      </w:tr>
      <w:tr w:rsidR="009E215C" w:rsidRPr="004C5A7A" w14:paraId="26175CD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32F973" w14:textId="77777777" w:rsidR="009E215C" w:rsidRPr="004C5A7A" w:rsidRDefault="009E215C">
            <w:pPr>
              <w:keepNext/>
              <w:keepLines/>
              <w:spacing w:before="40" w:after="40"/>
              <w:rPr>
                <w:rFonts w:ascii="Arial" w:hAnsi="Arial" w:cs="Arial"/>
                <w:sz w:val="14"/>
                <w:szCs w:val="14"/>
                <w:highlight w:val="yellow"/>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0F98618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1,235</w:t>
            </w:r>
          </w:p>
        </w:tc>
        <w:tc>
          <w:tcPr>
            <w:tcW w:w="3260" w:type="dxa"/>
            <w:tcBorders>
              <w:top w:val="nil"/>
              <w:left w:val="nil"/>
              <w:bottom w:val="nil"/>
              <w:right w:val="nil"/>
            </w:tcBorders>
            <w:shd w:val="clear" w:color="auto" w:fill="auto"/>
            <w:vAlign w:val="center"/>
          </w:tcPr>
          <w:p w14:paraId="63E367F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3,158</w:t>
            </w:r>
          </w:p>
        </w:tc>
      </w:tr>
      <w:tr w:rsidR="009E215C" w:rsidRPr="004C5A7A" w14:paraId="16039D2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51B191"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Deferred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7E16057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1,189</w:t>
            </w:r>
          </w:p>
        </w:tc>
        <w:tc>
          <w:tcPr>
            <w:tcW w:w="3260" w:type="dxa"/>
            <w:tcBorders>
              <w:top w:val="nil"/>
              <w:left w:val="nil"/>
              <w:bottom w:val="nil"/>
              <w:right w:val="nil"/>
            </w:tcBorders>
            <w:shd w:val="clear" w:color="auto" w:fill="auto"/>
            <w:vAlign w:val="center"/>
          </w:tcPr>
          <w:p w14:paraId="2DDD188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2,582</w:t>
            </w:r>
          </w:p>
        </w:tc>
      </w:tr>
      <w:tr w:rsidR="009E215C" w:rsidRPr="004C5A7A" w14:paraId="70EF470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B1E440"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Fixed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auto"/>
            <w:vAlign w:val="center"/>
          </w:tcPr>
          <w:p w14:paraId="7A8E2C5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46</w:t>
            </w:r>
          </w:p>
        </w:tc>
        <w:tc>
          <w:tcPr>
            <w:tcW w:w="3260" w:type="dxa"/>
            <w:tcBorders>
              <w:top w:val="nil"/>
              <w:left w:val="nil"/>
              <w:bottom w:val="nil"/>
              <w:right w:val="nil"/>
            </w:tcBorders>
            <w:shd w:val="clear" w:color="auto" w:fill="auto"/>
            <w:vAlign w:val="center"/>
          </w:tcPr>
          <w:p w14:paraId="3B48BFB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306</w:t>
            </w:r>
          </w:p>
        </w:tc>
      </w:tr>
      <w:tr w:rsidR="009E215C" w:rsidRPr="004C5A7A" w14:paraId="289A984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6842A23"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auto"/>
            <w:vAlign w:val="center"/>
          </w:tcPr>
          <w:p w14:paraId="375157D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46A44FE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270</w:t>
            </w:r>
          </w:p>
        </w:tc>
      </w:tr>
      <w:tr w:rsidR="009E215C" w:rsidRPr="004C5A7A" w14:paraId="11333AB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D1A913" w14:textId="77777777" w:rsidR="009E215C" w:rsidRPr="004C5A7A" w:rsidRDefault="009E215C">
            <w:pPr>
              <w:keepNext/>
              <w:keepLines/>
              <w:spacing w:before="40" w:after="40"/>
              <w:rPr>
                <w:rFonts w:ascii="Arial" w:hAnsi="Arial" w:cs="Arial"/>
                <w:sz w:val="14"/>
                <w:szCs w:val="14"/>
                <w:highlight w:val="yellow"/>
              </w:rPr>
            </w:pPr>
            <w:r w:rsidRPr="004C5A7A">
              <w:rPr>
                <w:rFonts w:ascii="Arial" w:hAnsi="Arial" w:cs="Arial"/>
                <w:color w:val="000000"/>
                <w:sz w:val="14"/>
                <w:szCs w:val="14"/>
              </w:rPr>
              <w:t xml:space="preserve">Total </w:t>
            </w:r>
            <w:proofErr w:type="spellStart"/>
            <w:r w:rsidRPr="004C5A7A">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auto"/>
            <w:vAlign w:val="center"/>
          </w:tcPr>
          <w:p w14:paraId="7F50155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38,527</w:t>
            </w:r>
          </w:p>
        </w:tc>
        <w:tc>
          <w:tcPr>
            <w:tcW w:w="3260" w:type="dxa"/>
            <w:tcBorders>
              <w:top w:val="nil"/>
              <w:left w:val="nil"/>
              <w:bottom w:val="nil"/>
              <w:right w:val="nil"/>
            </w:tcBorders>
            <w:shd w:val="clear" w:color="auto" w:fill="auto"/>
            <w:vAlign w:val="center"/>
          </w:tcPr>
          <w:p w14:paraId="3E4FA9D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38,866</w:t>
            </w:r>
          </w:p>
        </w:tc>
      </w:tr>
      <w:tr w:rsidR="009E215C" w:rsidRPr="004C5A7A" w14:paraId="1652438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5FDB90" w14:textId="77777777" w:rsidR="009E215C" w:rsidRPr="004C5A7A" w:rsidRDefault="009E215C">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auto"/>
            <w:vAlign w:val="center"/>
          </w:tcPr>
          <w:p w14:paraId="79770AC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auto"/>
            <w:vAlign w:val="center"/>
          </w:tcPr>
          <w:p w14:paraId="66E5BB6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9E215C" w:rsidRPr="004C5A7A" w14:paraId="1F2F075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F5F406" w14:textId="77777777" w:rsidR="009E215C" w:rsidRPr="004C5A7A" w:rsidRDefault="009E215C">
            <w:pPr>
              <w:keepNext/>
              <w:keepLines/>
              <w:spacing w:before="40" w:after="40"/>
              <w:rPr>
                <w:rFonts w:ascii="Arial" w:hAnsi="Arial" w:cs="Arial"/>
                <w:sz w:val="14"/>
                <w:szCs w:val="14"/>
                <w:highlight w:val="yellow"/>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329F83C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20,049</w:t>
            </w:r>
          </w:p>
        </w:tc>
        <w:tc>
          <w:tcPr>
            <w:tcW w:w="3260" w:type="dxa"/>
            <w:tcBorders>
              <w:top w:val="nil"/>
              <w:left w:val="nil"/>
              <w:bottom w:val="nil"/>
              <w:right w:val="nil"/>
            </w:tcBorders>
            <w:shd w:val="clear" w:color="auto" w:fill="auto"/>
            <w:vAlign w:val="center"/>
          </w:tcPr>
          <w:p w14:paraId="2C8FAEB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18,556</w:t>
            </w:r>
          </w:p>
        </w:tc>
      </w:tr>
      <w:tr w:rsidR="009E215C" w:rsidRPr="004C5A7A" w14:paraId="3405612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38578F"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Amounts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auto"/>
            <w:vAlign w:val="center"/>
          </w:tcPr>
          <w:p w14:paraId="0E83FE7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11,786</w:t>
            </w:r>
          </w:p>
        </w:tc>
        <w:tc>
          <w:tcPr>
            <w:tcW w:w="3260" w:type="dxa"/>
            <w:tcBorders>
              <w:top w:val="nil"/>
              <w:left w:val="nil"/>
              <w:bottom w:val="nil"/>
              <w:right w:val="nil"/>
            </w:tcBorders>
            <w:shd w:val="clear" w:color="auto" w:fill="auto"/>
            <w:vAlign w:val="center"/>
          </w:tcPr>
          <w:p w14:paraId="78C4E15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4,512</w:t>
            </w:r>
          </w:p>
        </w:tc>
      </w:tr>
      <w:tr w:rsidR="009E215C" w:rsidRPr="004C5A7A" w14:paraId="796BE75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6C1484"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465BEA8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1,135</w:t>
            </w:r>
          </w:p>
        </w:tc>
        <w:tc>
          <w:tcPr>
            <w:tcW w:w="3260" w:type="dxa"/>
            <w:tcBorders>
              <w:top w:val="nil"/>
              <w:left w:val="nil"/>
              <w:bottom w:val="nil"/>
              <w:right w:val="nil"/>
            </w:tcBorders>
            <w:shd w:val="clear" w:color="auto" w:fill="auto"/>
            <w:vAlign w:val="center"/>
          </w:tcPr>
          <w:p w14:paraId="4F40864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1,250</w:t>
            </w:r>
          </w:p>
        </w:tc>
      </w:tr>
      <w:tr w:rsidR="009E215C" w:rsidRPr="004C5A7A" w14:paraId="145A1CB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980D57"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Debt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from</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auto"/>
            <w:vAlign w:val="center"/>
          </w:tcPr>
          <w:p w14:paraId="534496C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1,051</w:t>
            </w:r>
          </w:p>
        </w:tc>
        <w:tc>
          <w:tcPr>
            <w:tcW w:w="3260" w:type="dxa"/>
            <w:tcBorders>
              <w:top w:val="nil"/>
              <w:left w:val="nil"/>
              <w:bottom w:val="nil"/>
              <w:right w:val="nil"/>
            </w:tcBorders>
            <w:shd w:val="clear" w:color="auto" w:fill="auto"/>
            <w:vAlign w:val="center"/>
          </w:tcPr>
          <w:p w14:paraId="09581CE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151</w:t>
            </w:r>
          </w:p>
        </w:tc>
      </w:tr>
      <w:tr w:rsidR="009E215C" w:rsidRPr="004C5A7A" w14:paraId="21B3E3A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0B8A6A"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Insurance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auto"/>
            <w:vAlign w:val="center"/>
          </w:tcPr>
          <w:p w14:paraId="35C9F5B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6,077</w:t>
            </w:r>
          </w:p>
        </w:tc>
        <w:tc>
          <w:tcPr>
            <w:tcW w:w="3260" w:type="dxa"/>
            <w:tcBorders>
              <w:top w:val="nil"/>
              <w:left w:val="nil"/>
              <w:bottom w:val="nil"/>
              <w:right w:val="nil"/>
            </w:tcBorders>
            <w:shd w:val="clear" w:color="auto" w:fill="auto"/>
            <w:vAlign w:val="center"/>
          </w:tcPr>
          <w:p w14:paraId="1FE4A5A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12,610</w:t>
            </w:r>
          </w:p>
        </w:tc>
      </w:tr>
      <w:tr w:rsidR="009E215C" w:rsidRPr="004C5A7A" w14:paraId="62B93F2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30DA9B"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263F1F7D"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5EA7B43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33</w:t>
            </w:r>
          </w:p>
        </w:tc>
      </w:tr>
      <w:tr w:rsidR="009E215C" w:rsidRPr="004C5A7A" w14:paraId="74ED522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B7A1B6" w14:textId="77777777" w:rsidR="009E215C" w:rsidRPr="004C5A7A" w:rsidRDefault="009E215C">
            <w:pPr>
              <w:keepNext/>
              <w:keepLines/>
              <w:spacing w:before="40" w:after="40"/>
              <w:rPr>
                <w:rFonts w:ascii="Arial" w:hAnsi="Arial" w:cs="Arial"/>
                <w:sz w:val="14"/>
                <w:szCs w:val="14"/>
                <w:highlight w:val="yellow"/>
              </w:rPr>
            </w:pPr>
            <w:r w:rsidRPr="004C5A7A">
              <w:rPr>
                <w:rFonts w:ascii="Arial" w:hAnsi="Arial" w:cs="Arial"/>
                <w:color w:val="000000"/>
                <w:sz w:val="14"/>
                <w:szCs w:val="14"/>
              </w:rPr>
              <w:t>Non-</w:t>
            </w: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5AC3C35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1,221</w:t>
            </w:r>
          </w:p>
        </w:tc>
        <w:tc>
          <w:tcPr>
            <w:tcW w:w="3260" w:type="dxa"/>
            <w:tcBorders>
              <w:top w:val="nil"/>
              <w:left w:val="nil"/>
              <w:bottom w:val="nil"/>
              <w:right w:val="nil"/>
            </w:tcBorders>
            <w:shd w:val="clear" w:color="auto" w:fill="auto"/>
            <w:vAlign w:val="center"/>
          </w:tcPr>
          <w:p w14:paraId="2328F28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305</w:t>
            </w:r>
          </w:p>
        </w:tc>
      </w:tr>
      <w:tr w:rsidR="009E215C" w:rsidRPr="004C5A7A" w14:paraId="1FEA680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748617" w14:textId="77777777" w:rsidR="009E215C" w:rsidRPr="004C5A7A" w:rsidRDefault="009E215C">
            <w:pPr>
              <w:keepNext/>
              <w:keepLines/>
              <w:ind w:left="113"/>
              <w:rPr>
                <w:rFonts w:ascii="Arial" w:hAnsi="Arial" w:cs="Arial"/>
                <w:color w:val="000000"/>
                <w:sz w:val="14"/>
                <w:szCs w:val="14"/>
              </w:rPr>
            </w:pPr>
            <w:proofErr w:type="spellStart"/>
            <w:r w:rsidRPr="004C5A7A">
              <w:rPr>
                <w:rFonts w:ascii="Arial" w:hAnsi="Arial" w:cs="Arial"/>
                <w:b w:val="0"/>
                <w:bCs w:val="0"/>
                <w:color w:val="000000"/>
                <w:sz w:val="14"/>
                <w:szCs w:val="14"/>
              </w:rPr>
              <w:t>Deferred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tax</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auto"/>
            <w:vAlign w:val="center"/>
          </w:tcPr>
          <w:p w14:paraId="444912E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845</w:t>
            </w:r>
          </w:p>
        </w:tc>
        <w:tc>
          <w:tcPr>
            <w:tcW w:w="3260" w:type="dxa"/>
            <w:tcBorders>
              <w:top w:val="nil"/>
              <w:left w:val="nil"/>
              <w:bottom w:val="nil"/>
              <w:right w:val="nil"/>
            </w:tcBorders>
            <w:shd w:val="clear" w:color="auto" w:fill="auto"/>
            <w:vAlign w:val="center"/>
          </w:tcPr>
          <w:p w14:paraId="4267B72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w:t>
            </w:r>
          </w:p>
        </w:tc>
      </w:tr>
      <w:tr w:rsidR="009E215C" w:rsidRPr="004C5A7A" w14:paraId="1EF8A9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A6917C" w14:textId="77777777" w:rsidR="009E215C" w:rsidRPr="004C5A7A" w:rsidRDefault="009E215C">
            <w:pPr>
              <w:keepNext/>
              <w:keepLines/>
              <w:ind w:left="113"/>
              <w:rPr>
                <w:rFonts w:ascii="Arial" w:hAnsi="Arial" w:cs="Arial"/>
                <w:b w:val="0"/>
                <w:bCs w:val="0"/>
                <w:sz w:val="14"/>
                <w:szCs w:val="14"/>
                <w:highlight w:val="yellow"/>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auto"/>
            <w:vAlign w:val="center"/>
          </w:tcPr>
          <w:p w14:paraId="57284F49"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376</w:t>
            </w:r>
          </w:p>
        </w:tc>
        <w:tc>
          <w:tcPr>
            <w:tcW w:w="3260" w:type="dxa"/>
            <w:tcBorders>
              <w:top w:val="nil"/>
              <w:left w:val="nil"/>
              <w:bottom w:val="nil"/>
              <w:right w:val="nil"/>
            </w:tcBorders>
            <w:shd w:val="clear" w:color="auto" w:fill="auto"/>
            <w:vAlign w:val="center"/>
          </w:tcPr>
          <w:p w14:paraId="40768C7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color w:val="000000"/>
                <w:sz w:val="14"/>
                <w:szCs w:val="14"/>
              </w:rPr>
              <w:t>305</w:t>
            </w:r>
          </w:p>
        </w:tc>
      </w:tr>
      <w:tr w:rsidR="009E215C" w:rsidRPr="004C5A7A" w14:paraId="40565E4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9D7406" w14:textId="77777777" w:rsidR="009E215C" w:rsidRPr="004C5A7A" w:rsidRDefault="009E215C">
            <w:pPr>
              <w:keepNext/>
              <w:keepLines/>
              <w:spacing w:before="40" w:after="40"/>
              <w:rPr>
                <w:rFonts w:ascii="Arial" w:hAnsi="Arial" w:cs="Arial"/>
                <w:sz w:val="14"/>
                <w:szCs w:val="14"/>
                <w:highlight w:val="yellow"/>
              </w:rPr>
            </w:pPr>
            <w:proofErr w:type="spellStart"/>
            <w:r w:rsidRPr="004C5A7A">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6778D75B"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17,257</w:t>
            </w:r>
          </w:p>
        </w:tc>
        <w:tc>
          <w:tcPr>
            <w:tcW w:w="3260" w:type="dxa"/>
            <w:tcBorders>
              <w:top w:val="nil"/>
              <w:left w:val="nil"/>
              <w:bottom w:val="nil"/>
              <w:right w:val="nil"/>
            </w:tcBorders>
            <w:shd w:val="clear" w:color="auto" w:fill="auto"/>
            <w:vAlign w:val="center"/>
          </w:tcPr>
          <w:p w14:paraId="21EA9B5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20,005</w:t>
            </w:r>
          </w:p>
        </w:tc>
      </w:tr>
      <w:tr w:rsidR="009E215C" w:rsidRPr="004C5A7A" w14:paraId="31CB82A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C6BA56E"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Capital </w:t>
            </w:r>
            <w:proofErr w:type="spellStart"/>
            <w:r w:rsidRPr="004C5A7A">
              <w:rPr>
                <w:rFonts w:ascii="Arial" w:hAnsi="Arial" w:cs="Arial"/>
                <w:b w:val="0"/>
                <w:bCs w:val="0"/>
                <w:color w:val="000000"/>
                <w:sz w:val="14"/>
                <w:szCs w:val="14"/>
              </w:rPr>
              <w:t>and</w:t>
            </w:r>
            <w:proofErr w:type="spellEnd"/>
            <w:r w:rsidRPr="004C5A7A">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auto"/>
            <w:vAlign w:val="center"/>
          </w:tcPr>
          <w:p w14:paraId="58B64C6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12,932</w:t>
            </w:r>
          </w:p>
        </w:tc>
        <w:tc>
          <w:tcPr>
            <w:tcW w:w="3260" w:type="dxa"/>
            <w:tcBorders>
              <w:top w:val="nil"/>
              <w:left w:val="nil"/>
              <w:bottom w:val="nil"/>
              <w:right w:val="nil"/>
            </w:tcBorders>
            <w:shd w:val="clear" w:color="auto" w:fill="auto"/>
            <w:vAlign w:val="center"/>
          </w:tcPr>
          <w:p w14:paraId="649E8E7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21,895</w:t>
            </w:r>
          </w:p>
        </w:tc>
      </w:tr>
      <w:tr w:rsidR="009E215C" w:rsidRPr="004C5A7A" w14:paraId="22BBCDD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5F44CF"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Accumulated</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losses</w:t>
            </w:r>
            <w:proofErr w:type="spellEnd"/>
          </w:p>
        </w:tc>
        <w:tc>
          <w:tcPr>
            <w:tcW w:w="3260" w:type="dxa"/>
            <w:tcBorders>
              <w:top w:val="nil"/>
              <w:left w:val="nil"/>
              <w:bottom w:val="nil"/>
              <w:right w:val="nil"/>
            </w:tcBorders>
            <w:shd w:val="clear" w:color="auto" w:fill="auto"/>
            <w:vAlign w:val="center"/>
          </w:tcPr>
          <w:p w14:paraId="4CDFAFB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1,907</w:t>
            </w:r>
          </w:p>
        </w:tc>
        <w:tc>
          <w:tcPr>
            <w:tcW w:w="3260" w:type="dxa"/>
            <w:tcBorders>
              <w:top w:val="nil"/>
              <w:left w:val="nil"/>
              <w:bottom w:val="nil"/>
              <w:right w:val="nil"/>
            </w:tcBorders>
            <w:shd w:val="clear" w:color="auto" w:fill="auto"/>
            <w:vAlign w:val="center"/>
          </w:tcPr>
          <w:p w14:paraId="3C65A6C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(4,683)</w:t>
            </w:r>
          </w:p>
        </w:tc>
      </w:tr>
      <w:tr w:rsidR="009E215C" w:rsidRPr="004C5A7A" w14:paraId="555DFF6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D4E875" w14:textId="77777777" w:rsidR="009E215C" w:rsidRPr="004C5A7A" w:rsidRDefault="009E215C">
            <w:pPr>
              <w:keepNext/>
              <w:keepLines/>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comprehensive</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auto"/>
            <w:vAlign w:val="center"/>
          </w:tcPr>
          <w:p w14:paraId="17E6963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2,418</w:t>
            </w:r>
          </w:p>
        </w:tc>
        <w:tc>
          <w:tcPr>
            <w:tcW w:w="3260" w:type="dxa"/>
            <w:tcBorders>
              <w:top w:val="nil"/>
              <w:left w:val="nil"/>
              <w:bottom w:val="nil"/>
              <w:right w:val="nil"/>
            </w:tcBorders>
            <w:shd w:val="clear" w:color="auto" w:fill="auto"/>
            <w:vAlign w:val="center"/>
          </w:tcPr>
          <w:p w14:paraId="041C866F"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2,793</w:t>
            </w:r>
          </w:p>
        </w:tc>
      </w:tr>
      <w:tr w:rsidR="009E215C" w:rsidRPr="004C5A7A" w14:paraId="36AB414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1B08C7" w14:textId="77777777" w:rsidR="009E215C" w:rsidRPr="004C5A7A" w:rsidRDefault="009E215C">
            <w:pPr>
              <w:keepNext/>
              <w:keepLines/>
              <w:spacing w:before="40" w:after="40"/>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Liabilities</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and</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auto"/>
            <w:vAlign w:val="center"/>
          </w:tcPr>
          <w:p w14:paraId="322C7A4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38,527</w:t>
            </w:r>
          </w:p>
        </w:tc>
        <w:tc>
          <w:tcPr>
            <w:tcW w:w="3260" w:type="dxa"/>
            <w:tcBorders>
              <w:top w:val="nil"/>
              <w:left w:val="nil"/>
              <w:bottom w:val="nil"/>
              <w:right w:val="nil"/>
            </w:tcBorders>
            <w:shd w:val="clear" w:color="auto" w:fill="auto"/>
            <w:vAlign w:val="center"/>
          </w:tcPr>
          <w:p w14:paraId="6F5BFAA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color w:val="000000"/>
                <w:sz w:val="14"/>
                <w:szCs w:val="14"/>
              </w:rPr>
              <w:t>38,866</w:t>
            </w:r>
          </w:p>
        </w:tc>
      </w:tr>
      <w:tr w:rsidR="009E215C" w:rsidRPr="004C5A7A" w14:paraId="793C2A4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F49A4F" w14:textId="77777777" w:rsidR="009E215C" w:rsidRPr="004C5A7A" w:rsidRDefault="009E215C">
            <w:pPr>
              <w:keepNext/>
              <w:keepLines/>
              <w:spacing w:before="40" w:after="40"/>
              <w:rPr>
                <w:rFonts w:ascii="Arial" w:hAnsi="Arial" w:cs="Arial"/>
                <w:color w:val="000000"/>
                <w:sz w:val="14"/>
                <w:szCs w:val="14"/>
              </w:rPr>
            </w:pPr>
            <w:proofErr w:type="spellStart"/>
            <w:r w:rsidRPr="004C5A7A">
              <w:rPr>
                <w:rFonts w:ascii="Arial" w:hAnsi="Arial" w:cs="Arial"/>
                <w:sz w:val="14"/>
                <w:szCs w:val="14"/>
              </w:rPr>
              <w:t>Attributable</w:t>
            </w:r>
            <w:proofErr w:type="spellEnd"/>
            <w:r w:rsidRPr="004C5A7A">
              <w:rPr>
                <w:rFonts w:ascii="Arial" w:hAnsi="Arial" w:cs="Arial"/>
                <w:sz w:val="14"/>
                <w:szCs w:val="14"/>
              </w:rPr>
              <w:t xml:space="preserve"> to BB Seguridade</w:t>
            </w:r>
          </w:p>
        </w:tc>
        <w:tc>
          <w:tcPr>
            <w:tcW w:w="3260" w:type="dxa"/>
            <w:tcBorders>
              <w:top w:val="nil"/>
              <w:left w:val="nil"/>
              <w:bottom w:val="nil"/>
              <w:right w:val="nil"/>
            </w:tcBorders>
            <w:shd w:val="clear" w:color="auto" w:fill="auto"/>
            <w:vAlign w:val="center"/>
          </w:tcPr>
          <w:p w14:paraId="5CD0AE27"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 xml:space="preserve">                12,943</w:t>
            </w:r>
          </w:p>
        </w:tc>
        <w:tc>
          <w:tcPr>
            <w:tcW w:w="3260" w:type="dxa"/>
            <w:tcBorders>
              <w:top w:val="nil"/>
              <w:left w:val="nil"/>
              <w:bottom w:val="nil"/>
              <w:right w:val="nil"/>
            </w:tcBorders>
            <w:shd w:val="clear" w:color="auto" w:fill="auto"/>
            <w:vAlign w:val="center"/>
          </w:tcPr>
          <w:p w14:paraId="4CB5E5C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15,005</w:t>
            </w:r>
          </w:p>
        </w:tc>
      </w:tr>
      <w:tr w:rsidR="009E215C" w:rsidRPr="004C5A7A" w14:paraId="1DCBC98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2EC7BA" w14:textId="77777777" w:rsidR="009E215C" w:rsidRPr="004C5A7A" w:rsidRDefault="009E215C">
            <w:pPr>
              <w:keepNext/>
              <w:keepLines/>
              <w:ind w:left="113"/>
              <w:rPr>
                <w:rFonts w:ascii="Arial" w:hAnsi="Arial" w:cs="Arial"/>
                <w:b w:val="0"/>
                <w:bCs w:val="0"/>
                <w:color w:val="000000"/>
                <w:sz w:val="14"/>
                <w:szCs w:val="14"/>
              </w:rPr>
            </w:pPr>
            <w:proofErr w:type="spellStart"/>
            <w:r w:rsidRPr="004C5A7A">
              <w:rPr>
                <w:rFonts w:ascii="Arial" w:hAnsi="Arial" w:cs="Arial"/>
                <w:b w:val="0"/>
                <w:bCs w:val="0"/>
                <w:color w:val="000000"/>
                <w:sz w:val="14"/>
                <w:szCs w:val="14"/>
              </w:rPr>
              <w:t>Adjustment</w:t>
            </w:r>
            <w:proofErr w:type="spellEnd"/>
            <w:r w:rsidRPr="004C5A7A">
              <w:rPr>
                <w:rFonts w:ascii="Arial" w:hAnsi="Arial" w:cs="Arial"/>
                <w:b w:val="0"/>
                <w:bCs w:val="0"/>
                <w:color w:val="000000"/>
                <w:sz w:val="14"/>
                <w:szCs w:val="14"/>
              </w:rPr>
              <w:t xml:space="preserve"> </w:t>
            </w:r>
            <w:r w:rsidRPr="004C5A7A">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61B0EDA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(1,350)</w:t>
            </w:r>
          </w:p>
        </w:tc>
        <w:tc>
          <w:tcPr>
            <w:tcW w:w="3260" w:type="dxa"/>
            <w:tcBorders>
              <w:top w:val="nil"/>
              <w:left w:val="nil"/>
              <w:bottom w:val="nil"/>
              <w:right w:val="nil"/>
            </w:tcBorders>
            <w:shd w:val="clear" w:color="auto" w:fill="auto"/>
            <w:vAlign w:val="center"/>
          </w:tcPr>
          <w:p w14:paraId="5B99292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color w:val="000000"/>
                <w:sz w:val="14"/>
                <w:szCs w:val="14"/>
              </w:rPr>
              <w:t>(3,750)</w:t>
            </w:r>
          </w:p>
        </w:tc>
      </w:tr>
      <w:tr w:rsidR="009E215C" w:rsidRPr="004C5A7A" w14:paraId="579A978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2E001C03" w14:textId="77777777" w:rsidR="009E215C" w:rsidRPr="004C5A7A" w:rsidRDefault="009E215C">
            <w:pPr>
              <w:keepNext/>
              <w:keepLines/>
              <w:spacing w:before="40" w:after="40"/>
              <w:rPr>
                <w:rFonts w:ascii="Arial" w:hAnsi="Arial" w:cs="Arial"/>
                <w:color w:val="000000"/>
                <w:sz w:val="14"/>
                <w:szCs w:val="14"/>
              </w:rPr>
            </w:pPr>
            <w:proofErr w:type="spellStart"/>
            <w:r w:rsidRPr="004C5A7A">
              <w:rPr>
                <w:rFonts w:ascii="Arial" w:hAnsi="Arial" w:cs="Arial"/>
                <w:sz w:val="14"/>
                <w:szCs w:val="14"/>
              </w:rPr>
              <w:t>Investment</w:t>
            </w:r>
            <w:proofErr w:type="spellEnd"/>
            <w:r w:rsidRPr="004C5A7A">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auto"/>
            <w:vAlign w:val="center"/>
          </w:tcPr>
          <w:p w14:paraId="553F673F"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11,593</w:t>
            </w:r>
          </w:p>
        </w:tc>
        <w:tc>
          <w:tcPr>
            <w:tcW w:w="3260" w:type="dxa"/>
            <w:tcBorders>
              <w:top w:val="nil"/>
              <w:left w:val="nil"/>
              <w:bottom w:val="single" w:sz="2" w:space="0" w:color="1F3864" w:themeColor="accent1" w:themeShade="80"/>
              <w:right w:val="nil"/>
            </w:tcBorders>
            <w:shd w:val="clear" w:color="auto" w:fill="auto"/>
            <w:vAlign w:val="center"/>
          </w:tcPr>
          <w:p w14:paraId="7C68B2A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color w:val="000000"/>
                <w:sz w:val="14"/>
                <w:szCs w:val="14"/>
              </w:rPr>
              <w:t>11,255</w:t>
            </w:r>
          </w:p>
        </w:tc>
      </w:tr>
    </w:tbl>
    <w:p w14:paraId="60B49878" w14:textId="77777777" w:rsidR="009E215C" w:rsidRPr="00792C91" w:rsidRDefault="009E215C" w:rsidP="00A76AF4">
      <w:pPr>
        <w:pStyle w:val="PargrafodaLista"/>
        <w:numPr>
          <w:ilvl w:val="0"/>
          <w:numId w:val="33"/>
        </w:numPr>
        <w:spacing w:after="0" w:line="276" w:lineRule="auto"/>
        <w:ind w:left="284" w:hanging="284"/>
        <w:rPr>
          <w:rFonts w:ascii="Arial" w:eastAsia="Times New Roman" w:hAnsi="Arial" w:cs="Arial"/>
          <w:bCs/>
          <w:spacing w:val="-2"/>
          <w:sz w:val="14"/>
          <w:szCs w:val="16"/>
          <w:lang w:val="en-US" w:eastAsia="pt-BR"/>
        </w:rPr>
      </w:pPr>
      <w:r w:rsidRPr="00792C91">
        <w:rPr>
          <w:rFonts w:ascii="Arial" w:eastAsia="Times New Roman" w:hAnsi="Arial" w:cs="Arial"/>
          <w:bCs/>
          <w:spacing w:val="-2"/>
          <w:sz w:val="14"/>
          <w:szCs w:val="16"/>
          <w:lang w:val="en-US" w:eastAsia="pt-BR"/>
        </w:rPr>
        <w:t>Balance with a one-month lag.</w:t>
      </w:r>
    </w:p>
    <w:p w14:paraId="0B4A1FCB" w14:textId="77777777" w:rsidR="009E215C" w:rsidRPr="00792C91" w:rsidRDefault="009E215C" w:rsidP="00A76AF4">
      <w:pPr>
        <w:pStyle w:val="PargrafodaLista"/>
        <w:numPr>
          <w:ilvl w:val="0"/>
          <w:numId w:val="33"/>
        </w:numPr>
        <w:spacing w:after="0" w:line="276" w:lineRule="auto"/>
        <w:ind w:left="284" w:hanging="284"/>
        <w:rPr>
          <w:rFonts w:ascii="Arial" w:eastAsia="Times New Roman" w:hAnsi="Arial" w:cs="Arial"/>
          <w:bCs/>
          <w:spacing w:val="-2"/>
          <w:sz w:val="14"/>
          <w:szCs w:val="16"/>
          <w:lang w:val="en-US" w:eastAsia="pt-BR"/>
        </w:rPr>
      </w:pPr>
      <w:r w:rsidRPr="00792C91">
        <w:rPr>
          <w:rFonts w:ascii="Arial" w:eastAsia="Times New Roman" w:hAnsi="Arial" w:cs="Arial"/>
          <w:bCs/>
          <w:spacing w:val="-2"/>
          <w:sz w:val="14"/>
          <w:szCs w:val="16"/>
          <w:lang w:val="en-US" w:eastAsia="pt-BR"/>
        </w:rPr>
        <w:t>Despite the one-month delay in the accounting recognition of equity method, the dividends received in December of the respective years are reflected in the investment balances, R$ 3,750 thousand on 12,31,2023 and R$1,350 thousand on 12,31,2024.</w:t>
      </w:r>
    </w:p>
    <w:p w14:paraId="35B26D50" w14:textId="77777777" w:rsidR="009E215C" w:rsidRPr="004C5A7A" w:rsidRDefault="009E215C" w:rsidP="009E215C">
      <w:pPr>
        <w:rPr>
          <w:rFonts w:ascii="Arial" w:hAnsi="Arial" w:cs="Arial"/>
          <w:lang w:val="en-US" w:eastAsia="zh-CN"/>
        </w:rPr>
      </w:pPr>
    </w:p>
    <w:p w14:paraId="1918633E" w14:textId="77777777" w:rsidR="009E215C" w:rsidRPr="004C5A7A" w:rsidRDefault="009E215C" w:rsidP="009E215C">
      <w:pPr>
        <w:pStyle w:val="01-TtulodeNota"/>
        <w:spacing w:before="0" w:after="0"/>
        <w:rPr>
          <w:rFonts w:cs="Arial"/>
          <w:b w:val="0"/>
          <w:sz w:val="18"/>
          <w:lang w:val="en-US" w:eastAsia="zh-CN"/>
        </w:rPr>
      </w:pPr>
      <w:r w:rsidRPr="004C5A7A">
        <w:rPr>
          <w:rFonts w:cs="Arial"/>
          <w:b w:val="0"/>
          <w:sz w:val="18"/>
          <w:lang w:val="en-US" w:eastAsia="zh-CN"/>
        </w:rPr>
        <w:t>The impacts of CPC 50 [IFRS 17], in 2024 and 2023, and of CPC 48 [IFRS 9], in 2023, on Shareholders' Equity, for comparability purposes, are shown in the table below:</w:t>
      </w:r>
    </w:p>
    <w:p w14:paraId="57A3F872"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9E215C" w:rsidRPr="004C5A7A" w14:paraId="75A906A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7F0CB9" w14:textId="77777777" w:rsidR="009E215C" w:rsidRPr="004C5A7A" w:rsidRDefault="009E215C">
            <w:pPr>
              <w:jc w:val="center"/>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17F0D8"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Nov</w:t>
            </w:r>
            <w:proofErr w:type="spellEnd"/>
            <w:r w:rsidRPr="004C5A7A">
              <w:rPr>
                <w:rFonts w:ascii="Arial" w:hAnsi="Arial" w:cs="Arial"/>
                <w:sz w:val="14"/>
                <w:szCs w:val="14"/>
              </w:rPr>
              <w:t xml:space="preserve"> 30, 2024 </w:t>
            </w:r>
            <w:r w:rsidRPr="004C5A7A">
              <w:rPr>
                <w:rFonts w:ascii="Arial" w:hAnsi="Arial" w:cs="Arial"/>
                <w:sz w:val="14"/>
                <w:szCs w:val="14"/>
                <w:vertAlign w:val="superscript"/>
              </w:rPr>
              <w:t>(1)</w:t>
            </w:r>
          </w:p>
        </w:tc>
        <w:tc>
          <w:tcPr>
            <w:tcW w:w="278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A7F6DEE"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Nov</w:t>
            </w:r>
            <w:proofErr w:type="spellEnd"/>
            <w:r w:rsidRPr="004C5A7A">
              <w:rPr>
                <w:rFonts w:ascii="Arial" w:hAnsi="Arial" w:cs="Arial"/>
                <w:sz w:val="14"/>
                <w:szCs w:val="14"/>
              </w:rPr>
              <w:t xml:space="preserve"> 30, 2023 </w:t>
            </w:r>
            <w:r w:rsidRPr="004C5A7A">
              <w:rPr>
                <w:rFonts w:ascii="Arial" w:hAnsi="Arial" w:cs="Arial"/>
                <w:sz w:val="14"/>
                <w:szCs w:val="14"/>
                <w:vertAlign w:val="superscript"/>
              </w:rPr>
              <w:t>(1)</w:t>
            </w:r>
          </w:p>
        </w:tc>
      </w:tr>
      <w:tr w:rsidR="009E215C" w:rsidRPr="004C5A7A" w14:paraId="709403F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nil"/>
              <w:right w:val="nil"/>
            </w:tcBorders>
            <w:shd w:val="clear" w:color="auto" w:fill="auto"/>
            <w:vAlign w:val="center"/>
          </w:tcPr>
          <w:p w14:paraId="7071CBB3" w14:textId="77777777" w:rsidR="009E215C" w:rsidRPr="004C5A7A" w:rsidRDefault="009E215C">
            <w:pPr>
              <w:keepNext/>
              <w:keepLines/>
              <w:rPr>
                <w:rFonts w:ascii="Arial" w:eastAsia="Times New Roman" w:hAnsi="Arial" w:cs="Arial"/>
                <w:b w:val="0"/>
                <w:bCs w:val="0"/>
                <w:spacing w:val="-2"/>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BRGAAP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IFRS</w:t>
            </w:r>
          </w:p>
        </w:tc>
        <w:tc>
          <w:tcPr>
            <w:tcW w:w="1428" w:type="dxa"/>
            <w:tcBorders>
              <w:top w:val="single" w:sz="2" w:space="0" w:color="1F3864" w:themeColor="accent1" w:themeShade="80"/>
              <w:left w:val="nil"/>
              <w:bottom w:val="nil"/>
              <w:right w:val="nil"/>
            </w:tcBorders>
            <w:shd w:val="clear" w:color="auto" w:fill="auto"/>
            <w:vAlign w:val="center"/>
          </w:tcPr>
          <w:p w14:paraId="58A07C59"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17,257 </w:t>
            </w:r>
          </w:p>
        </w:tc>
        <w:tc>
          <w:tcPr>
            <w:tcW w:w="2785" w:type="dxa"/>
            <w:tcBorders>
              <w:top w:val="single" w:sz="2" w:space="0" w:color="1F3864" w:themeColor="accent1" w:themeShade="80"/>
              <w:left w:val="nil"/>
              <w:bottom w:val="nil"/>
              <w:right w:val="nil"/>
            </w:tcBorders>
            <w:shd w:val="clear" w:color="auto" w:fill="auto"/>
            <w:vAlign w:val="center"/>
          </w:tcPr>
          <w:p w14:paraId="1FCF58F2"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20,005 </w:t>
            </w:r>
          </w:p>
        </w:tc>
      </w:tr>
      <w:tr w:rsidR="009E215C" w:rsidRPr="004C5A7A" w14:paraId="19FC9F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nil"/>
              <w:left w:val="nil"/>
              <w:bottom w:val="single" w:sz="2" w:space="0" w:color="1F3864" w:themeColor="accent1" w:themeShade="80"/>
              <w:right w:val="nil"/>
            </w:tcBorders>
            <w:shd w:val="clear" w:color="auto" w:fill="auto"/>
            <w:vAlign w:val="center"/>
          </w:tcPr>
          <w:p w14:paraId="796A1D6F"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b w:val="0"/>
                <w:bCs w:val="0"/>
                <w:sz w:val="14"/>
                <w:szCs w:val="14"/>
              </w:rPr>
              <w:t>Equity</w:t>
            </w:r>
            <w:proofErr w:type="spellEnd"/>
            <w:r w:rsidRPr="004C5A7A">
              <w:rPr>
                <w:rFonts w:ascii="Arial" w:hAnsi="Arial" w:cs="Arial"/>
                <w:b w:val="0"/>
                <w:bCs w:val="0"/>
                <w:sz w:val="14"/>
                <w:szCs w:val="14"/>
              </w:rPr>
              <w:t xml:space="preserve"> - ANSGAAP</w:t>
            </w:r>
          </w:p>
        </w:tc>
        <w:tc>
          <w:tcPr>
            <w:tcW w:w="1428" w:type="dxa"/>
            <w:tcBorders>
              <w:top w:val="nil"/>
              <w:left w:val="nil"/>
              <w:bottom w:val="single" w:sz="2" w:space="0" w:color="1F3864" w:themeColor="accent1" w:themeShade="80"/>
              <w:right w:val="nil"/>
            </w:tcBorders>
            <w:shd w:val="clear" w:color="auto" w:fill="auto"/>
            <w:vAlign w:val="center"/>
          </w:tcPr>
          <w:p w14:paraId="76F8166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15,617 </w:t>
            </w:r>
          </w:p>
        </w:tc>
        <w:tc>
          <w:tcPr>
            <w:tcW w:w="2785" w:type="dxa"/>
            <w:tcBorders>
              <w:top w:val="nil"/>
              <w:left w:val="nil"/>
              <w:bottom w:val="single" w:sz="2" w:space="0" w:color="1F3864" w:themeColor="accent1" w:themeShade="80"/>
              <w:right w:val="nil"/>
            </w:tcBorders>
            <w:shd w:val="clear" w:color="auto" w:fill="auto"/>
            <w:vAlign w:val="center"/>
          </w:tcPr>
          <w:p w14:paraId="2680104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color w:val="000000"/>
                <w:sz w:val="14"/>
                <w:szCs w:val="14"/>
              </w:rPr>
              <w:t xml:space="preserve">                              21,895 </w:t>
            </w:r>
          </w:p>
        </w:tc>
      </w:tr>
    </w:tbl>
    <w:p w14:paraId="0B857DD2" w14:textId="77777777" w:rsidR="009E215C" w:rsidRPr="004C5A7A" w:rsidRDefault="009E215C" w:rsidP="00A76AF4">
      <w:pPr>
        <w:pStyle w:val="PargrafodaLista"/>
        <w:keepNext/>
        <w:keepLines/>
        <w:numPr>
          <w:ilvl w:val="0"/>
          <w:numId w:val="31"/>
        </w:numPr>
        <w:spacing w:after="0" w:line="240" w:lineRule="auto"/>
        <w:ind w:left="284" w:hanging="284"/>
        <w:rPr>
          <w:rFonts w:ascii="Arial" w:eastAsia="Times New Roman" w:hAnsi="Arial" w:cs="Arial"/>
          <w:spacing w:val="-2"/>
          <w:sz w:val="14"/>
          <w:szCs w:val="16"/>
          <w:lang w:val="en-US" w:eastAsia="zh-CN"/>
        </w:rPr>
      </w:pPr>
      <w:r w:rsidRPr="004C5A7A">
        <w:rPr>
          <w:rFonts w:ascii="Arial" w:eastAsia="Times New Roman" w:hAnsi="Arial" w:cs="Arial"/>
          <w:spacing w:val="-2"/>
          <w:sz w:val="14"/>
          <w:szCs w:val="16"/>
          <w:lang w:val="en-US" w:eastAsia="zh-CN"/>
        </w:rPr>
        <w:t>Balance with a one-month lag.</w:t>
      </w:r>
    </w:p>
    <w:p w14:paraId="1B38A4F4" w14:textId="77777777"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lastRenderedPageBreak/>
        <w:t xml:space="preserve">c.4) </w:t>
      </w:r>
      <w:proofErr w:type="spellStart"/>
      <w:r w:rsidRPr="004C5A7A">
        <w:rPr>
          <w:rFonts w:ascii="Arial" w:eastAsia="Times New Roman" w:hAnsi="Arial" w:cs="Arial"/>
          <w:b/>
          <w:color w:val="1F3864" w:themeColor="accent1" w:themeShade="80"/>
          <w:spacing w:val="-2"/>
          <w:sz w:val="18"/>
          <w:szCs w:val="20"/>
          <w:lang w:val="en-US" w:eastAsia="pt-BR"/>
        </w:rPr>
        <w:t>Brasilcap</w:t>
      </w:r>
      <w:proofErr w:type="spellEnd"/>
    </w:p>
    <w:p w14:paraId="671CD8F0"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58BB6726" w14:textId="77777777" w:rsidR="009E215C" w:rsidRPr="004C5A7A" w:rsidRDefault="009E215C" w:rsidP="009E215C">
      <w:pPr>
        <w:spacing w:after="0" w:line="240" w:lineRule="auto"/>
        <w:rPr>
          <w:rFonts w:ascii="Arial" w:eastAsia="Times New Roman" w:hAnsi="Arial" w:cs="Arial"/>
          <w:spacing w:val="-2"/>
          <w:sz w:val="18"/>
          <w:szCs w:val="20"/>
          <w:lang w:val="en-US" w:eastAsia="zh-CN"/>
        </w:rPr>
      </w:pPr>
      <w:r w:rsidRPr="004C5A7A">
        <w:rPr>
          <w:rFonts w:ascii="Arial" w:eastAsia="Times New Roman" w:hAnsi="Arial" w:cs="Arial"/>
          <w:b/>
          <w:color w:val="1F3864" w:themeColor="accent1" w:themeShade="80"/>
          <w:spacing w:val="-2"/>
          <w:sz w:val="18"/>
          <w:szCs w:val="20"/>
          <w:lang w:val="en-US" w:eastAsia="pt-BR"/>
        </w:rPr>
        <w:t>Income Statement Information</w:t>
      </w:r>
    </w:p>
    <w:p w14:paraId="2870EF3A"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9E215C" w:rsidRPr="004C5A7A" w14:paraId="6DF3DF11"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96566B" w14:textId="77777777" w:rsidR="009E215C" w:rsidRPr="004C5A7A" w:rsidRDefault="009E215C">
            <w:pP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7E124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8EF0C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B6C4E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C5A7A">
              <w:rPr>
                <w:rFonts w:ascii="Arial" w:hAnsi="Arial" w:cs="Arial"/>
                <w:sz w:val="14"/>
                <w:szCs w:val="14"/>
              </w:rPr>
              <w:t>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AB9805"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2023</w:t>
            </w:r>
          </w:p>
        </w:tc>
      </w:tr>
      <w:tr w:rsidR="009E215C" w:rsidRPr="004C5A7A" w14:paraId="6569148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3FC1748E" w14:textId="77777777" w:rsidR="009E215C" w:rsidRPr="004C5A7A" w:rsidRDefault="009E215C">
            <w:pPr>
              <w:rPr>
                <w:rFonts w:ascii="Arial" w:hAnsi="Arial" w:cs="Arial"/>
                <w:sz w:val="14"/>
                <w:szCs w:val="14"/>
                <w:lang w:val="en-US"/>
              </w:rPr>
            </w:pPr>
            <w:r w:rsidRPr="004C5A7A">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shd w:val="clear" w:color="auto" w:fill="auto"/>
            <w:vAlign w:val="center"/>
          </w:tcPr>
          <w:p w14:paraId="7BA13C48"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shd w:val="clear" w:color="auto" w:fill="auto"/>
            <w:vAlign w:val="center"/>
          </w:tcPr>
          <w:p w14:paraId="7392880B"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shd w:val="clear" w:color="auto" w:fill="auto"/>
            <w:vAlign w:val="center"/>
          </w:tcPr>
          <w:p w14:paraId="577A11CB" w14:textId="78C0C62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lang w:val="en-US"/>
              </w:rPr>
              <w:t xml:space="preserve">  </w:t>
            </w:r>
            <w:r w:rsidRPr="004C5A7A">
              <w:rPr>
                <w:rFonts w:ascii="Arial" w:hAnsi="Arial" w:cs="Arial"/>
                <w:b/>
                <w:bCs/>
                <w:sz w:val="14"/>
                <w:szCs w:val="14"/>
              </w:rPr>
              <w:t>(90,06</w:t>
            </w:r>
            <w:r w:rsidR="0029090C">
              <w:rPr>
                <w:rFonts w:ascii="Arial" w:hAnsi="Arial" w:cs="Arial"/>
                <w:b/>
                <w:bCs/>
                <w:sz w:val="14"/>
                <w:szCs w:val="14"/>
              </w:rPr>
              <w:t>6</w:t>
            </w:r>
            <w:r w:rsidRPr="004C5A7A">
              <w:rPr>
                <w:rFonts w:ascii="Arial" w:hAnsi="Arial" w:cs="Arial"/>
                <w:b/>
                <w:bCs/>
                <w:sz w:val="14"/>
                <w:szCs w:val="14"/>
              </w:rPr>
              <w:t>)</w:t>
            </w:r>
          </w:p>
        </w:tc>
        <w:tc>
          <w:tcPr>
            <w:tcW w:w="1819" w:type="dxa"/>
            <w:tcBorders>
              <w:top w:val="single" w:sz="2" w:space="0" w:color="1F3864" w:themeColor="accent1" w:themeShade="80"/>
              <w:left w:val="nil"/>
              <w:bottom w:val="nil"/>
              <w:right w:val="nil"/>
            </w:tcBorders>
            <w:shd w:val="clear" w:color="auto" w:fill="auto"/>
            <w:vAlign w:val="center"/>
          </w:tcPr>
          <w:p w14:paraId="01098612"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sz w:val="14"/>
                <w:szCs w:val="14"/>
              </w:rPr>
              <w:t xml:space="preserve">  (66,807)</w:t>
            </w:r>
          </w:p>
        </w:tc>
      </w:tr>
      <w:tr w:rsidR="009E215C" w:rsidRPr="004C5A7A" w14:paraId="5D1F352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B45CE39"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 xml:space="preserve">Income </w:t>
            </w:r>
            <w:proofErr w:type="spellStart"/>
            <w:r w:rsidRPr="004C5A7A">
              <w:rPr>
                <w:rFonts w:ascii="Arial" w:hAnsi="Arial" w:cs="Arial"/>
                <w:b w:val="0"/>
                <w:bCs w:val="0"/>
                <w:sz w:val="14"/>
                <w:szCs w:val="14"/>
              </w:rPr>
              <w:t>from</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auto"/>
            <w:vAlign w:val="center"/>
          </w:tcPr>
          <w:p w14:paraId="100528B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0F7BD50"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2B266ED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rPr>
              <w:t xml:space="preserve">  6,716,787</w:t>
            </w:r>
          </w:p>
        </w:tc>
        <w:tc>
          <w:tcPr>
            <w:tcW w:w="1819" w:type="dxa"/>
            <w:tcBorders>
              <w:top w:val="nil"/>
              <w:left w:val="nil"/>
              <w:bottom w:val="nil"/>
              <w:right w:val="nil"/>
            </w:tcBorders>
            <w:shd w:val="clear" w:color="auto" w:fill="auto"/>
            <w:vAlign w:val="center"/>
          </w:tcPr>
          <w:p w14:paraId="7C76301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bCs/>
                <w:sz w:val="14"/>
                <w:szCs w:val="14"/>
              </w:rPr>
              <w:t xml:space="preserve">  740,071 </w:t>
            </w:r>
          </w:p>
        </w:tc>
      </w:tr>
      <w:tr w:rsidR="009E215C" w:rsidRPr="004C5A7A" w14:paraId="1324B5B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147C4F6"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sz w:val="14"/>
                <w:szCs w:val="14"/>
              </w:rPr>
              <w:t>Costs</w:t>
            </w:r>
            <w:proofErr w:type="spellEnd"/>
          </w:p>
        </w:tc>
        <w:tc>
          <w:tcPr>
            <w:tcW w:w="1818" w:type="dxa"/>
            <w:tcBorders>
              <w:top w:val="nil"/>
              <w:left w:val="nil"/>
              <w:bottom w:val="nil"/>
              <w:right w:val="nil"/>
            </w:tcBorders>
            <w:shd w:val="clear" w:color="auto" w:fill="auto"/>
            <w:vAlign w:val="center"/>
          </w:tcPr>
          <w:p w14:paraId="095BBB08"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F22D51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65562CB" w14:textId="15EC5A86"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(6,806,85</w:t>
            </w:r>
            <w:r w:rsidR="0029090C">
              <w:rPr>
                <w:rFonts w:ascii="Arial" w:hAnsi="Arial" w:cs="Arial"/>
                <w:sz w:val="14"/>
                <w:szCs w:val="14"/>
              </w:rPr>
              <w:t>3</w:t>
            </w:r>
            <w:r w:rsidRPr="004C5A7A">
              <w:rPr>
                <w:rFonts w:ascii="Arial" w:hAnsi="Arial" w:cs="Arial"/>
                <w:sz w:val="14"/>
                <w:szCs w:val="14"/>
              </w:rPr>
              <w:t>)</w:t>
            </w:r>
          </w:p>
        </w:tc>
        <w:tc>
          <w:tcPr>
            <w:tcW w:w="1819" w:type="dxa"/>
            <w:tcBorders>
              <w:top w:val="nil"/>
              <w:left w:val="nil"/>
              <w:bottom w:val="nil"/>
              <w:right w:val="nil"/>
            </w:tcBorders>
            <w:shd w:val="clear" w:color="auto" w:fill="auto"/>
            <w:vAlign w:val="center"/>
          </w:tcPr>
          <w:p w14:paraId="64BBC94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(806,878)</w:t>
            </w:r>
          </w:p>
        </w:tc>
      </w:tr>
      <w:tr w:rsidR="009E215C" w:rsidRPr="004C5A7A" w14:paraId="468A800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25B943C"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 xml:space="preserve">Financial </w:t>
            </w:r>
            <w:proofErr w:type="spellStart"/>
            <w:r w:rsidRPr="004C5A7A">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0E526D1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B307E3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5E664FC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465,615 </w:t>
            </w:r>
          </w:p>
        </w:tc>
        <w:tc>
          <w:tcPr>
            <w:tcW w:w="1819" w:type="dxa"/>
            <w:tcBorders>
              <w:top w:val="nil"/>
              <w:left w:val="nil"/>
              <w:bottom w:val="nil"/>
              <w:right w:val="nil"/>
            </w:tcBorders>
            <w:shd w:val="clear" w:color="auto" w:fill="auto"/>
            <w:vAlign w:val="center"/>
          </w:tcPr>
          <w:p w14:paraId="160E882A"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sz w:val="14"/>
                <w:szCs w:val="14"/>
              </w:rPr>
              <w:t xml:space="preserve">  442,554 </w:t>
            </w:r>
          </w:p>
        </w:tc>
      </w:tr>
      <w:tr w:rsidR="009E215C" w:rsidRPr="004C5A7A" w14:paraId="33E184D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A5FA042"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sz w:val="14"/>
                <w:szCs w:val="14"/>
              </w:rPr>
              <w:t>Financial income</w:t>
            </w:r>
          </w:p>
        </w:tc>
        <w:tc>
          <w:tcPr>
            <w:tcW w:w="1818" w:type="dxa"/>
            <w:tcBorders>
              <w:top w:val="nil"/>
              <w:left w:val="nil"/>
              <w:bottom w:val="nil"/>
              <w:right w:val="nil"/>
            </w:tcBorders>
            <w:shd w:val="clear" w:color="auto" w:fill="auto"/>
            <w:vAlign w:val="center"/>
          </w:tcPr>
          <w:p w14:paraId="5193D187"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EDA01CF"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C842CE6"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1,175,254 </w:t>
            </w:r>
          </w:p>
        </w:tc>
        <w:tc>
          <w:tcPr>
            <w:tcW w:w="1819" w:type="dxa"/>
            <w:tcBorders>
              <w:top w:val="nil"/>
              <w:left w:val="nil"/>
              <w:bottom w:val="nil"/>
              <w:right w:val="nil"/>
            </w:tcBorders>
            <w:shd w:val="clear" w:color="auto" w:fill="auto"/>
            <w:vAlign w:val="center"/>
          </w:tcPr>
          <w:p w14:paraId="75BB776D" w14:textId="77777777" w:rsidR="009E215C" w:rsidRPr="004C5A7A" w:rsidRDefault="009E215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1,188,074 </w:t>
            </w:r>
          </w:p>
        </w:tc>
      </w:tr>
      <w:tr w:rsidR="009E215C" w:rsidRPr="004C5A7A" w14:paraId="7B0886D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DB0EEE9"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Other financial income</w:t>
            </w:r>
          </w:p>
        </w:tc>
        <w:tc>
          <w:tcPr>
            <w:tcW w:w="1818" w:type="dxa"/>
            <w:tcBorders>
              <w:top w:val="nil"/>
              <w:left w:val="nil"/>
              <w:bottom w:val="nil"/>
              <w:right w:val="nil"/>
            </w:tcBorders>
            <w:shd w:val="clear" w:color="auto" w:fill="auto"/>
            <w:vAlign w:val="center"/>
          </w:tcPr>
          <w:p w14:paraId="37CA4832"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6408133"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3A975F7"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91,346 </w:t>
            </w:r>
          </w:p>
        </w:tc>
        <w:tc>
          <w:tcPr>
            <w:tcW w:w="1819" w:type="dxa"/>
            <w:tcBorders>
              <w:top w:val="nil"/>
              <w:left w:val="nil"/>
              <w:bottom w:val="nil"/>
              <w:right w:val="nil"/>
            </w:tcBorders>
            <w:shd w:val="clear" w:color="auto" w:fill="auto"/>
            <w:vAlign w:val="center"/>
          </w:tcPr>
          <w:p w14:paraId="271F68E9" w14:textId="77777777" w:rsidR="009E215C" w:rsidRPr="004C5A7A" w:rsidRDefault="009E215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31,212 </w:t>
            </w:r>
          </w:p>
        </w:tc>
      </w:tr>
      <w:tr w:rsidR="009E215C" w:rsidRPr="004C5A7A" w14:paraId="65C60C2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12AAC6C"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 xml:space="preserve">Financial </w:t>
            </w:r>
            <w:proofErr w:type="spellStart"/>
            <w:r w:rsidRPr="004C5A7A">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2D25608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DF43AB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D7C352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(686,714)</w:t>
            </w:r>
          </w:p>
        </w:tc>
        <w:tc>
          <w:tcPr>
            <w:tcW w:w="1819" w:type="dxa"/>
            <w:tcBorders>
              <w:top w:val="nil"/>
              <w:left w:val="nil"/>
              <w:bottom w:val="nil"/>
              <w:right w:val="nil"/>
            </w:tcBorders>
            <w:shd w:val="clear" w:color="auto" w:fill="auto"/>
            <w:vAlign w:val="center"/>
          </w:tcPr>
          <w:p w14:paraId="510FCA0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(723,600)</w:t>
            </w:r>
          </w:p>
        </w:tc>
      </w:tr>
      <w:tr w:rsidR="009E215C" w:rsidRPr="004C5A7A" w14:paraId="600A8DD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9CC9140"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 xml:space="preserve">Other financial </w:t>
            </w:r>
            <w:proofErr w:type="spellStart"/>
            <w:r w:rsidRPr="004C5A7A">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37ED2BB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0B35291"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A734FE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(114,271)</w:t>
            </w:r>
          </w:p>
        </w:tc>
        <w:tc>
          <w:tcPr>
            <w:tcW w:w="1819" w:type="dxa"/>
            <w:tcBorders>
              <w:top w:val="nil"/>
              <w:left w:val="nil"/>
              <w:bottom w:val="nil"/>
              <w:right w:val="nil"/>
            </w:tcBorders>
            <w:shd w:val="clear" w:color="auto" w:fill="auto"/>
            <w:vAlign w:val="center"/>
          </w:tcPr>
          <w:p w14:paraId="54CD38D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(53,132)</w:t>
            </w:r>
          </w:p>
        </w:tc>
      </w:tr>
      <w:tr w:rsidR="009E215C" w:rsidRPr="004C5A7A" w14:paraId="31798AD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FF01CA4" w14:textId="77777777" w:rsidR="009E215C" w:rsidRPr="004C5A7A" w:rsidRDefault="009E215C">
            <w:pPr>
              <w:keepNext/>
              <w:keepLines/>
              <w:rPr>
                <w:rFonts w:ascii="Arial" w:hAnsi="Arial" w:cs="Arial"/>
                <w:sz w:val="14"/>
                <w:szCs w:val="14"/>
              </w:rPr>
            </w:pPr>
            <w:proofErr w:type="spellStart"/>
            <w:r w:rsidRPr="004C5A7A">
              <w:rPr>
                <w:rFonts w:ascii="Arial" w:hAnsi="Arial" w:cs="Arial"/>
                <w:color w:val="000000"/>
                <w:sz w:val="14"/>
                <w:szCs w:val="14"/>
              </w:rPr>
              <w:t>Equity</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auto"/>
            <w:vAlign w:val="center"/>
          </w:tcPr>
          <w:p w14:paraId="0987878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2F666E7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7A8250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 xml:space="preserve">  (3,761)</w:t>
            </w:r>
          </w:p>
        </w:tc>
        <w:tc>
          <w:tcPr>
            <w:tcW w:w="1819" w:type="dxa"/>
            <w:tcBorders>
              <w:top w:val="nil"/>
              <w:left w:val="nil"/>
              <w:bottom w:val="nil"/>
              <w:right w:val="nil"/>
            </w:tcBorders>
            <w:shd w:val="clear" w:color="auto" w:fill="auto"/>
            <w:vAlign w:val="center"/>
          </w:tcPr>
          <w:p w14:paraId="58A0F23A"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sz w:val="14"/>
                <w:szCs w:val="14"/>
              </w:rPr>
              <w:t xml:space="preserve">  (1,031)</w:t>
            </w:r>
          </w:p>
        </w:tc>
      </w:tr>
      <w:tr w:rsidR="009E215C" w:rsidRPr="004C5A7A" w14:paraId="7779B04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ED11A6D"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sz w:val="14"/>
                <w:szCs w:val="14"/>
              </w:rPr>
              <w:t>Depreciation</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auto"/>
            <w:vAlign w:val="center"/>
          </w:tcPr>
          <w:p w14:paraId="56EF8EC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F455790"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23CFF0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(3,059)</w:t>
            </w:r>
          </w:p>
        </w:tc>
        <w:tc>
          <w:tcPr>
            <w:tcW w:w="1819" w:type="dxa"/>
            <w:tcBorders>
              <w:top w:val="nil"/>
              <w:left w:val="nil"/>
              <w:bottom w:val="nil"/>
              <w:right w:val="nil"/>
            </w:tcBorders>
            <w:shd w:val="clear" w:color="auto" w:fill="auto"/>
            <w:vAlign w:val="center"/>
          </w:tcPr>
          <w:p w14:paraId="5910E04C"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(1,031)</w:t>
            </w:r>
          </w:p>
        </w:tc>
      </w:tr>
      <w:tr w:rsidR="009E215C" w:rsidRPr="004C5A7A" w14:paraId="4B59169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26B95FE" w14:textId="77777777" w:rsidR="009E215C" w:rsidRPr="004C5A7A" w:rsidRDefault="009E215C">
            <w:pPr>
              <w:keepNext/>
              <w:keepLines/>
              <w:spacing w:before="40" w:after="40"/>
              <w:ind w:left="113"/>
              <w:rPr>
                <w:rFonts w:ascii="Arial" w:hAnsi="Arial" w:cs="Arial"/>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asset</w:t>
            </w:r>
            <w:proofErr w:type="spellEnd"/>
            <w:r w:rsidRPr="004C5A7A">
              <w:rPr>
                <w:rFonts w:ascii="Arial" w:hAnsi="Arial" w:cs="Arial"/>
                <w:b w:val="0"/>
                <w:bCs w:val="0"/>
                <w:sz w:val="14"/>
                <w:szCs w:val="14"/>
              </w:rPr>
              <w:t xml:space="preserve"> income/</w:t>
            </w:r>
            <w:proofErr w:type="spellStart"/>
            <w:r w:rsidRPr="004C5A7A">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4465E5CC"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142DA99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6D0B218"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  (702)</w:t>
            </w:r>
          </w:p>
        </w:tc>
        <w:tc>
          <w:tcPr>
            <w:tcW w:w="1819" w:type="dxa"/>
            <w:tcBorders>
              <w:top w:val="nil"/>
              <w:left w:val="nil"/>
              <w:bottom w:val="nil"/>
              <w:right w:val="nil"/>
            </w:tcBorders>
            <w:shd w:val="clear" w:color="auto" w:fill="auto"/>
            <w:vAlign w:val="center"/>
          </w:tcPr>
          <w:p w14:paraId="7F4D162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bCs/>
                <w:sz w:val="14"/>
                <w:szCs w:val="14"/>
              </w:rPr>
              <w:t xml:space="preserve">-- </w:t>
            </w:r>
          </w:p>
        </w:tc>
      </w:tr>
      <w:tr w:rsidR="009E215C" w:rsidRPr="004C5A7A" w14:paraId="21C57E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C56385" w14:textId="77777777" w:rsidR="009E215C" w:rsidRPr="004C5A7A" w:rsidRDefault="009E215C">
            <w:pPr>
              <w:keepNext/>
              <w:keepLines/>
              <w:rPr>
                <w:rFonts w:ascii="Arial" w:hAnsi="Arial" w:cs="Arial"/>
                <w:sz w:val="14"/>
                <w:szCs w:val="14"/>
              </w:rPr>
            </w:pPr>
            <w:r w:rsidRPr="004C5A7A">
              <w:rPr>
                <w:rFonts w:ascii="Arial" w:hAnsi="Arial" w:cs="Arial"/>
                <w:sz w:val="14"/>
                <w:szCs w:val="14"/>
              </w:rPr>
              <w:t xml:space="preserve">Other income </w:t>
            </w:r>
            <w:proofErr w:type="spellStart"/>
            <w:r w:rsidRPr="004C5A7A">
              <w:rPr>
                <w:rFonts w:ascii="Arial" w:hAnsi="Arial" w:cs="Arial"/>
                <w:sz w:val="14"/>
                <w:szCs w:val="14"/>
              </w:rPr>
              <w:t>and</w:t>
            </w:r>
            <w:proofErr w:type="spellEnd"/>
            <w:r w:rsidRPr="004C5A7A">
              <w:rPr>
                <w:rFonts w:ascii="Arial" w:hAnsi="Arial" w:cs="Arial"/>
                <w:sz w:val="14"/>
                <w:szCs w:val="14"/>
              </w:rPr>
              <w:t xml:space="preserve"> </w:t>
            </w:r>
            <w:proofErr w:type="spellStart"/>
            <w:r w:rsidRPr="004C5A7A">
              <w:rPr>
                <w:rFonts w:ascii="Arial" w:hAnsi="Arial" w:cs="Arial"/>
                <w:sz w:val="14"/>
                <w:szCs w:val="14"/>
              </w:rPr>
              <w:t>expenses</w:t>
            </w:r>
            <w:proofErr w:type="spellEnd"/>
          </w:p>
        </w:tc>
        <w:tc>
          <w:tcPr>
            <w:tcW w:w="1818" w:type="dxa"/>
            <w:tcBorders>
              <w:top w:val="nil"/>
              <w:left w:val="nil"/>
              <w:bottom w:val="nil"/>
              <w:right w:val="nil"/>
            </w:tcBorders>
            <w:shd w:val="clear" w:color="auto" w:fill="auto"/>
            <w:vAlign w:val="center"/>
          </w:tcPr>
          <w:p w14:paraId="3687C10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1050FF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A42828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 xml:space="preserve">  79,695 </w:t>
            </w:r>
          </w:p>
        </w:tc>
        <w:tc>
          <w:tcPr>
            <w:tcW w:w="1819" w:type="dxa"/>
            <w:tcBorders>
              <w:top w:val="nil"/>
              <w:left w:val="nil"/>
              <w:bottom w:val="nil"/>
              <w:right w:val="nil"/>
            </w:tcBorders>
            <w:shd w:val="clear" w:color="auto" w:fill="auto"/>
            <w:vAlign w:val="center"/>
          </w:tcPr>
          <w:p w14:paraId="34970C74"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sz w:val="14"/>
                <w:szCs w:val="14"/>
              </w:rPr>
              <w:t xml:space="preserve">  68,192 </w:t>
            </w:r>
          </w:p>
        </w:tc>
      </w:tr>
      <w:tr w:rsidR="009E215C" w:rsidRPr="004C5A7A" w14:paraId="6ECDC54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095D5B3"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Other income</w:t>
            </w:r>
          </w:p>
        </w:tc>
        <w:tc>
          <w:tcPr>
            <w:tcW w:w="1818" w:type="dxa"/>
            <w:tcBorders>
              <w:top w:val="nil"/>
              <w:left w:val="nil"/>
              <w:bottom w:val="nil"/>
              <w:right w:val="nil"/>
            </w:tcBorders>
            <w:shd w:val="clear" w:color="auto" w:fill="auto"/>
            <w:vAlign w:val="center"/>
          </w:tcPr>
          <w:p w14:paraId="7F33F70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79816C5"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0AE2D9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81,922 </w:t>
            </w:r>
          </w:p>
        </w:tc>
        <w:tc>
          <w:tcPr>
            <w:tcW w:w="1819" w:type="dxa"/>
            <w:tcBorders>
              <w:top w:val="nil"/>
              <w:left w:val="nil"/>
              <w:bottom w:val="nil"/>
              <w:right w:val="nil"/>
            </w:tcBorders>
            <w:shd w:val="clear" w:color="auto" w:fill="auto"/>
            <w:vAlign w:val="center"/>
          </w:tcPr>
          <w:p w14:paraId="651842F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70,809 </w:t>
            </w:r>
          </w:p>
        </w:tc>
      </w:tr>
      <w:tr w:rsidR="009E215C" w:rsidRPr="004C5A7A" w14:paraId="51683E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7166D44"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auto"/>
            <w:vAlign w:val="center"/>
          </w:tcPr>
          <w:p w14:paraId="626AAB55"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13BCFB8"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E9C98A3"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sz w:val="14"/>
                <w:szCs w:val="14"/>
              </w:rPr>
              <w:t xml:space="preserve">  (2,227)</w:t>
            </w:r>
          </w:p>
        </w:tc>
        <w:tc>
          <w:tcPr>
            <w:tcW w:w="1819" w:type="dxa"/>
            <w:tcBorders>
              <w:top w:val="nil"/>
              <w:left w:val="nil"/>
              <w:bottom w:val="nil"/>
              <w:right w:val="nil"/>
            </w:tcBorders>
            <w:shd w:val="clear" w:color="auto" w:fill="auto"/>
            <w:vAlign w:val="center"/>
          </w:tcPr>
          <w:p w14:paraId="38989A6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(2,617)</w:t>
            </w:r>
          </w:p>
        </w:tc>
      </w:tr>
      <w:tr w:rsidR="009E215C" w:rsidRPr="004C5A7A" w14:paraId="5801787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7349EF6" w14:textId="77777777" w:rsidR="009E215C" w:rsidRPr="004C5A7A" w:rsidRDefault="009E215C">
            <w:pPr>
              <w:keepNext/>
              <w:keepLines/>
              <w:rPr>
                <w:rFonts w:ascii="Arial" w:hAnsi="Arial" w:cs="Arial"/>
                <w:sz w:val="14"/>
                <w:szCs w:val="14"/>
              </w:rPr>
            </w:pPr>
            <w:proofErr w:type="spellStart"/>
            <w:r w:rsidRPr="004C5A7A">
              <w:rPr>
                <w:rFonts w:ascii="Arial" w:hAnsi="Arial" w:cs="Arial"/>
                <w:sz w:val="14"/>
                <w:szCs w:val="14"/>
              </w:rPr>
              <w:t>Operational</w:t>
            </w:r>
            <w:proofErr w:type="spellEnd"/>
            <w:r w:rsidRPr="004C5A7A">
              <w:rPr>
                <w:rFonts w:ascii="Arial" w:hAnsi="Arial" w:cs="Arial"/>
                <w:sz w:val="14"/>
                <w:szCs w:val="14"/>
              </w:rPr>
              <w:t xml:space="preserve"> </w:t>
            </w:r>
            <w:proofErr w:type="spellStart"/>
            <w:r w:rsidRPr="004C5A7A">
              <w:rPr>
                <w:rFonts w:ascii="Arial" w:hAnsi="Arial" w:cs="Arial"/>
                <w:sz w:val="14"/>
                <w:szCs w:val="14"/>
              </w:rPr>
              <w:t>result</w:t>
            </w:r>
            <w:proofErr w:type="spellEnd"/>
          </w:p>
        </w:tc>
        <w:tc>
          <w:tcPr>
            <w:tcW w:w="1818" w:type="dxa"/>
            <w:tcBorders>
              <w:top w:val="nil"/>
              <w:left w:val="nil"/>
              <w:bottom w:val="nil"/>
              <w:right w:val="nil"/>
            </w:tcBorders>
            <w:shd w:val="clear" w:color="auto" w:fill="auto"/>
            <w:vAlign w:val="center"/>
          </w:tcPr>
          <w:p w14:paraId="28C300E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C05BCC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32941D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bCs/>
                <w:sz w:val="14"/>
                <w:szCs w:val="14"/>
              </w:rPr>
              <w:t xml:space="preserve">  451,483 </w:t>
            </w:r>
          </w:p>
        </w:tc>
        <w:tc>
          <w:tcPr>
            <w:tcW w:w="1819" w:type="dxa"/>
            <w:tcBorders>
              <w:top w:val="nil"/>
              <w:left w:val="nil"/>
              <w:bottom w:val="nil"/>
              <w:right w:val="nil"/>
            </w:tcBorders>
            <w:shd w:val="clear" w:color="auto" w:fill="auto"/>
            <w:vAlign w:val="center"/>
          </w:tcPr>
          <w:p w14:paraId="40CEC8F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sz w:val="14"/>
                <w:szCs w:val="14"/>
              </w:rPr>
              <w:t xml:space="preserve">  442,908 </w:t>
            </w:r>
          </w:p>
        </w:tc>
      </w:tr>
      <w:tr w:rsidR="009E215C" w:rsidRPr="004C5A7A" w14:paraId="220A284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B782070" w14:textId="77777777" w:rsidR="009E215C" w:rsidRPr="004C5A7A" w:rsidRDefault="009E215C">
            <w:pPr>
              <w:keepNext/>
              <w:keepLines/>
              <w:spacing w:before="40" w:after="40"/>
              <w:ind w:left="113"/>
              <w:rPr>
                <w:rFonts w:ascii="Arial" w:hAnsi="Arial" w:cs="Arial"/>
                <w:b w:val="0"/>
                <w:bCs w:val="0"/>
                <w:sz w:val="14"/>
                <w:szCs w:val="14"/>
                <w:lang w:val="en-US"/>
              </w:rPr>
            </w:pPr>
            <w:r w:rsidRPr="004C5A7A">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auto"/>
            <w:vAlign w:val="center"/>
          </w:tcPr>
          <w:p w14:paraId="5A81380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2A4F98D2"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4AA68B2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lang w:val="en-US"/>
              </w:rPr>
              <w:t xml:space="preserve">  </w:t>
            </w:r>
            <w:r w:rsidRPr="004C5A7A">
              <w:rPr>
                <w:rFonts w:ascii="Arial" w:hAnsi="Arial" w:cs="Arial"/>
                <w:sz w:val="14"/>
                <w:szCs w:val="14"/>
              </w:rPr>
              <w:t>(65)</w:t>
            </w:r>
          </w:p>
        </w:tc>
        <w:tc>
          <w:tcPr>
            <w:tcW w:w="1819" w:type="dxa"/>
            <w:tcBorders>
              <w:top w:val="nil"/>
              <w:left w:val="nil"/>
              <w:bottom w:val="nil"/>
              <w:right w:val="nil"/>
            </w:tcBorders>
            <w:shd w:val="clear" w:color="auto" w:fill="auto"/>
            <w:vAlign w:val="center"/>
          </w:tcPr>
          <w:p w14:paraId="723623D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(8)</w:t>
            </w:r>
          </w:p>
        </w:tc>
      </w:tr>
      <w:tr w:rsidR="009E215C" w:rsidRPr="004C5A7A" w14:paraId="0DE5AF6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AB71928" w14:textId="77777777" w:rsidR="009E215C" w:rsidRPr="004C5A7A" w:rsidRDefault="009E215C">
            <w:pPr>
              <w:keepNext/>
              <w:keepLines/>
              <w:rPr>
                <w:rFonts w:ascii="Arial" w:hAnsi="Arial" w:cs="Arial"/>
                <w:sz w:val="14"/>
                <w:szCs w:val="14"/>
              </w:rPr>
            </w:pPr>
            <w:r w:rsidRPr="004C5A7A">
              <w:rPr>
                <w:rFonts w:ascii="Arial" w:hAnsi="Arial" w:cs="Arial"/>
                <w:color w:val="000000"/>
                <w:sz w:val="14"/>
                <w:szCs w:val="14"/>
              </w:rPr>
              <w:t xml:space="preserve">Income </w:t>
            </w:r>
            <w:proofErr w:type="spellStart"/>
            <w:r w:rsidRPr="004C5A7A">
              <w:rPr>
                <w:rFonts w:ascii="Arial" w:hAnsi="Arial" w:cs="Arial"/>
                <w:color w:val="000000"/>
                <w:sz w:val="14"/>
                <w:szCs w:val="14"/>
              </w:rPr>
              <w:t>before</w:t>
            </w:r>
            <w:proofErr w:type="spellEnd"/>
            <w:r w:rsidRPr="004C5A7A">
              <w:rPr>
                <w:rFonts w:ascii="Arial" w:hAnsi="Arial" w:cs="Arial"/>
                <w:color w:val="000000"/>
                <w:sz w:val="14"/>
                <w:szCs w:val="14"/>
              </w:rPr>
              <w:t xml:space="preserve"> taxes</w:t>
            </w:r>
          </w:p>
        </w:tc>
        <w:tc>
          <w:tcPr>
            <w:tcW w:w="1818" w:type="dxa"/>
            <w:tcBorders>
              <w:top w:val="nil"/>
              <w:left w:val="nil"/>
              <w:bottom w:val="nil"/>
              <w:right w:val="nil"/>
            </w:tcBorders>
            <w:shd w:val="clear" w:color="auto" w:fill="auto"/>
            <w:vAlign w:val="center"/>
          </w:tcPr>
          <w:p w14:paraId="5D4D01A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6E46244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13EAE79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451,418 </w:t>
            </w:r>
          </w:p>
        </w:tc>
        <w:tc>
          <w:tcPr>
            <w:tcW w:w="1819" w:type="dxa"/>
            <w:tcBorders>
              <w:top w:val="nil"/>
              <w:left w:val="nil"/>
              <w:bottom w:val="nil"/>
              <w:right w:val="nil"/>
            </w:tcBorders>
            <w:shd w:val="clear" w:color="auto" w:fill="auto"/>
            <w:vAlign w:val="center"/>
          </w:tcPr>
          <w:p w14:paraId="35C2D156"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C5A7A">
              <w:rPr>
                <w:rFonts w:ascii="Arial" w:hAnsi="Arial" w:cs="Arial"/>
                <w:b/>
                <w:sz w:val="14"/>
                <w:szCs w:val="14"/>
              </w:rPr>
              <w:t xml:space="preserve">  442,900 </w:t>
            </w:r>
          </w:p>
        </w:tc>
      </w:tr>
      <w:tr w:rsidR="009E215C" w:rsidRPr="004C5A7A" w14:paraId="5D1BFF5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F86D01E" w14:textId="77777777" w:rsidR="009E215C" w:rsidRPr="004C5A7A" w:rsidRDefault="009E215C">
            <w:pPr>
              <w:keepNext/>
              <w:keepLines/>
              <w:spacing w:before="40" w:after="40"/>
              <w:ind w:left="113"/>
              <w:rPr>
                <w:rFonts w:ascii="Arial" w:hAnsi="Arial" w:cs="Arial"/>
                <w:b w:val="0"/>
                <w:bCs w:val="0"/>
                <w:sz w:val="14"/>
                <w:szCs w:val="14"/>
                <w:lang w:val="en-US"/>
              </w:rPr>
            </w:pPr>
            <w:r w:rsidRPr="004C5A7A">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auto"/>
            <w:vAlign w:val="center"/>
          </w:tcPr>
          <w:p w14:paraId="31EAF69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1E03346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auto"/>
            <w:vAlign w:val="center"/>
          </w:tcPr>
          <w:p w14:paraId="7BFE580A"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C5A7A">
              <w:rPr>
                <w:rFonts w:ascii="Arial" w:hAnsi="Arial" w:cs="Arial"/>
                <w:sz w:val="14"/>
                <w:szCs w:val="14"/>
                <w:lang w:val="en-US"/>
              </w:rPr>
              <w:t xml:space="preserve">  </w:t>
            </w:r>
            <w:r w:rsidRPr="004C5A7A">
              <w:rPr>
                <w:rFonts w:ascii="Arial" w:hAnsi="Arial" w:cs="Arial"/>
                <w:sz w:val="14"/>
                <w:szCs w:val="14"/>
              </w:rPr>
              <w:t>(161,185)</w:t>
            </w:r>
          </w:p>
        </w:tc>
        <w:tc>
          <w:tcPr>
            <w:tcW w:w="1819" w:type="dxa"/>
            <w:tcBorders>
              <w:top w:val="nil"/>
              <w:left w:val="nil"/>
              <w:bottom w:val="nil"/>
              <w:right w:val="nil"/>
            </w:tcBorders>
            <w:shd w:val="clear" w:color="auto" w:fill="auto"/>
            <w:vAlign w:val="center"/>
          </w:tcPr>
          <w:p w14:paraId="678464C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(166,164)</w:t>
            </w:r>
          </w:p>
        </w:tc>
      </w:tr>
      <w:tr w:rsidR="009E215C" w:rsidRPr="004C5A7A" w14:paraId="6B5039A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61F718B"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 xml:space="preserve">Profit </w:t>
            </w:r>
            <w:proofErr w:type="spellStart"/>
            <w:r w:rsidRPr="004C5A7A">
              <w:rPr>
                <w:rFonts w:ascii="Arial" w:hAnsi="Arial" w:cs="Arial"/>
                <w:b w:val="0"/>
                <w:bCs w:val="0"/>
                <w:sz w:val="14"/>
                <w:szCs w:val="14"/>
              </w:rPr>
              <w:t>sharing</w:t>
            </w:r>
            <w:proofErr w:type="spellEnd"/>
          </w:p>
        </w:tc>
        <w:tc>
          <w:tcPr>
            <w:tcW w:w="1818" w:type="dxa"/>
            <w:tcBorders>
              <w:top w:val="nil"/>
              <w:left w:val="nil"/>
              <w:bottom w:val="nil"/>
              <w:right w:val="nil"/>
            </w:tcBorders>
            <w:shd w:val="clear" w:color="auto" w:fill="auto"/>
            <w:vAlign w:val="center"/>
          </w:tcPr>
          <w:p w14:paraId="4F53992B"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5527DEE3"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759E834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  (9,463)</w:t>
            </w:r>
          </w:p>
        </w:tc>
        <w:tc>
          <w:tcPr>
            <w:tcW w:w="1819" w:type="dxa"/>
            <w:tcBorders>
              <w:top w:val="nil"/>
              <w:left w:val="nil"/>
              <w:bottom w:val="nil"/>
              <w:right w:val="nil"/>
            </w:tcBorders>
            <w:shd w:val="clear" w:color="auto" w:fill="auto"/>
            <w:vAlign w:val="center"/>
          </w:tcPr>
          <w:p w14:paraId="5D1E37D1"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 xml:space="preserve">  (8,400)</w:t>
            </w:r>
          </w:p>
        </w:tc>
      </w:tr>
      <w:tr w:rsidR="009E215C" w:rsidRPr="004C5A7A" w14:paraId="52FAF71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FC05E48" w14:textId="77777777" w:rsidR="009E215C" w:rsidRPr="004C5A7A" w:rsidRDefault="009E215C">
            <w:pPr>
              <w:keepNext/>
              <w:keepLines/>
              <w:rPr>
                <w:rFonts w:ascii="Arial" w:hAnsi="Arial" w:cs="Arial"/>
                <w:sz w:val="14"/>
                <w:szCs w:val="14"/>
              </w:rPr>
            </w:pPr>
            <w:r w:rsidRPr="004C5A7A">
              <w:rPr>
                <w:rFonts w:ascii="Arial" w:hAnsi="Arial" w:cs="Arial"/>
                <w:color w:val="000000"/>
                <w:sz w:val="14"/>
                <w:szCs w:val="14"/>
              </w:rPr>
              <w:t>Net income</w:t>
            </w:r>
          </w:p>
        </w:tc>
        <w:tc>
          <w:tcPr>
            <w:tcW w:w="1818" w:type="dxa"/>
            <w:tcBorders>
              <w:top w:val="nil"/>
              <w:left w:val="nil"/>
              <w:bottom w:val="nil"/>
              <w:right w:val="nil"/>
            </w:tcBorders>
            <w:shd w:val="clear" w:color="auto" w:fill="auto"/>
            <w:vAlign w:val="center"/>
          </w:tcPr>
          <w:p w14:paraId="11EDED5D"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6FB7D057"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9C0855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280,770 </w:t>
            </w:r>
          </w:p>
        </w:tc>
        <w:tc>
          <w:tcPr>
            <w:tcW w:w="1819" w:type="dxa"/>
            <w:tcBorders>
              <w:top w:val="nil"/>
              <w:left w:val="nil"/>
              <w:bottom w:val="nil"/>
              <w:right w:val="nil"/>
            </w:tcBorders>
            <w:shd w:val="clear" w:color="auto" w:fill="auto"/>
            <w:vAlign w:val="center"/>
          </w:tcPr>
          <w:p w14:paraId="69C8AF53"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sz w:val="14"/>
                <w:szCs w:val="14"/>
              </w:rPr>
              <w:t xml:space="preserve">  268,336 </w:t>
            </w:r>
          </w:p>
        </w:tc>
      </w:tr>
      <w:tr w:rsidR="009E215C" w:rsidRPr="004C5A7A" w14:paraId="786AC5D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0E520F2" w14:textId="77777777" w:rsidR="009E215C" w:rsidRPr="004C5A7A" w:rsidRDefault="009E215C">
            <w:pPr>
              <w:keepNext/>
              <w:keepLines/>
              <w:spacing w:before="40" w:after="40"/>
              <w:ind w:left="113"/>
              <w:rPr>
                <w:rFonts w:ascii="Arial" w:hAnsi="Arial" w:cs="Arial"/>
                <w:b w:val="0"/>
                <w:bCs w:val="0"/>
                <w:sz w:val="14"/>
                <w:szCs w:val="14"/>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comprehensive</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results</w:t>
            </w:r>
            <w:proofErr w:type="spellEnd"/>
          </w:p>
        </w:tc>
        <w:tc>
          <w:tcPr>
            <w:tcW w:w="1818" w:type="dxa"/>
            <w:tcBorders>
              <w:top w:val="nil"/>
              <w:left w:val="nil"/>
              <w:bottom w:val="nil"/>
              <w:right w:val="nil"/>
            </w:tcBorders>
            <w:shd w:val="clear" w:color="auto" w:fill="auto"/>
            <w:vAlign w:val="center"/>
          </w:tcPr>
          <w:p w14:paraId="712D8840"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7AD1031F"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F71BC0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  18,499 </w:t>
            </w:r>
          </w:p>
        </w:tc>
        <w:tc>
          <w:tcPr>
            <w:tcW w:w="1819" w:type="dxa"/>
            <w:tcBorders>
              <w:top w:val="nil"/>
              <w:left w:val="nil"/>
              <w:bottom w:val="nil"/>
              <w:right w:val="nil"/>
            </w:tcBorders>
            <w:shd w:val="clear" w:color="auto" w:fill="auto"/>
            <w:vAlign w:val="center"/>
          </w:tcPr>
          <w:p w14:paraId="0946B3C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5A7A">
              <w:rPr>
                <w:rFonts w:ascii="Arial" w:hAnsi="Arial" w:cs="Arial"/>
                <w:bCs/>
                <w:sz w:val="14"/>
                <w:szCs w:val="14"/>
              </w:rPr>
              <w:t>(18,605)</w:t>
            </w:r>
          </w:p>
        </w:tc>
      </w:tr>
      <w:tr w:rsidR="009E215C" w:rsidRPr="004C5A7A" w14:paraId="5605A88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346A99" w14:textId="77777777" w:rsidR="009E215C" w:rsidRPr="004C5A7A" w:rsidRDefault="009E215C">
            <w:pPr>
              <w:keepNext/>
              <w:keepLines/>
              <w:rPr>
                <w:rFonts w:ascii="Arial" w:hAnsi="Arial" w:cs="Arial"/>
                <w:sz w:val="14"/>
                <w:szCs w:val="14"/>
              </w:rPr>
            </w:pPr>
            <w:proofErr w:type="spellStart"/>
            <w:r w:rsidRPr="004C5A7A">
              <w:rPr>
                <w:rFonts w:ascii="Arial" w:hAnsi="Arial" w:cs="Arial"/>
                <w:sz w:val="14"/>
                <w:szCs w:val="14"/>
              </w:rPr>
              <w:t>Comprehensive</w:t>
            </w:r>
            <w:proofErr w:type="spellEnd"/>
            <w:r w:rsidRPr="004C5A7A">
              <w:rPr>
                <w:rFonts w:ascii="Arial" w:hAnsi="Arial" w:cs="Arial"/>
                <w:sz w:val="14"/>
                <w:szCs w:val="14"/>
              </w:rPr>
              <w:t xml:space="preserve"> income</w:t>
            </w:r>
          </w:p>
        </w:tc>
        <w:tc>
          <w:tcPr>
            <w:tcW w:w="1818" w:type="dxa"/>
            <w:tcBorders>
              <w:top w:val="nil"/>
              <w:left w:val="nil"/>
              <w:bottom w:val="nil"/>
              <w:right w:val="nil"/>
            </w:tcBorders>
            <w:shd w:val="clear" w:color="auto" w:fill="auto"/>
            <w:vAlign w:val="center"/>
          </w:tcPr>
          <w:p w14:paraId="7CEA50E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442EF8F9"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59124BE3"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299,269 </w:t>
            </w:r>
          </w:p>
        </w:tc>
        <w:tc>
          <w:tcPr>
            <w:tcW w:w="1819" w:type="dxa"/>
            <w:tcBorders>
              <w:top w:val="nil"/>
              <w:left w:val="nil"/>
              <w:bottom w:val="nil"/>
              <w:right w:val="nil"/>
            </w:tcBorders>
            <w:shd w:val="clear" w:color="auto" w:fill="auto"/>
            <w:vAlign w:val="center"/>
          </w:tcPr>
          <w:p w14:paraId="2DF61EBB" w14:textId="77777777" w:rsidR="009E215C" w:rsidRPr="004C5A7A" w:rsidRDefault="009E215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C5A7A">
              <w:rPr>
                <w:rFonts w:ascii="Arial" w:hAnsi="Arial" w:cs="Arial"/>
                <w:b/>
                <w:sz w:val="14"/>
                <w:szCs w:val="14"/>
              </w:rPr>
              <w:t xml:space="preserve">249,731 </w:t>
            </w:r>
          </w:p>
        </w:tc>
      </w:tr>
      <w:tr w:rsidR="009E215C" w:rsidRPr="004C5A7A" w14:paraId="49557C5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220010A" w14:textId="77777777" w:rsidR="009E215C" w:rsidRPr="004C5A7A" w:rsidRDefault="009E215C">
            <w:pPr>
              <w:keepNext/>
              <w:keepLines/>
              <w:rPr>
                <w:rFonts w:ascii="Arial" w:hAnsi="Arial" w:cs="Arial"/>
                <w:sz w:val="14"/>
                <w:szCs w:val="14"/>
              </w:rPr>
            </w:pPr>
            <w:proofErr w:type="spellStart"/>
            <w:r w:rsidRPr="004C5A7A">
              <w:rPr>
                <w:rFonts w:ascii="Arial" w:eastAsia="Times New Roman" w:hAnsi="Arial" w:cs="Arial"/>
                <w:color w:val="000000"/>
                <w:spacing w:val="-2"/>
                <w:sz w:val="14"/>
                <w:szCs w:val="14"/>
                <w:lang w:eastAsia="pt-BR"/>
              </w:rPr>
              <w:t>Attributable</w:t>
            </w:r>
            <w:proofErr w:type="spellEnd"/>
            <w:r w:rsidRPr="004C5A7A">
              <w:rPr>
                <w:rFonts w:ascii="Arial" w:eastAsia="Times New Roman" w:hAnsi="Arial" w:cs="Arial"/>
                <w:color w:val="000000"/>
                <w:spacing w:val="-2"/>
                <w:sz w:val="14"/>
                <w:szCs w:val="14"/>
                <w:lang w:eastAsia="pt-BR"/>
              </w:rPr>
              <w:t xml:space="preserve"> to BB Seguridade</w:t>
            </w:r>
          </w:p>
        </w:tc>
        <w:tc>
          <w:tcPr>
            <w:tcW w:w="1818" w:type="dxa"/>
            <w:tcBorders>
              <w:top w:val="nil"/>
              <w:left w:val="nil"/>
              <w:bottom w:val="nil"/>
              <w:right w:val="nil"/>
            </w:tcBorders>
            <w:shd w:val="clear" w:color="auto" w:fill="auto"/>
            <w:vAlign w:val="center"/>
          </w:tcPr>
          <w:p w14:paraId="10D4B1FB"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nil"/>
              <w:right w:val="nil"/>
            </w:tcBorders>
            <w:shd w:val="clear" w:color="auto" w:fill="auto"/>
            <w:vAlign w:val="center"/>
          </w:tcPr>
          <w:p w14:paraId="4ABC9963"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nil"/>
              <w:right w:val="nil"/>
            </w:tcBorders>
            <w:shd w:val="clear" w:color="auto" w:fill="auto"/>
            <w:vAlign w:val="center"/>
          </w:tcPr>
          <w:p w14:paraId="40555570"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4C5A7A">
              <w:rPr>
                <w:rFonts w:ascii="Arial" w:hAnsi="Arial" w:cs="Arial"/>
                <w:b/>
                <w:bCs/>
                <w:color w:val="000000"/>
                <w:sz w:val="14"/>
                <w:szCs w:val="14"/>
              </w:rPr>
              <w:t xml:space="preserve">                        187,464</w:t>
            </w:r>
          </w:p>
        </w:tc>
        <w:tc>
          <w:tcPr>
            <w:tcW w:w="1819" w:type="dxa"/>
            <w:tcBorders>
              <w:top w:val="nil"/>
              <w:left w:val="nil"/>
              <w:bottom w:val="nil"/>
              <w:right w:val="nil"/>
            </w:tcBorders>
            <w:shd w:val="clear" w:color="auto" w:fill="auto"/>
            <w:vAlign w:val="center"/>
          </w:tcPr>
          <w:p w14:paraId="24BB87CD" w14:textId="77777777" w:rsidR="009E215C" w:rsidRPr="004C5A7A" w:rsidRDefault="009E215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4C5A7A">
              <w:rPr>
                <w:rFonts w:ascii="Arial" w:hAnsi="Arial" w:cs="Arial"/>
                <w:b/>
                <w:sz w:val="14"/>
                <w:szCs w:val="14"/>
              </w:rPr>
              <w:t>179,162</w:t>
            </w:r>
          </w:p>
        </w:tc>
      </w:tr>
      <w:tr w:rsidR="009E215C" w:rsidRPr="004C5A7A" w14:paraId="5732714C" w14:textId="77777777">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6F9010A3" w14:textId="77777777" w:rsidR="009E215C" w:rsidRPr="004C5A7A" w:rsidRDefault="009E215C">
            <w:pPr>
              <w:keepNext/>
              <w:keepLines/>
              <w:rPr>
                <w:rFonts w:ascii="Arial" w:hAnsi="Arial" w:cs="Arial"/>
                <w:sz w:val="14"/>
                <w:szCs w:val="14"/>
              </w:rPr>
            </w:pPr>
            <w:proofErr w:type="spellStart"/>
            <w:r w:rsidRPr="004C5A7A">
              <w:rPr>
                <w:rFonts w:ascii="Arial" w:eastAsia="Times New Roman" w:hAnsi="Arial" w:cs="Arial"/>
                <w:color w:val="000000"/>
                <w:spacing w:val="-2"/>
                <w:sz w:val="14"/>
                <w:szCs w:val="14"/>
                <w:lang w:eastAsia="pt-BR"/>
              </w:rPr>
              <w:t>Equity</w:t>
            </w:r>
            <w:proofErr w:type="spellEnd"/>
            <w:r w:rsidRPr="004C5A7A">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auto"/>
            <w:vAlign w:val="center"/>
          </w:tcPr>
          <w:p w14:paraId="04DB20CC"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6585F505"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5F15A285"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4C5A7A">
              <w:rPr>
                <w:rFonts w:ascii="Arial" w:hAnsi="Arial" w:cs="Arial"/>
                <w:b/>
                <w:bCs/>
                <w:sz w:val="14"/>
                <w:szCs w:val="14"/>
              </w:rPr>
              <w:t>187,464</w:t>
            </w:r>
          </w:p>
        </w:tc>
        <w:tc>
          <w:tcPr>
            <w:tcW w:w="1819" w:type="dxa"/>
            <w:tcBorders>
              <w:top w:val="nil"/>
              <w:left w:val="nil"/>
              <w:bottom w:val="single" w:sz="2" w:space="0" w:color="1F3864" w:themeColor="accent1" w:themeShade="80"/>
              <w:right w:val="nil"/>
            </w:tcBorders>
            <w:shd w:val="clear" w:color="auto" w:fill="auto"/>
            <w:vAlign w:val="center"/>
          </w:tcPr>
          <w:p w14:paraId="5C08C31F" w14:textId="77777777" w:rsidR="009E215C" w:rsidRPr="004C5A7A" w:rsidRDefault="009E215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4C5A7A">
              <w:rPr>
                <w:rFonts w:ascii="Arial" w:hAnsi="Arial" w:cs="Arial"/>
                <w:b/>
                <w:sz w:val="14"/>
                <w:szCs w:val="14"/>
              </w:rPr>
              <w:t>179,162</w:t>
            </w:r>
          </w:p>
        </w:tc>
      </w:tr>
    </w:tbl>
    <w:p w14:paraId="4531662C"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13297F9A" w14:textId="77777777" w:rsidR="009E215C" w:rsidRPr="004C5A7A" w:rsidRDefault="009E215C" w:rsidP="009E215C">
      <w:pPr>
        <w:keepNext/>
        <w:keepLines/>
        <w:spacing w:after="0" w:line="240" w:lineRule="auto"/>
        <w:rPr>
          <w:rFonts w:ascii="Arial" w:eastAsia="Times New Roman" w:hAnsi="Arial" w:cs="Arial"/>
          <w:b/>
          <w:color w:val="1F3864" w:themeColor="accent1" w:themeShade="80"/>
          <w:spacing w:val="-2"/>
          <w:sz w:val="18"/>
          <w:szCs w:val="20"/>
          <w:lang w:eastAsia="pt-BR"/>
        </w:rPr>
      </w:pPr>
    </w:p>
    <w:p w14:paraId="3A10F3B6" w14:textId="77777777" w:rsidR="009E215C" w:rsidRPr="004C5A7A" w:rsidRDefault="009E215C" w:rsidP="009E215C">
      <w:pPr>
        <w:keepNext/>
        <w:keepLines/>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376272DF"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eastAsia="pt-BR"/>
        </w:rPr>
      </w:pPr>
    </w:p>
    <w:p w14:paraId="56DDA21D" w14:textId="77777777" w:rsidR="009E215C" w:rsidRPr="004C5A7A" w:rsidRDefault="009E215C" w:rsidP="009E215C">
      <w:pPr>
        <w:spacing w:after="0" w:line="240" w:lineRule="auto"/>
        <w:jc w:val="right"/>
        <w:rPr>
          <w:rFonts w:ascii="Arial" w:hAnsi="Arial" w:cs="Arial"/>
          <w:b/>
          <w:sz w:val="14"/>
          <w:lang w:eastAsia="pt-BR"/>
        </w:rPr>
      </w:pPr>
      <w:r w:rsidRPr="004C5A7A">
        <w:rPr>
          <w:rFonts w:ascii="Arial" w:hAnsi="Arial" w:cs="Arial"/>
          <w:b/>
          <w:sz w:val="14"/>
          <w:lang w:eastAsia="pt-BR"/>
        </w:rPr>
        <w:t xml:space="preserve">R$ </w:t>
      </w:r>
      <w:proofErr w:type="spellStart"/>
      <w:r w:rsidRPr="004C5A7A">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9E215C" w:rsidRPr="004C5A7A" w14:paraId="0E1ABFF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A108DB" w14:textId="77777777" w:rsidR="009E215C" w:rsidRPr="004C5A7A" w:rsidRDefault="009E215C">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FDD76A0"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31, 2024</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E1CB363" w14:textId="77777777" w:rsidR="009E215C" w:rsidRPr="004C5A7A" w:rsidRDefault="009E215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C5A7A">
              <w:rPr>
                <w:rFonts w:ascii="Arial" w:hAnsi="Arial" w:cs="Arial"/>
                <w:sz w:val="14"/>
                <w:szCs w:val="14"/>
              </w:rPr>
              <w:t>Dec</w:t>
            </w:r>
            <w:proofErr w:type="spellEnd"/>
            <w:r w:rsidRPr="004C5A7A">
              <w:rPr>
                <w:rFonts w:ascii="Arial" w:hAnsi="Arial" w:cs="Arial"/>
                <w:sz w:val="14"/>
                <w:szCs w:val="14"/>
              </w:rPr>
              <w:t xml:space="preserve"> 31, 2023</w:t>
            </w:r>
          </w:p>
        </w:tc>
      </w:tr>
      <w:tr w:rsidR="009E215C" w:rsidRPr="004C5A7A" w14:paraId="1D1711E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33427EBB" w14:textId="77777777" w:rsidR="009E215C" w:rsidRPr="004C5A7A" w:rsidRDefault="009E215C">
            <w:pPr>
              <w:keepNext/>
              <w:keepLines/>
              <w:rPr>
                <w:rFonts w:ascii="Arial" w:eastAsia="Times New Roman" w:hAnsi="Arial" w:cs="Arial"/>
                <w:spacing w:val="-2"/>
                <w:sz w:val="14"/>
                <w:szCs w:val="14"/>
                <w:highlight w:val="yellow"/>
              </w:rPr>
            </w:pPr>
            <w:proofErr w:type="spellStart"/>
            <w:r w:rsidRPr="004C5A7A">
              <w:rPr>
                <w:rFonts w:ascii="Arial" w:hAnsi="Arial" w:cs="Arial"/>
                <w:color w:val="000000"/>
                <w:sz w:val="14"/>
                <w:szCs w:val="14"/>
              </w:rPr>
              <w:t>Current</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Assets</w:t>
            </w:r>
            <w:proofErr w:type="spellEnd"/>
            <w:r w:rsidRPr="004C5A7A">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shd w:val="clear" w:color="auto" w:fill="auto"/>
            <w:vAlign w:val="bottom"/>
          </w:tcPr>
          <w:p w14:paraId="1904A14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6,085,371 </w:t>
            </w:r>
          </w:p>
        </w:tc>
        <w:tc>
          <w:tcPr>
            <w:tcW w:w="2410" w:type="dxa"/>
            <w:tcBorders>
              <w:top w:val="single" w:sz="2" w:space="0" w:color="1F3864" w:themeColor="accent1" w:themeShade="80"/>
              <w:left w:val="nil"/>
              <w:bottom w:val="nil"/>
              <w:right w:val="nil"/>
            </w:tcBorders>
            <w:shd w:val="clear" w:color="auto" w:fill="auto"/>
            <w:vAlign w:val="center"/>
          </w:tcPr>
          <w:p w14:paraId="61ABF65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9,377,327 </w:t>
            </w:r>
          </w:p>
        </w:tc>
      </w:tr>
      <w:tr w:rsidR="009E215C" w:rsidRPr="004C5A7A" w14:paraId="72F90F5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19165C4E"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sz w:val="14"/>
                <w:szCs w:val="14"/>
              </w:rPr>
              <w:t xml:space="preserve">Cash </w:t>
            </w:r>
            <w:proofErr w:type="spellStart"/>
            <w:r w:rsidRPr="004C5A7A">
              <w:rPr>
                <w:rFonts w:ascii="Arial" w:hAnsi="Arial" w:cs="Arial"/>
                <w:b w:val="0"/>
                <w:bCs w:val="0"/>
                <w:sz w:val="14"/>
                <w:szCs w:val="14"/>
              </w:rPr>
              <w:t>and</w:t>
            </w:r>
            <w:proofErr w:type="spellEnd"/>
            <w:r w:rsidRPr="004C5A7A">
              <w:rPr>
                <w:rFonts w:ascii="Arial" w:hAnsi="Arial" w:cs="Arial"/>
                <w:b w:val="0"/>
                <w:bCs w:val="0"/>
                <w:sz w:val="14"/>
                <w:szCs w:val="14"/>
              </w:rPr>
              <w:t xml:space="preserve"> cash </w:t>
            </w:r>
            <w:proofErr w:type="spellStart"/>
            <w:r w:rsidRPr="004C5A7A">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auto"/>
            <w:vAlign w:val="bottom"/>
          </w:tcPr>
          <w:p w14:paraId="09DFD536"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370 </w:t>
            </w:r>
          </w:p>
        </w:tc>
        <w:tc>
          <w:tcPr>
            <w:tcW w:w="2410" w:type="dxa"/>
            <w:tcBorders>
              <w:top w:val="nil"/>
              <w:left w:val="nil"/>
              <w:bottom w:val="nil"/>
              <w:right w:val="nil"/>
            </w:tcBorders>
            <w:shd w:val="clear" w:color="auto" w:fill="auto"/>
            <w:vAlign w:val="center"/>
          </w:tcPr>
          <w:p w14:paraId="6B0326EC"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34 </w:t>
            </w:r>
          </w:p>
        </w:tc>
      </w:tr>
      <w:tr w:rsidR="009E215C" w:rsidRPr="004C5A7A" w14:paraId="420018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7CD5956"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bottom"/>
          </w:tcPr>
          <w:p w14:paraId="7BE91A0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6,047,423 </w:t>
            </w:r>
          </w:p>
        </w:tc>
        <w:tc>
          <w:tcPr>
            <w:tcW w:w="2410" w:type="dxa"/>
            <w:tcBorders>
              <w:top w:val="nil"/>
              <w:left w:val="nil"/>
              <w:bottom w:val="nil"/>
              <w:right w:val="nil"/>
            </w:tcBorders>
            <w:shd w:val="clear" w:color="auto" w:fill="auto"/>
            <w:vAlign w:val="center"/>
          </w:tcPr>
          <w:p w14:paraId="3898339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9,301,068 </w:t>
            </w:r>
          </w:p>
        </w:tc>
      </w:tr>
      <w:tr w:rsidR="009E215C" w:rsidRPr="004C5A7A" w14:paraId="3BC76C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8C33382" w14:textId="77777777" w:rsidR="009E215C" w:rsidRPr="004C5A7A" w:rsidRDefault="009E215C">
            <w:pPr>
              <w:keepNext/>
              <w:keepLines/>
              <w:ind w:left="113"/>
              <w:rPr>
                <w:rFonts w:ascii="Arial" w:eastAsia="Times New Roman" w:hAnsi="Arial" w:cs="Arial"/>
                <w:b w:val="0"/>
                <w:bCs w:val="0"/>
                <w:spacing w:val="-2"/>
                <w:sz w:val="14"/>
                <w:szCs w:val="14"/>
                <w:highlight w:val="yellow"/>
              </w:rPr>
            </w:pPr>
            <w:r w:rsidRPr="004C5A7A">
              <w:rPr>
                <w:rFonts w:ascii="Arial" w:hAnsi="Arial" w:cs="Arial"/>
                <w:b w:val="0"/>
                <w:bCs w:val="0"/>
                <w:color w:val="000000"/>
                <w:sz w:val="14"/>
                <w:szCs w:val="14"/>
              </w:rPr>
              <w:t xml:space="preserve">Other </w:t>
            </w:r>
            <w:proofErr w:type="spellStart"/>
            <w:r w:rsidRPr="004C5A7A">
              <w:rPr>
                <w:rFonts w:ascii="Arial" w:hAnsi="Arial" w:cs="Arial"/>
                <w:b w:val="0"/>
                <w:bCs w:val="0"/>
                <w:color w:val="000000"/>
                <w:sz w:val="14"/>
                <w:szCs w:val="14"/>
              </w:rPr>
              <w:t>assets</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auto"/>
            <w:vAlign w:val="bottom"/>
          </w:tcPr>
          <w:p w14:paraId="139BB1F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37,578 </w:t>
            </w:r>
          </w:p>
        </w:tc>
        <w:tc>
          <w:tcPr>
            <w:tcW w:w="2410" w:type="dxa"/>
            <w:tcBorders>
              <w:top w:val="nil"/>
              <w:left w:val="nil"/>
              <w:bottom w:val="nil"/>
              <w:right w:val="nil"/>
            </w:tcBorders>
            <w:shd w:val="clear" w:color="auto" w:fill="auto"/>
            <w:vAlign w:val="center"/>
          </w:tcPr>
          <w:p w14:paraId="5706D287"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76,225 </w:t>
            </w:r>
          </w:p>
        </w:tc>
      </w:tr>
      <w:tr w:rsidR="009E215C" w:rsidRPr="004C5A7A" w14:paraId="66235F0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CA0BDFA" w14:textId="77777777" w:rsidR="009E215C" w:rsidRPr="004C5A7A" w:rsidRDefault="009E215C">
            <w:pPr>
              <w:keepNext/>
              <w:keepLines/>
              <w:rPr>
                <w:rFonts w:ascii="Arial" w:hAnsi="Arial" w:cs="Arial"/>
                <w:color w:val="000000"/>
                <w:sz w:val="14"/>
                <w:szCs w:val="14"/>
                <w:highlight w:val="yellow"/>
              </w:rPr>
            </w:pPr>
            <w:r w:rsidRPr="004C5A7A">
              <w:rPr>
                <w:rFonts w:ascii="Arial" w:hAnsi="Arial" w:cs="Arial"/>
                <w:sz w:val="14"/>
                <w:szCs w:val="14"/>
              </w:rPr>
              <w:t>Non-</w:t>
            </w: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Assets</w:t>
            </w:r>
            <w:proofErr w:type="spellEnd"/>
            <w:r w:rsidRPr="004C5A7A">
              <w:rPr>
                <w:rFonts w:ascii="Arial" w:hAnsi="Arial" w:cs="Arial"/>
                <w:sz w:val="14"/>
                <w:szCs w:val="14"/>
              </w:rPr>
              <w:t xml:space="preserve"> </w:t>
            </w:r>
          </w:p>
        </w:tc>
        <w:tc>
          <w:tcPr>
            <w:tcW w:w="2410" w:type="dxa"/>
            <w:tcBorders>
              <w:top w:val="nil"/>
              <w:left w:val="nil"/>
              <w:bottom w:val="nil"/>
              <w:right w:val="nil"/>
            </w:tcBorders>
            <w:shd w:val="clear" w:color="auto" w:fill="auto"/>
            <w:vAlign w:val="bottom"/>
          </w:tcPr>
          <w:p w14:paraId="6DA5023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7,445,779 </w:t>
            </w:r>
          </w:p>
        </w:tc>
        <w:tc>
          <w:tcPr>
            <w:tcW w:w="2410" w:type="dxa"/>
            <w:tcBorders>
              <w:top w:val="nil"/>
              <w:left w:val="nil"/>
              <w:bottom w:val="nil"/>
              <w:right w:val="nil"/>
            </w:tcBorders>
            <w:shd w:val="clear" w:color="auto" w:fill="auto"/>
            <w:vAlign w:val="center"/>
          </w:tcPr>
          <w:p w14:paraId="6E524B6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4,108,791 </w:t>
            </w:r>
          </w:p>
        </w:tc>
      </w:tr>
      <w:tr w:rsidR="009E215C" w:rsidRPr="004C5A7A" w14:paraId="6E26B5D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60224D9" w14:textId="77777777" w:rsidR="009E215C" w:rsidRPr="004C5A7A" w:rsidRDefault="009E215C">
            <w:pPr>
              <w:keepNext/>
              <w:keepLines/>
              <w:ind w:left="113"/>
              <w:rPr>
                <w:rFonts w:ascii="Arial" w:hAnsi="Arial" w:cs="Arial"/>
                <w:b w:val="0"/>
                <w:bCs w:val="0"/>
                <w:color w:val="000000"/>
                <w:sz w:val="14"/>
                <w:szCs w:val="14"/>
                <w:highlight w:val="yellow"/>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auto"/>
            <w:vAlign w:val="bottom"/>
          </w:tcPr>
          <w:p w14:paraId="4B4CA2B3"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5,917,867 </w:t>
            </w:r>
          </w:p>
        </w:tc>
        <w:tc>
          <w:tcPr>
            <w:tcW w:w="2410" w:type="dxa"/>
            <w:tcBorders>
              <w:top w:val="nil"/>
              <w:left w:val="nil"/>
              <w:bottom w:val="nil"/>
              <w:right w:val="nil"/>
            </w:tcBorders>
            <w:shd w:val="clear" w:color="auto" w:fill="auto"/>
            <w:vAlign w:val="center"/>
          </w:tcPr>
          <w:p w14:paraId="560A8F4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2,670,477 </w:t>
            </w:r>
          </w:p>
        </w:tc>
      </w:tr>
      <w:tr w:rsidR="009E215C" w:rsidRPr="004C5A7A" w14:paraId="640D87F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E1AAAEE" w14:textId="77777777" w:rsidR="009E215C" w:rsidRPr="004C5A7A" w:rsidRDefault="009E215C">
            <w:pPr>
              <w:keepNext/>
              <w:keepLines/>
              <w:ind w:left="113"/>
              <w:rPr>
                <w:rFonts w:ascii="Arial" w:hAnsi="Arial" w:cs="Arial"/>
                <w:color w:val="000000"/>
                <w:sz w:val="14"/>
                <w:szCs w:val="14"/>
                <w:highlight w:val="yellow"/>
              </w:rPr>
            </w:pPr>
            <w:r w:rsidRPr="004C5A7A">
              <w:rPr>
                <w:rFonts w:ascii="Arial" w:hAnsi="Arial" w:cs="Arial"/>
                <w:b w:val="0"/>
                <w:bCs w:val="0"/>
                <w:color w:val="000000"/>
                <w:sz w:val="14"/>
                <w:szCs w:val="14"/>
              </w:rPr>
              <w:t>Other non-</w:t>
            </w:r>
            <w:proofErr w:type="spellStart"/>
            <w:r w:rsidRPr="004C5A7A">
              <w:rPr>
                <w:rFonts w:ascii="Arial" w:hAnsi="Arial" w:cs="Arial"/>
                <w:b w:val="0"/>
                <w:bCs w:val="0"/>
                <w:color w:val="000000"/>
                <w:sz w:val="14"/>
                <w:szCs w:val="14"/>
              </w:rPr>
              <w:t>current</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auto"/>
            <w:vAlign w:val="bottom"/>
          </w:tcPr>
          <w:p w14:paraId="401C64B9"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sz w:val="14"/>
                <w:szCs w:val="14"/>
              </w:rPr>
              <w:t xml:space="preserve">  1,527,912 </w:t>
            </w:r>
          </w:p>
        </w:tc>
        <w:tc>
          <w:tcPr>
            <w:tcW w:w="2410" w:type="dxa"/>
            <w:tcBorders>
              <w:top w:val="nil"/>
              <w:left w:val="nil"/>
              <w:bottom w:val="nil"/>
              <w:right w:val="nil"/>
            </w:tcBorders>
            <w:shd w:val="clear" w:color="auto" w:fill="auto"/>
            <w:vAlign w:val="center"/>
          </w:tcPr>
          <w:p w14:paraId="1C50D524"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4C5A7A">
              <w:rPr>
                <w:rFonts w:ascii="Arial" w:hAnsi="Arial" w:cs="Arial"/>
                <w:sz w:val="14"/>
                <w:szCs w:val="14"/>
              </w:rPr>
              <w:t xml:space="preserve">  1,438,314 </w:t>
            </w:r>
          </w:p>
        </w:tc>
      </w:tr>
      <w:tr w:rsidR="009E215C" w:rsidRPr="004C5A7A" w14:paraId="7CA1145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624F56D" w14:textId="77777777" w:rsidR="009E215C" w:rsidRPr="004C5A7A" w:rsidRDefault="009E215C">
            <w:pPr>
              <w:keepNext/>
              <w:keepLines/>
              <w:spacing w:before="40" w:after="40"/>
              <w:rPr>
                <w:rFonts w:ascii="Arial" w:hAnsi="Arial" w:cs="Arial"/>
                <w:sz w:val="14"/>
                <w:szCs w:val="14"/>
              </w:rPr>
            </w:pPr>
            <w:r w:rsidRPr="004C5A7A">
              <w:rPr>
                <w:rFonts w:ascii="Arial" w:hAnsi="Arial" w:cs="Arial"/>
                <w:color w:val="000000"/>
                <w:sz w:val="14"/>
                <w:szCs w:val="14"/>
              </w:rPr>
              <w:t xml:space="preserve">Total </w:t>
            </w:r>
            <w:proofErr w:type="spellStart"/>
            <w:r w:rsidRPr="004C5A7A">
              <w:rPr>
                <w:rFonts w:ascii="Arial" w:hAnsi="Arial" w:cs="Arial"/>
                <w:color w:val="000000"/>
                <w:sz w:val="14"/>
                <w:szCs w:val="14"/>
              </w:rPr>
              <w:t>Assets</w:t>
            </w:r>
            <w:proofErr w:type="spellEnd"/>
          </w:p>
        </w:tc>
        <w:tc>
          <w:tcPr>
            <w:tcW w:w="2410" w:type="dxa"/>
            <w:tcBorders>
              <w:top w:val="nil"/>
              <w:left w:val="nil"/>
              <w:bottom w:val="nil"/>
              <w:right w:val="nil"/>
            </w:tcBorders>
            <w:shd w:val="clear" w:color="auto" w:fill="auto"/>
            <w:vAlign w:val="bottom"/>
          </w:tcPr>
          <w:p w14:paraId="02E83E61"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13,531,150</w:t>
            </w:r>
          </w:p>
        </w:tc>
        <w:tc>
          <w:tcPr>
            <w:tcW w:w="2410" w:type="dxa"/>
            <w:tcBorders>
              <w:top w:val="nil"/>
              <w:left w:val="nil"/>
              <w:bottom w:val="nil"/>
              <w:right w:val="nil"/>
            </w:tcBorders>
            <w:shd w:val="clear" w:color="auto" w:fill="auto"/>
            <w:vAlign w:val="center"/>
          </w:tcPr>
          <w:p w14:paraId="22ADB26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13,486,118</w:t>
            </w:r>
          </w:p>
        </w:tc>
      </w:tr>
      <w:tr w:rsidR="009E215C" w:rsidRPr="004C5A7A" w14:paraId="0C95A4D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A967465" w14:textId="77777777" w:rsidR="009E215C" w:rsidRPr="004C5A7A" w:rsidRDefault="009E215C">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bottom"/>
          </w:tcPr>
          <w:p w14:paraId="08FC2D6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auto"/>
            <w:vAlign w:val="center"/>
          </w:tcPr>
          <w:p w14:paraId="4D673CD5"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9E215C" w:rsidRPr="004C5A7A" w14:paraId="5F79D03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3E20121" w14:textId="77777777" w:rsidR="009E215C" w:rsidRPr="004C5A7A" w:rsidRDefault="009E215C">
            <w:pPr>
              <w:keepNext/>
              <w:keepLines/>
              <w:spacing w:before="40" w:after="40"/>
              <w:rPr>
                <w:rFonts w:ascii="Arial" w:hAnsi="Arial" w:cs="Arial"/>
                <w:sz w:val="14"/>
                <w:szCs w:val="14"/>
                <w:highlight w:val="yellow"/>
              </w:rPr>
            </w:pP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bottom"/>
          </w:tcPr>
          <w:p w14:paraId="7052493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11,418,697 </w:t>
            </w:r>
          </w:p>
        </w:tc>
        <w:tc>
          <w:tcPr>
            <w:tcW w:w="2410" w:type="dxa"/>
            <w:tcBorders>
              <w:top w:val="nil"/>
              <w:left w:val="nil"/>
              <w:bottom w:val="nil"/>
              <w:right w:val="nil"/>
            </w:tcBorders>
            <w:shd w:val="clear" w:color="auto" w:fill="auto"/>
            <w:vAlign w:val="center"/>
          </w:tcPr>
          <w:p w14:paraId="1FCEE6D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11,473,796 </w:t>
            </w:r>
          </w:p>
        </w:tc>
      </w:tr>
      <w:tr w:rsidR="009E215C" w:rsidRPr="004C5A7A" w14:paraId="4B6F366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F36BF13" w14:textId="77777777" w:rsidR="009E215C" w:rsidRPr="004C5A7A" w:rsidRDefault="009E215C">
            <w:pPr>
              <w:keepNext/>
              <w:keepLines/>
              <w:spacing w:before="40" w:after="40"/>
              <w:ind w:left="113"/>
              <w:rPr>
                <w:rFonts w:ascii="Arial" w:hAnsi="Arial" w:cs="Arial"/>
                <w:b w:val="0"/>
                <w:bCs w:val="0"/>
                <w:color w:val="000000"/>
                <w:sz w:val="14"/>
                <w:szCs w:val="14"/>
              </w:rPr>
            </w:pPr>
            <w:r w:rsidRPr="004C5A7A">
              <w:rPr>
                <w:rFonts w:ascii="Arial" w:hAnsi="Arial" w:cs="Arial"/>
                <w:b w:val="0"/>
                <w:bCs w:val="0"/>
                <w:color w:val="000000"/>
                <w:sz w:val="14"/>
                <w:szCs w:val="14"/>
              </w:rPr>
              <w:t xml:space="preserve">Financial </w:t>
            </w:r>
            <w:proofErr w:type="spellStart"/>
            <w:r w:rsidRPr="004C5A7A">
              <w:rPr>
                <w:rFonts w:ascii="Arial" w:hAnsi="Arial" w:cs="Arial"/>
                <w:b w:val="0"/>
                <w:bCs w:val="0"/>
                <w:color w:val="000000"/>
                <w:sz w:val="14"/>
                <w:szCs w:val="14"/>
              </w:rPr>
              <w:t>liabilities</w:t>
            </w:r>
            <w:proofErr w:type="spellEnd"/>
          </w:p>
        </w:tc>
        <w:tc>
          <w:tcPr>
            <w:tcW w:w="2410" w:type="dxa"/>
            <w:tcBorders>
              <w:top w:val="nil"/>
              <w:left w:val="nil"/>
              <w:bottom w:val="nil"/>
              <w:right w:val="nil"/>
            </w:tcBorders>
            <w:shd w:val="clear" w:color="auto" w:fill="auto"/>
            <w:vAlign w:val="bottom"/>
          </w:tcPr>
          <w:p w14:paraId="524D32F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  2,355 </w:t>
            </w:r>
          </w:p>
        </w:tc>
        <w:tc>
          <w:tcPr>
            <w:tcW w:w="2410" w:type="dxa"/>
            <w:tcBorders>
              <w:top w:val="nil"/>
              <w:left w:val="nil"/>
              <w:bottom w:val="nil"/>
              <w:right w:val="nil"/>
            </w:tcBorders>
            <w:shd w:val="clear" w:color="auto" w:fill="auto"/>
            <w:vAlign w:val="center"/>
          </w:tcPr>
          <w:p w14:paraId="76A8F941"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w:t>
            </w:r>
          </w:p>
        </w:tc>
      </w:tr>
      <w:tr w:rsidR="009E215C" w:rsidRPr="004C5A7A" w14:paraId="0FA3943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4874778" w14:textId="77777777" w:rsidR="009E215C" w:rsidRPr="004C5A7A" w:rsidRDefault="009E215C">
            <w:pPr>
              <w:keepNext/>
              <w:keepLines/>
              <w:spacing w:before="40" w:after="40"/>
              <w:ind w:left="113"/>
              <w:rPr>
                <w:rFonts w:ascii="Arial" w:hAnsi="Arial" w:cs="Arial"/>
                <w:b w:val="0"/>
                <w:bCs w:val="0"/>
                <w:sz w:val="14"/>
                <w:szCs w:val="14"/>
                <w:highlight w:val="yellow"/>
              </w:rPr>
            </w:pPr>
            <w:proofErr w:type="spellStart"/>
            <w:r w:rsidRPr="004C5A7A">
              <w:rPr>
                <w:rFonts w:ascii="Arial" w:hAnsi="Arial" w:cs="Arial"/>
                <w:b w:val="0"/>
                <w:bCs w:val="0"/>
                <w:color w:val="000000"/>
                <w:sz w:val="14"/>
                <w:szCs w:val="14"/>
              </w:rPr>
              <w:t>Technical</w:t>
            </w:r>
            <w:proofErr w:type="spellEnd"/>
            <w:r w:rsidRPr="004C5A7A">
              <w:rPr>
                <w:rFonts w:ascii="Arial" w:hAnsi="Arial" w:cs="Arial"/>
                <w:b w:val="0"/>
                <w:bCs w:val="0"/>
                <w:color w:val="000000"/>
                <w:sz w:val="14"/>
                <w:szCs w:val="14"/>
              </w:rPr>
              <w:t xml:space="preserve"> </w:t>
            </w:r>
            <w:proofErr w:type="spellStart"/>
            <w:r w:rsidRPr="004C5A7A">
              <w:rPr>
                <w:rFonts w:ascii="Arial" w:hAnsi="Arial" w:cs="Arial"/>
                <w:b w:val="0"/>
                <w:bCs w:val="0"/>
                <w:color w:val="000000"/>
                <w:sz w:val="14"/>
                <w:szCs w:val="14"/>
              </w:rPr>
              <w:t>provisions</w:t>
            </w:r>
            <w:proofErr w:type="spellEnd"/>
          </w:p>
        </w:tc>
        <w:tc>
          <w:tcPr>
            <w:tcW w:w="2410" w:type="dxa"/>
            <w:tcBorders>
              <w:top w:val="nil"/>
              <w:left w:val="nil"/>
              <w:bottom w:val="nil"/>
              <w:right w:val="nil"/>
            </w:tcBorders>
            <w:shd w:val="clear" w:color="auto" w:fill="auto"/>
            <w:vAlign w:val="bottom"/>
          </w:tcPr>
          <w:p w14:paraId="54CD7A9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11,020,215 </w:t>
            </w:r>
          </w:p>
        </w:tc>
        <w:tc>
          <w:tcPr>
            <w:tcW w:w="2410" w:type="dxa"/>
            <w:tcBorders>
              <w:top w:val="nil"/>
              <w:left w:val="nil"/>
              <w:bottom w:val="nil"/>
              <w:right w:val="nil"/>
            </w:tcBorders>
            <w:shd w:val="clear" w:color="auto" w:fill="auto"/>
            <w:vAlign w:val="center"/>
          </w:tcPr>
          <w:p w14:paraId="69E4F54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11,335,717 </w:t>
            </w:r>
          </w:p>
        </w:tc>
      </w:tr>
      <w:tr w:rsidR="009E215C" w:rsidRPr="004C5A7A" w14:paraId="07FDD51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17ADF60" w14:textId="77777777" w:rsidR="009E215C" w:rsidRPr="004C5A7A" w:rsidRDefault="009E215C">
            <w:pPr>
              <w:keepNext/>
              <w:keepLines/>
              <w:spacing w:before="40" w:after="40"/>
              <w:ind w:left="113"/>
              <w:rPr>
                <w:rFonts w:ascii="Arial" w:hAnsi="Arial" w:cs="Arial"/>
                <w:b w:val="0"/>
                <w:bCs w:val="0"/>
                <w:sz w:val="14"/>
                <w:szCs w:val="14"/>
                <w:highlight w:val="yellow"/>
              </w:rPr>
            </w:pPr>
            <w:proofErr w:type="spellStart"/>
            <w:r w:rsidRPr="004C5A7A">
              <w:rPr>
                <w:rFonts w:ascii="Arial" w:hAnsi="Arial" w:cs="Arial"/>
                <w:b w:val="0"/>
                <w:bCs w:val="0"/>
                <w:sz w:val="14"/>
                <w:szCs w:val="14"/>
              </w:rPr>
              <w:t>Dividends</w:t>
            </w:r>
            <w:proofErr w:type="spellEnd"/>
            <w:r w:rsidRPr="004C5A7A">
              <w:rPr>
                <w:rFonts w:ascii="Arial" w:hAnsi="Arial" w:cs="Arial"/>
                <w:b w:val="0"/>
                <w:bCs w:val="0"/>
                <w:sz w:val="14"/>
                <w:szCs w:val="14"/>
              </w:rPr>
              <w:t xml:space="preserve"> </w:t>
            </w:r>
            <w:proofErr w:type="spellStart"/>
            <w:r w:rsidRPr="004C5A7A">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auto"/>
            <w:vAlign w:val="bottom"/>
          </w:tcPr>
          <w:p w14:paraId="31D818FA"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2,312 </w:t>
            </w:r>
          </w:p>
        </w:tc>
        <w:tc>
          <w:tcPr>
            <w:tcW w:w="2410" w:type="dxa"/>
            <w:tcBorders>
              <w:top w:val="nil"/>
              <w:left w:val="nil"/>
              <w:bottom w:val="nil"/>
              <w:right w:val="nil"/>
            </w:tcBorders>
            <w:shd w:val="clear" w:color="auto" w:fill="auto"/>
            <w:vAlign w:val="center"/>
          </w:tcPr>
          <w:p w14:paraId="4A43040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2,746 </w:t>
            </w:r>
          </w:p>
        </w:tc>
      </w:tr>
      <w:tr w:rsidR="009E215C" w:rsidRPr="004C5A7A" w14:paraId="1AE0E15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FE47958" w14:textId="77777777" w:rsidR="009E215C" w:rsidRPr="004C5A7A" w:rsidRDefault="009E215C">
            <w:pPr>
              <w:keepNext/>
              <w:keepLines/>
              <w:spacing w:before="40" w:after="40"/>
              <w:ind w:left="113"/>
              <w:rPr>
                <w:rFonts w:ascii="Arial" w:hAnsi="Arial" w:cs="Arial"/>
                <w:b w:val="0"/>
                <w:bCs w:val="0"/>
                <w:sz w:val="14"/>
                <w:szCs w:val="14"/>
                <w:highlight w:val="yellow"/>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6B10025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393,815 </w:t>
            </w:r>
          </w:p>
        </w:tc>
        <w:tc>
          <w:tcPr>
            <w:tcW w:w="2410" w:type="dxa"/>
            <w:tcBorders>
              <w:top w:val="nil"/>
              <w:left w:val="nil"/>
              <w:bottom w:val="nil"/>
              <w:right w:val="nil"/>
            </w:tcBorders>
            <w:shd w:val="clear" w:color="auto" w:fill="auto"/>
            <w:vAlign w:val="center"/>
          </w:tcPr>
          <w:p w14:paraId="603636CB"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135,333 </w:t>
            </w:r>
          </w:p>
        </w:tc>
      </w:tr>
      <w:tr w:rsidR="009E215C" w:rsidRPr="004C5A7A" w14:paraId="1466391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031870B" w14:textId="77777777" w:rsidR="009E215C" w:rsidRPr="004C5A7A" w:rsidRDefault="009E215C">
            <w:pPr>
              <w:keepNext/>
              <w:keepLines/>
              <w:rPr>
                <w:rFonts w:ascii="Arial" w:hAnsi="Arial" w:cs="Arial"/>
                <w:color w:val="000000"/>
                <w:sz w:val="14"/>
                <w:szCs w:val="14"/>
                <w:highlight w:val="yellow"/>
              </w:rPr>
            </w:pPr>
            <w:r w:rsidRPr="004C5A7A">
              <w:rPr>
                <w:rFonts w:ascii="Arial" w:hAnsi="Arial" w:cs="Arial"/>
                <w:sz w:val="14"/>
                <w:szCs w:val="14"/>
              </w:rPr>
              <w:t>Non-</w:t>
            </w:r>
            <w:proofErr w:type="spellStart"/>
            <w:r w:rsidRPr="004C5A7A">
              <w:rPr>
                <w:rFonts w:ascii="Arial" w:hAnsi="Arial" w:cs="Arial"/>
                <w:sz w:val="14"/>
                <w:szCs w:val="14"/>
              </w:rPr>
              <w:t>Current</w:t>
            </w:r>
            <w:proofErr w:type="spellEnd"/>
            <w:r w:rsidRPr="004C5A7A">
              <w:rPr>
                <w:rFonts w:ascii="Arial" w:hAnsi="Arial" w:cs="Arial"/>
                <w:sz w:val="14"/>
                <w:szCs w:val="14"/>
              </w:rPr>
              <w:t xml:space="preserve"> </w:t>
            </w:r>
            <w:proofErr w:type="spellStart"/>
            <w:r w:rsidRPr="004C5A7A">
              <w:rPr>
                <w:rFonts w:ascii="Arial" w:hAnsi="Arial" w:cs="Arial"/>
                <w:sz w:val="14"/>
                <w:szCs w:val="14"/>
              </w:rPr>
              <w:t>Liabilities</w:t>
            </w:r>
            <w:proofErr w:type="spellEnd"/>
          </w:p>
        </w:tc>
        <w:tc>
          <w:tcPr>
            <w:tcW w:w="2410" w:type="dxa"/>
            <w:tcBorders>
              <w:top w:val="nil"/>
              <w:left w:val="nil"/>
              <w:bottom w:val="nil"/>
              <w:right w:val="nil"/>
            </w:tcBorders>
            <w:shd w:val="clear" w:color="auto" w:fill="auto"/>
            <w:vAlign w:val="bottom"/>
          </w:tcPr>
          <w:p w14:paraId="471692ED"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4C5A7A">
              <w:rPr>
                <w:rFonts w:ascii="Arial" w:hAnsi="Arial" w:cs="Arial"/>
                <w:b/>
                <w:bCs/>
                <w:sz w:val="14"/>
                <w:szCs w:val="14"/>
              </w:rPr>
              <w:t xml:space="preserve">  1,308,709 </w:t>
            </w:r>
          </w:p>
        </w:tc>
        <w:tc>
          <w:tcPr>
            <w:tcW w:w="2410" w:type="dxa"/>
            <w:tcBorders>
              <w:top w:val="nil"/>
              <w:left w:val="nil"/>
              <w:bottom w:val="nil"/>
              <w:right w:val="nil"/>
            </w:tcBorders>
            <w:shd w:val="clear" w:color="auto" w:fill="auto"/>
            <w:vAlign w:val="center"/>
          </w:tcPr>
          <w:p w14:paraId="480F7772" w14:textId="77777777" w:rsidR="009E215C" w:rsidRPr="004C5A7A" w:rsidRDefault="009E215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4C5A7A">
              <w:rPr>
                <w:rFonts w:ascii="Arial" w:hAnsi="Arial" w:cs="Arial"/>
                <w:b/>
                <w:bCs/>
                <w:sz w:val="14"/>
                <w:szCs w:val="14"/>
              </w:rPr>
              <w:t xml:space="preserve">  1,246,101 </w:t>
            </w:r>
          </w:p>
        </w:tc>
      </w:tr>
      <w:tr w:rsidR="009E215C" w:rsidRPr="004C5A7A" w14:paraId="03C387D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0A8F7AE" w14:textId="77777777" w:rsidR="009E215C" w:rsidRPr="004C5A7A" w:rsidRDefault="009E215C">
            <w:pPr>
              <w:keepNext/>
              <w:keepLines/>
              <w:spacing w:before="40" w:after="40"/>
              <w:ind w:left="113"/>
              <w:rPr>
                <w:rFonts w:ascii="Arial" w:eastAsia="Times New Roman" w:hAnsi="Arial" w:cs="Arial"/>
                <w:b w:val="0"/>
                <w:bCs w:val="0"/>
                <w:spacing w:val="-2"/>
                <w:sz w:val="14"/>
                <w:szCs w:val="14"/>
                <w:highlight w:val="yellow"/>
              </w:rPr>
            </w:pPr>
            <w:r w:rsidRPr="004C5A7A">
              <w:rPr>
                <w:rFonts w:ascii="Arial" w:hAnsi="Arial" w:cs="Arial"/>
                <w:b w:val="0"/>
                <w:bCs w:val="0"/>
                <w:sz w:val="14"/>
                <w:szCs w:val="14"/>
              </w:rPr>
              <w:t xml:space="preserve">Financial </w:t>
            </w:r>
            <w:proofErr w:type="spellStart"/>
            <w:r w:rsidRPr="004C5A7A">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5D329D4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10,291 </w:t>
            </w:r>
          </w:p>
        </w:tc>
        <w:tc>
          <w:tcPr>
            <w:tcW w:w="2410" w:type="dxa"/>
            <w:tcBorders>
              <w:top w:val="nil"/>
              <w:left w:val="nil"/>
              <w:bottom w:val="nil"/>
              <w:right w:val="nil"/>
            </w:tcBorders>
            <w:shd w:val="clear" w:color="auto" w:fill="auto"/>
            <w:vAlign w:val="center"/>
          </w:tcPr>
          <w:p w14:paraId="79C7DF04"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10,703</w:t>
            </w:r>
          </w:p>
        </w:tc>
      </w:tr>
      <w:tr w:rsidR="009E215C" w:rsidRPr="004C5A7A" w14:paraId="60B13B7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F3E8EBA" w14:textId="77777777" w:rsidR="009E215C" w:rsidRPr="004C5A7A" w:rsidRDefault="009E215C">
            <w:pPr>
              <w:keepNext/>
              <w:keepLines/>
              <w:spacing w:before="40" w:after="40"/>
              <w:ind w:left="113"/>
              <w:rPr>
                <w:rFonts w:ascii="Arial" w:eastAsia="Times New Roman" w:hAnsi="Arial" w:cs="Arial"/>
                <w:b w:val="0"/>
                <w:bCs w:val="0"/>
                <w:spacing w:val="-2"/>
                <w:sz w:val="14"/>
                <w:szCs w:val="14"/>
                <w:highlight w:val="yellow"/>
              </w:rPr>
            </w:pPr>
            <w:r w:rsidRPr="004C5A7A">
              <w:rPr>
                <w:rFonts w:ascii="Arial" w:hAnsi="Arial" w:cs="Arial"/>
                <w:b w:val="0"/>
                <w:bCs w:val="0"/>
                <w:sz w:val="14"/>
                <w:szCs w:val="14"/>
              </w:rPr>
              <w:t xml:space="preserve">Other </w:t>
            </w:r>
            <w:proofErr w:type="spellStart"/>
            <w:r w:rsidRPr="004C5A7A">
              <w:rPr>
                <w:rFonts w:ascii="Arial" w:hAnsi="Arial" w:cs="Arial"/>
                <w:b w:val="0"/>
                <w:bCs w:val="0"/>
                <w:sz w:val="14"/>
                <w:szCs w:val="14"/>
              </w:rPr>
              <w:t>liabilities</w:t>
            </w:r>
            <w:proofErr w:type="spellEnd"/>
          </w:p>
        </w:tc>
        <w:tc>
          <w:tcPr>
            <w:tcW w:w="2410" w:type="dxa"/>
            <w:tcBorders>
              <w:top w:val="nil"/>
              <w:left w:val="nil"/>
              <w:bottom w:val="nil"/>
              <w:right w:val="nil"/>
            </w:tcBorders>
            <w:shd w:val="clear" w:color="auto" w:fill="auto"/>
            <w:vAlign w:val="bottom"/>
          </w:tcPr>
          <w:p w14:paraId="1DF6770C"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1,298,418 </w:t>
            </w:r>
          </w:p>
        </w:tc>
        <w:tc>
          <w:tcPr>
            <w:tcW w:w="2410" w:type="dxa"/>
            <w:tcBorders>
              <w:top w:val="nil"/>
              <w:left w:val="nil"/>
              <w:bottom w:val="nil"/>
              <w:right w:val="nil"/>
            </w:tcBorders>
            <w:shd w:val="clear" w:color="auto" w:fill="auto"/>
            <w:vAlign w:val="center"/>
          </w:tcPr>
          <w:p w14:paraId="1341DC6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4C5A7A">
              <w:rPr>
                <w:rFonts w:ascii="Arial" w:hAnsi="Arial" w:cs="Arial"/>
                <w:sz w:val="14"/>
                <w:szCs w:val="14"/>
              </w:rPr>
              <w:t xml:space="preserve">  1,235,398 </w:t>
            </w:r>
          </w:p>
        </w:tc>
      </w:tr>
      <w:tr w:rsidR="009E215C" w:rsidRPr="004C5A7A" w14:paraId="7CD42B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A438BEB" w14:textId="77777777" w:rsidR="009E215C" w:rsidRPr="004C5A7A" w:rsidRDefault="009E215C">
            <w:pPr>
              <w:keepNext/>
              <w:keepLines/>
              <w:spacing w:before="40" w:after="40"/>
              <w:rPr>
                <w:rFonts w:ascii="Arial" w:eastAsia="Times New Roman" w:hAnsi="Arial" w:cs="Arial"/>
                <w:spacing w:val="-2"/>
                <w:sz w:val="14"/>
                <w:szCs w:val="14"/>
                <w:highlight w:val="yellow"/>
              </w:rPr>
            </w:pPr>
            <w:proofErr w:type="spellStart"/>
            <w:r w:rsidRPr="004C5A7A">
              <w:rPr>
                <w:rFonts w:ascii="Arial" w:hAnsi="Arial" w:cs="Arial"/>
                <w:sz w:val="14"/>
                <w:szCs w:val="14"/>
              </w:rPr>
              <w:t>Equity</w:t>
            </w:r>
            <w:proofErr w:type="spellEnd"/>
          </w:p>
        </w:tc>
        <w:tc>
          <w:tcPr>
            <w:tcW w:w="2410" w:type="dxa"/>
            <w:tcBorders>
              <w:top w:val="nil"/>
              <w:left w:val="nil"/>
              <w:bottom w:val="nil"/>
              <w:right w:val="nil"/>
            </w:tcBorders>
            <w:shd w:val="clear" w:color="auto" w:fill="auto"/>
            <w:vAlign w:val="bottom"/>
          </w:tcPr>
          <w:p w14:paraId="5C5B6C9E"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803,744 </w:t>
            </w:r>
          </w:p>
        </w:tc>
        <w:tc>
          <w:tcPr>
            <w:tcW w:w="2410" w:type="dxa"/>
            <w:tcBorders>
              <w:top w:val="nil"/>
              <w:left w:val="nil"/>
              <w:bottom w:val="nil"/>
              <w:right w:val="nil"/>
            </w:tcBorders>
            <w:shd w:val="clear" w:color="auto" w:fill="auto"/>
            <w:vAlign w:val="center"/>
          </w:tcPr>
          <w:p w14:paraId="3A62D6B8"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4C5A7A">
              <w:rPr>
                <w:rFonts w:ascii="Arial" w:hAnsi="Arial" w:cs="Arial"/>
                <w:b/>
                <w:bCs/>
                <w:sz w:val="14"/>
                <w:szCs w:val="14"/>
              </w:rPr>
              <w:t xml:space="preserve">  766,221 </w:t>
            </w:r>
          </w:p>
        </w:tc>
      </w:tr>
      <w:tr w:rsidR="009E215C" w:rsidRPr="004C5A7A" w14:paraId="18C6BDE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28A6C57" w14:textId="77777777" w:rsidR="009E215C" w:rsidRPr="004C5A7A" w:rsidRDefault="009E215C">
            <w:pPr>
              <w:keepNext/>
              <w:keepLines/>
              <w:spacing w:before="40" w:after="40"/>
              <w:rPr>
                <w:rFonts w:ascii="Arial" w:hAnsi="Arial" w:cs="Arial"/>
                <w:sz w:val="14"/>
                <w:szCs w:val="14"/>
              </w:rPr>
            </w:pPr>
            <w:proofErr w:type="spellStart"/>
            <w:r w:rsidRPr="004C5A7A">
              <w:rPr>
                <w:rFonts w:ascii="Arial" w:hAnsi="Arial" w:cs="Arial"/>
                <w:color w:val="000000"/>
                <w:sz w:val="14"/>
                <w:szCs w:val="14"/>
              </w:rPr>
              <w:t>Liabilities</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and</w:t>
            </w:r>
            <w:proofErr w:type="spellEnd"/>
            <w:r w:rsidRPr="004C5A7A">
              <w:rPr>
                <w:rFonts w:ascii="Arial" w:hAnsi="Arial" w:cs="Arial"/>
                <w:color w:val="000000"/>
                <w:sz w:val="14"/>
                <w:szCs w:val="14"/>
              </w:rPr>
              <w:t xml:space="preserve"> </w:t>
            </w:r>
            <w:proofErr w:type="spellStart"/>
            <w:r w:rsidRPr="004C5A7A">
              <w:rPr>
                <w:rFonts w:ascii="Arial" w:hAnsi="Arial" w:cs="Arial"/>
                <w:color w:val="000000"/>
                <w:sz w:val="14"/>
                <w:szCs w:val="14"/>
              </w:rPr>
              <w:t>Equity</w:t>
            </w:r>
            <w:proofErr w:type="spellEnd"/>
          </w:p>
        </w:tc>
        <w:tc>
          <w:tcPr>
            <w:tcW w:w="2410" w:type="dxa"/>
            <w:tcBorders>
              <w:top w:val="nil"/>
              <w:left w:val="nil"/>
              <w:bottom w:val="nil"/>
              <w:right w:val="nil"/>
            </w:tcBorders>
            <w:shd w:val="clear" w:color="auto" w:fill="auto"/>
            <w:vAlign w:val="bottom"/>
          </w:tcPr>
          <w:p w14:paraId="436B2896"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13,531,150 </w:t>
            </w:r>
          </w:p>
        </w:tc>
        <w:tc>
          <w:tcPr>
            <w:tcW w:w="2410" w:type="dxa"/>
            <w:tcBorders>
              <w:top w:val="nil"/>
              <w:left w:val="nil"/>
              <w:bottom w:val="nil"/>
              <w:right w:val="nil"/>
            </w:tcBorders>
            <w:shd w:val="clear" w:color="auto" w:fill="auto"/>
            <w:vAlign w:val="center"/>
          </w:tcPr>
          <w:p w14:paraId="0100DA63"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13,486,118</w:t>
            </w:r>
          </w:p>
        </w:tc>
      </w:tr>
      <w:tr w:rsidR="009E215C" w:rsidRPr="004C5A7A" w14:paraId="08920E6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B708B75"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sz w:val="14"/>
                <w:szCs w:val="14"/>
              </w:rPr>
              <w:t>Attributable</w:t>
            </w:r>
            <w:proofErr w:type="spellEnd"/>
            <w:r w:rsidRPr="004C5A7A">
              <w:rPr>
                <w:rFonts w:ascii="Arial" w:hAnsi="Arial" w:cs="Arial"/>
                <w:sz w:val="14"/>
                <w:szCs w:val="14"/>
              </w:rPr>
              <w:t xml:space="preserve"> to BB Seguridade</w:t>
            </w:r>
          </w:p>
        </w:tc>
        <w:tc>
          <w:tcPr>
            <w:tcW w:w="2410" w:type="dxa"/>
            <w:tcBorders>
              <w:top w:val="nil"/>
              <w:left w:val="nil"/>
              <w:bottom w:val="nil"/>
              <w:right w:val="nil"/>
            </w:tcBorders>
            <w:shd w:val="clear" w:color="auto" w:fill="auto"/>
            <w:vAlign w:val="center"/>
          </w:tcPr>
          <w:p w14:paraId="47A2D77D"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 xml:space="preserve">                536,640</w:t>
            </w:r>
          </w:p>
        </w:tc>
        <w:tc>
          <w:tcPr>
            <w:tcW w:w="2410" w:type="dxa"/>
            <w:tcBorders>
              <w:top w:val="nil"/>
              <w:left w:val="nil"/>
              <w:bottom w:val="nil"/>
              <w:right w:val="nil"/>
            </w:tcBorders>
            <w:shd w:val="clear" w:color="auto" w:fill="auto"/>
            <w:vAlign w:val="center"/>
          </w:tcPr>
          <w:p w14:paraId="4D31BFA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511,587 </w:t>
            </w:r>
          </w:p>
        </w:tc>
      </w:tr>
      <w:tr w:rsidR="009E215C" w:rsidRPr="004C5A7A" w14:paraId="7EB2413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63E9F97" w14:textId="77777777" w:rsidR="009E215C" w:rsidRPr="004C5A7A" w:rsidRDefault="009E215C">
            <w:pPr>
              <w:keepNext/>
              <w:keepLines/>
              <w:spacing w:before="40" w:after="40"/>
              <w:ind w:left="113"/>
              <w:rPr>
                <w:rFonts w:ascii="Arial" w:hAnsi="Arial" w:cs="Arial"/>
                <w:b w:val="0"/>
                <w:bCs w:val="0"/>
                <w:sz w:val="14"/>
                <w:szCs w:val="14"/>
              </w:rPr>
            </w:pPr>
            <w:proofErr w:type="spellStart"/>
            <w:r w:rsidRPr="004C5A7A">
              <w:rPr>
                <w:rFonts w:ascii="Arial" w:hAnsi="Arial" w:cs="Arial"/>
                <w:b w:val="0"/>
                <w:bCs w:val="0"/>
                <w:sz w:val="14"/>
                <w:szCs w:val="14"/>
              </w:rPr>
              <w:t>Adjustment</w:t>
            </w:r>
            <w:proofErr w:type="spellEnd"/>
            <w:r w:rsidRPr="004C5A7A">
              <w:rPr>
                <w:rFonts w:ascii="Arial" w:hAnsi="Arial" w:cs="Arial"/>
                <w:b w:val="0"/>
                <w:bCs w:val="0"/>
                <w:sz w:val="14"/>
                <w:szCs w:val="14"/>
              </w:rPr>
              <w:t xml:space="preserve"> </w:t>
            </w:r>
            <w:r w:rsidRPr="004C5A7A">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0B7D4378"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110,749</w:t>
            </w:r>
          </w:p>
        </w:tc>
        <w:tc>
          <w:tcPr>
            <w:tcW w:w="2410" w:type="dxa"/>
            <w:tcBorders>
              <w:top w:val="nil"/>
              <w:left w:val="nil"/>
              <w:bottom w:val="nil"/>
              <w:right w:val="nil"/>
            </w:tcBorders>
            <w:shd w:val="clear" w:color="auto" w:fill="auto"/>
            <w:vAlign w:val="center"/>
          </w:tcPr>
          <w:p w14:paraId="5F91FD60" w14:textId="77777777" w:rsidR="009E215C" w:rsidRPr="004C5A7A" w:rsidRDefault="009E215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C5A7A">
              <w:rPr>
                <w:rFonts w:ascii="Arial" w:hAnsi="Arial" w:cs="Arial"/>
                <w:sz w:val="14"/>
                <w:szCs w:val="14"/>
              </w:rPr>
              <w:t xml:space="preserve">                110,749 </w:t>
            </w:r>
          </w:p>
        </w:tc>
      </w:tr>
      <w:tr w:rsidR="009E215C" w:rsidRPr="004C5A7A" w14:paraId="662CE46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177C9FB1" w14:textId="77777777" w:rsidR="009E215C" w:rsidRPr="004C5A7A" w:rsidRDefault="009E215C">
            <w:pPr>
              <w:keepNext/>
              <w:keepLines/>
              <w:spacing w:before="40" w:after="40"/>
              <w:rPr>
                <w:rFonts w:ascii="Arial" w:hAnsi="Arial" w:cs="Arial"/>
                <w:b w:val="0"/>
                <w:bCs w:val="0"/>
                <w:sz w:val="14"/>
                <w:szCs w:val="14"/>
              </w:rPr>
            </w:pPr>
            <w:proofErr w:type="spellStart"/>
            <w:r w:rsidRPr="004C5A7A">
              <w:rPr>
                <w:rFonts w:ascii="Arial" w:hAnsi="Arial" w:cs="Arial"/>
                <w:sz w:val="14"/>
                <w:szCs w:val="14"/>
              </w:rPr>
              <w:t>Investment</w:t>
            </w:r>
            <w:proofErr w:type="spellEnd"/>
            <w:r w:rsidRPr="004C5A7A">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auto"/>
            <w:vAlign w:val="center"/>
          </w:tcPr>
          <w:p w14:paraId="23071282"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color w:val="000000"/>
                <w:sz w:val="14"/>
                <w:szCs w:val="14"/>
              </w:rPr>
              <w:t xml:space="preserve">                647,389</w:t>
            </w:r>
          </w:p>
        </w:tc>
        <w:tc>
          <w:tcPr>
            <w:tcW w:w="2410" w:type="dxa"/>
            <w:tcBorders>
              <w:top w:val="nil"/>
              <w:left w:val="nil"/>
              <w:bottom w:val="single" w:sz="2" w:space="0" w:color="1F3864" w:themeColor="accent1" w:themeShade="80"/>
              <w:right w:val="nil"/>
            </w:tcBorders>
            <w:shd w:val="clear" w:color="auto" w:fill="auto"/>
            <w:vAlign w:val="center"/>
          </w:tcPr>
          <w:p w14:paraId="615DCA75" w14:textId="77777777" w:rsidR="009E215C" w:rsidRPr="004C5A7A" w:rsidRDefault="009E215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C5A7A">
              <w:rPr>
                <w:rFonts w:ascii="Arial" w:hAnsi="Arial" w:cs="Arial"/>
                <w:b/>
                <w:bCs/>
                <w:sz w:val="14"/>
                <w:szCs w:val="14"/>
              </w:rPr>
              <w:t xml:space="preserve">                622,336</w:t>
            </w:r>
          </w:p>
        </w:tc>
      </w:tr>
    </w:tbl>
    <w:p w14:paraId="63437E4A" w14:textId="7BD9524E" w:rsidR="009E215C" w:rsidRPr="004C5A7A" w:rsidRDefault="009E215C" w:rsidP="00A76AF4">
      <w:pPr>
        <w:pStyle w:val="PargrafodaLista"/>
        <w:keepNext/>
        <w:keepLines/>
        <w:numPr>
          <w:ilvl w:val="0"/>
          <w:numId w:val="34"/>
        </w:numPr>
        <w:spacing w:after="0" w:line="240" w:lineRule="auto"/>
        <w:ind w:left="284" w:hanging="284"/>
        <w:rPr>
          <w:rFonts w:ascii="Arial" w:eastAsia="Times New Roman" w:hAnsi="Arial" w:cs="Arial"/>
          <w:bCs/>
          <w:color w:val="000000" w:themeColor="text1"/>
          <w:spacing w:val="-2"/>
          <w:sz w:val="14"/>
          <w:szCs w:val="16"/>
          <w:lang w:val="en-US" w:eastAsia="pt-BR"/>
        </w:rPr>
      </w:pPr>
      <w:r w:rsidRPr="00792C91">
        <w:rPr>
          <w:rFonts w:ascii="Arial" w:eastAsia="Times New Roman" w:hAnsi="Arial" w:cs="Arial"/>
          <w:spacing w:val="-2"/>
          <w:sz w:val="14"/>
          <w:szCs w:val="16"/>
          <w:lang w:val="en-US" w:eastAsia="zh-CN"/>
        </w:rPr>
        <w:t xml:space="preserve">Goodwill on the acquisition of equity interest in the company </w:t>
      </w:r>
      <w:proofErr w:type="spellStart"/>
      <w:r w:rsidRPr="00792C91">
        <w:rPr>
          <w:rFonts w:ascii="Arial" w:eastAsia="Times New Roman" w:hAnsi="Arial" w:cs="Arial"/>
          <w:spacing w:val="-2"/>
          <w:sz w:val="14"/>
          <w:szCs w:val="16"/>
          <w:lang w:val="en-US" w:eastAsia="zh-CN"/>
        </w:rPr>
        <w:t>Sulacap</w:t>
      </w:r>
      <w:proofErr w:type="spellEnd"/>
      <w:r w:rsidRPr="00792C91">
        <w:rPr>
          <w:rFonts w:ascii="Arial" w:eastAsia="Times New Roman" w:hAnsi="Arial" w:cs="Arial"/>
          <w:spacing w:val="-2"/>
          <w:sz w:val="14"/>
          <w:szCs w:val="16"/>
          <w:lang w:val="en-US" w:eastAsia="zh-CN"/>
        </w:rPr>
        <w:t xml:space="preserve"> by BB </w:t>
      </w:r>
      <w:proofErr w:type="spellStart"/>
      <w:r w:rsidRPr="00792C91">
        <w:rPr>
          <w:rFonts w:ascii="Arial" w:eastAsia="Times New Roman" w:hAnsi="Arial" w:cs="Arial"/>
          <w:spacing w:val="-2"/>
          <w:sz w:val="14"/>
          <w:szCs w:val="16"/>
          <w:lang w:val="en-US" w:eastAsia="zh-CN"/>
        </w:rPr>
        <w:t>Seguros</w:t>
      </w:r>
      <w:proofErr w:type="spellEnd"/>
      <w:r w:rsidRPr="00792C91">
        <w:rPr>
          <w:rFonts w:ascii="Arial" w:eastAsia="Times New Roman" w:hAnsi="Arial" w:cs="Arial"/>
          <w:spacing w:val="-2"/>
          <w:sz w:val="14"/>
          <w:szCs w:val="16"/>
          <w:lang w:val="en-US" w:eastAsia="zh-CN"/>
        </w:rPr>
        <w:t>, which took place on 07,22,2011.</w:t>
      </w:r>
    </w:p>
    <w:p w14:paraId="2F50B72C"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468FE81A" w14:textId="77777777" w:rsidR="009E215C" w:rsidRPr="004C5A7A" w:rsidRDefault="009E215C" w:rsidP="009E215C">
      <w:pPr>
        <w:keepNext/>
        <w:keepLines/>
        <w:pageBreakBefore/>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lastRenderedPageBreak/>
        <w:t xml:space="preserve">c.5) </w:t>
      </w:r>
      <w:proofErr w:type="spellStart"/>
      <w:r w:rsidRPr="004C5A7A">
        <w:rPr>
          <w:rFonts w:ascii="Arial" w:eastAsia="Times New Roman" w:hAnsi="Arial" w:cs="Arial"/>
          <w:b/>
          <w:color w:val="1F3864" w:themeColor="accent1" w:themeShade="80"/>
          <w:spacing w:val="-2"/>
          <w:sz w:val="18"/>
          <w:szCs w:val="20"/>
          <w:lang w:val="en-US" w:eastAsia="pt-BR"/>
        </w:rPr>
        <w:t>Ciclic</w:t>
      </w:r>
      <w:proofErr w:type="spellEnd"/>
    </w:p>
    <w:p w14:paraId="19C81479"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2BC6366E"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t>Income Statement Information</w:t>
      </w:r>
    </w:p>
    <w:p w14:paraId="6E22F6F2"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4E688BB6" w14:textId="77777777" w:rsidR="009E215C" w:rsidRPr="004C5A7A" w:rsidRDefault="009E215C" w:rsidP="009E215C">
      <w:pPr>
        <w:spacing w:after="0" w:line="240" w:lineRule="auto"/>
        <w:jc w:val="right"/>
        <w:rPr>
          <w:rFonts w:ascii="Arial" w:hAnsi="Arial" w:cs="Arial"/>
          <w:b/>
          <w:sz w:val="14"/>
          <w:lang w:val="en-US" w:eastAsia="pt-BR"/>
        </w:rPr>
      </w:pPr>
      <w:r w:rsidRPr="004C5A7A">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9E215C" w:rsidRPr="004C5A7A" w14:paraId="381CCEF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1BC4B13E" w14:textId="77777777" w:rsidR="009E215C" w:rsidRPr="004C5A7A" w:rsidRDefault="009E215C">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63D04F1E"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4978298F"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21DF2FDD"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szCs w:val="14"/>
              </w:rPr>
              <w:t>2024</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0A3BEDC2" w14:textId="77777777" w:rsidR="009E215C" w:rsidRPr="004C5A7A" w:rsidRDefault="009E215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szCs w:val="14"/>
              </w:rPr>
              <w:t>2023</w:t>
            </w:r>
          </w:p>
        </w:tc>
      </w:tr>
      <w:tr w:rsidR="009E215C" w:rsidRPr="004C5A7A" w14:paraId="7850ECE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443DC3DC" w14:textId="77777777" w:rsidR="009E215C" w:rsidRPr="004C5A7A" w:rsidRDefault="009E215C">
            <w:pPr>
              <w:pStyle w:val="08-Tabelageral"/>
              <w:jc w:val="left"/>
              <w:rPr>
                <w:rFonts w:cs="Arial"/>
                <w:b w:val="0"/>
                <w:bCs w:val="0"/>
                <w:szCs w:val="14"/>
              </w:rPr>
            </w:pPr>
            <w:r w:rsidRPr="004C5A7A">
              <w:rPr>
                <w:rFonts w:cs="Arial"/>
                <w:b w:val="0"/>
                <w:bCs w:val="0"/>
              </w:rPr>
              <w:t>Commission income</w:t>
            </w:r>
          </w:p>
        </w:tc>
        <w:tc>
          <w:tcPr>
            <w:tcW w:w="1441" w:type="dxa"/>
            <w:tcBorders>
              <w:top w:val="nil"/>
            </w:tcBorders>
            <w:shd w:val="clear" w:color="auto" w:fill="auto"/>
            <w:vAlign w:val="center"/>
          </w:tcPr>
          <w:p w14:paraId="108FA3B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shd w:val="clear" w:color="auto" w:fill="auto"/>
            <w:vAlign w:val="center"/>
          </w:tcPr>
          <w:p w14:paraId="71897B2C"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42474E4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18,824</w:t>
            </w:r>
          </w:p>
        </w:tc>
        <w:tc>
          <w:tcPr>
            <w:tcW w:w="1720" w:type="dxa"/>
            <w:tcBorders>
              <w:top w:val="single" w:sz="2" w:space="0" w:color="1F3864" w:themeColor="accent1" w:themeShade="80"/>
            </w:tcBorders>
            <w:shd w:val="clear" w:color="auto" w:fill="auto"/>
            <w:vAlign w:val="center"/>
          </w:tcPr>
          <w:p w14:paraId="4493E1F9"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szCs w:val="14"/>
              </w:rPr>
              <w:t>38,017</w:t>
            </w:r>
          </w:p>
        </w:tc>
      </w:tr>
      <w:tr w:rsidR="009E215C" w:rsidRPr="004C5A7A" w14:paraId="77D881C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39DB695" w14:textId="77777777" w:rsidR="009E215C" w:rsidRPr="004C5A7A" w:rsidRDefault="009E215C">
            <w:pPr>
              <w:pStyle w:val="08-Tabelageral"/>
              <w:jc w:val="left"/>
              <w:rPr>
                <w:rFonts w:cs="Arial"/>
                <w:b w:val="0"/>
                <w:bCs w:val="0"/>
                <w:szCs w:val="14"/>
              </w:rPr>
            </w:pPr>
            <w:proofErr w:type="spellStart"/>
            <w:r w:rsidRPr="004C5A7A">
              <w:rPr>
                <w:rFonts w:cs="Arial"/>
                <w:b w:val="0"/>
                <w:bCs w:val="0"/>
              </w:rPr>
              <w:t>Costs</w:t>
            </w:r>
            <w:proofErr w:type="spellEnd"/>
          </w:p>
        </w:tc>
        <w:tc>
          <w:tcPr>
            <w:tcW w:w="1441" w:type="dxa"/>
            <w:shd w:val="clear" w:color="auto" w:fill="auto"/>
            <w:vAlign w:val="center"/>
          </w:tcPr>
          <w:p w14:paraId="6472496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0F777F2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76563A4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(10,977)</w:t>
            </w:r>
          </w:p>
        </w:tc>
        <w:tc>
          <w:tcPr>
            <w:tcW w:w="1720" w:type="dxa"/>
            <w:shd w:val="clear" w:color="auto" w:fill="auto"/>
            <w:vAlign w:val="center"/>
          </w:tcPr>
          <w:p w14:paraId="6507D08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(13,691)</w:t>
            </w:r>
          </w:p>
        </w:tc>
      </w:tr>
      <w:tr w:rsidR="009E215C" w:rsidRPr="004C5A7A" w14:paraId="1C070C2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7F74685" w14:textId="77777777" w:rsidR="009E215C" w:rsidRPr="004C5A7A" w:rsidRDefault="009E215C">
            <w:pPr>
              <w:pStyle w:val="08-Tabelageral"/>
              <w:jc w:val="left"/>
              <w:rPr>
                <w:rFonts w:cs="Arial"/>
                <w:szCs w:val="14"/>
              </w:rPr>
            </w:pPr>
            <w:r w:rsidRPr="004C5A7A">
              <w:rPr>
                <w:rFonts w:cs="Arial"/>
              </w:rPr>
              <w:t xml:space="preserve">Financial </w:t>
            </w:r>
            <w:proofErr w:type="spellStart"/>
            <w:r w:rsidRPr="004C5A7A">
              <w:rPr>
                <w:rFonts w:cs="Arial"/>
              </w:rPr>
              <w:t>result</w:t>
            </w:r>
            <w:proofErr w:type="spellEnd"/>
          </w:p>
        </w:tc>
        <w:tc>
          <w:tcPr>
            <w:tcW w:w="1441" w:type="dxa"/>
            <w:shd w:val="clear" w:color="auto" w:fill="auto"/>
            <w:vAlign w:val="bottom"/>
          </w:tcPr>
          <w:p w14:paraId="74594224"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1F4B598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28B5C8F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color w:val="000000"/>
                <w:szCs w:val="14"/>
              </w:rPr>
              <w:t>(418)</w:t>
            </w:r>
          </w:p>
        </w:tc>
        <w:tc>
          <w:tcPr>
            <w:tcW w:w="1720" w:type="dxa"/>
            <w:shd w:val="clear" w:color="auto" w:fill="auto"/>
            <w:vAlign w:val="center"/>
          </w:tcPr>
          <w:p w14:paraId="60EA6A9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szCs w:val="14"/>
              </w:rPr>
              <w:t>(1,002)</w:t>
            </w:r>
          </w:p>
        </w:tc>
      </w:tr>
      <w:tr w:rsidR="009E215C" w:rsidRPr="004C5A7A" w14:paraId="35EBB2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56AE979" w14:textId="77777777" w:rsidR="009E215C" w:rsidRPr="004C5A7A" w:rsidRDefault="009E215C">
            <w:pPr>
              <w:pStyle w:val="08-Tabelageral"/>
              <w:ind w:left="113"/>
              <w:jc w:val="left"/>
              <w:rPr>
                <w:rFonts w:cs="Arial"/>
                <w:b w:val="0"/>
                <w:bCs w:val="0"/>
                <w:szCs w:val="14"/>
              </w:rPr>
            </w:pPr>
            <w:proofErr w:type="spellStart"/>
            <w:r w:rsidRPr="004C5A7A">
              <w:rPr>
                <w:rFonts w:cs="Arial"/>
                <w:b w:val="0"/>
                <w:bCs w:val="0"/>
              </w:rPr>
              <w:t>Interest</w:t>
            </w:r>
            <w:proofErr w:type="spellEnd"/>
            <w:r w:rsidRPr="004C5A7A">
              <w:rPr>
                <w:rFonts w:cs="Arial"/>
                <w:b w:val="0"/>
                <w:bCs w:val="0"/>
              </w:rPr>
              <w:t xml:space="preserve"> income</w:t>
            </w:r>
          </w:p>
        </w:tc>
        <w:tc>
          <w:tcPr>
            <w:tcW w:w="1441" w:type="dxa"/>
            <w:shd w:val="clear" w:color="auto" w:fill="auto"/>
            <w:vAlign w:val="bottom"/>
          </w:tcPr>
          <w:p w14:paraId="018B999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63909032"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3BF8B38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w:t>
            </w:r>
          </w:p>
        </w:tc>
        <w:tc>
          <w:tcPr>
            <w:tcW w:w="1720" w:type="dxa"/>
            <w:shd w:val="clear" w:color="auto" w:fill="auto"/>
            <w:vAlign w:val="center"/>
          </w:tcPr>
          <w:p w14:paraId="4F0CB795"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2</w:t>
            </w:r>
          </w:p>
        </w:tc>
      </w:tr>
      <w:tr w:rsidR="009E215C" w:rsidRPr="004C5A7A" w14:paraId="7EC6DB3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E19D41E" w14:textId="77777777" w:rsidR="009E215C" w:rsidRPr="004C5A7A" w:rsidRDefault="009E215C">
            <w:pPr>
              <w:pStyle w:val="08-Tabelageral"/>
              <w:ind w:left="113"/>
              <w:jc w:val="left"/>
              <w:rPr>
                <w:rFonts w:cs="Arial"/>
                <w:b w:val="0"/>
                <w:bCs w:val="0"/>
                <w:szCs w:val="14"/>
              </w:rPr>
            </w:pPr>
            <w:r w:rsidRPr="004C5A7A">
              <w:rPr>
                <w:rFonts w:cs="Arial"/>
                <w:b w:val="0"/>
                <w:bCs w:val="0"/>
              </w:rPr>
              <w:t>Other financial income</w:t>
            </w:r>
          </w:p>
        </w:tc>
        <w:tc>
          <w:tcPr>
            <w:tcW w:w="1441" w:type="dxa"/>
            <w:shd w:val="clear" w:color="auto" w:fill="auto"/>
            <w:vAlign w:val="bottom"/>
          </w:tcPr>
          <w:p w14:paraId="2FEB5C5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734330F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73BAD4D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661</w:t>
            </w:r>
          </w:p>
        </w:tc>
        <w:tc>
          <w:tcPr>
            <w:tcW w:w="1720" w:type="dxa"/>
            <w:shd w:val="clear" w:color="auto" w:fill="auto"/>
            <w:vAlign w:val="center"/>
          </w:tcPr>
          <w:p w14:paraId="61832247"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szCs w:val="14"/>
              </w:rPr>
              <w:t>68</w:t>
            </w:r>
          </w:p>
        </w:tc>
      </w:tr>
      <w:tr w:rsidR="009E215C" w:rsidRPr="004C5A7A" w14:paraId="5CC16D3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DD52D51" w14:textId="77777777" w:rsidR="009E215C" w:rsidRPr="004C5A7A" w:rsidRDefault="009E215C">
            <w:pPr>
              <w:pStyle w:val="08-Tabelageral"/>
              <w:ind w:left="113"/>
              <w:jc w:val="left"/>
              <w:rPr>
                <w:rFonts w:cs="Arial"/>
                <w:b w:val="0"/>
                <w:bCs w:val="0"/>
                <w:szCs w:val="14"/>
              </w:rPr>
            </w:pPr>
            <w:proofErr w:type="spellStart"/>
            <w:r w:rsidRPr="004C5A7A">
              <w:rPr>
                <w:rFonts w:cs="Arial"/>
                <w:b w:val="0"/>
                <w:bCs w:val="0"/>
              </w:rPr>
              <w:t>Interest</w:t>
            </w:r>
            <w:proofErr w:type="spellEnd"/>
            <w:r w:rsidRPr="004C5A7A">
              <w:rPr>
                <w:rFonts w:cs="Arial"/>
                <w:b w:val="0"/>
                <w:bCs w:val="0"/>
              </w:rPr>
              <w:t xml:space="preserve"> </w:t>
            </w:r>
            <w:proofErr w:type="spellStart"/>
            <w:r w:rsidRPr="004C5A7A">
              <w:rPr>
                <w:rFonts w:cs="Arial"/>
                <w:b w:val="0"/>
                <w:bCs w:val="0"/>
              </w:rPr>
              <w:t>expense</w:t>
            </w:r>
            <w:proofErr w:type="spellEnd"/>
          </w:p>
        </w:tc>
        <w:tc>
          <w:tcPr>
            <w:tcW w:w="1441" w:type="dxa"/>
            <w:shd w:val="clear" w:color="auto" w:fill="auto"/>
            <w:vAlign w:val="bottom"/>
          </w:tcPr>
          <w:p w14:paraId="66384FF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1960CB3E"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3161BD73"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(35)</w:t>
            </w:r>
          </w:p>
        </w:tc>
        <w:tc>
          <w:tcPr>
            <w:tcW w:w="1720" w:type="dxa"/>
            <w:shd w:val="clear" w:color="auto" w:fill="auto"/>
            <w:vAlign w:val="center"/>
          </w:tcPr>
          <w:p w14:paraId="0DADB9E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(91)</w:t>
            </w:r>
          </w:p>
        </w:tc>
      </w:tr>
      <w:tr w:rsidR="009E215C" w:rsidRPr="004C5A7A" w14:paraId="3B28045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387CDD2" w14:textId="77777777" w:rsidR="009E215C" w:rsidRPr="004C5A7A" w:rsidRDefault="009E215C">
            <w:pPr>
              <w:pStyle w:val="08-Tabelageral"/>
              <w:ind w:left="113"/>
              <w:jc w:val="left"/>
              <w:rPr>
                <w:rFonts w:cs="Arial"/>
                <w:b w:val="0"/>
                <w:bCs w:val="0"/>
                <w:szCs w:val="14"/>
              </w:rPr>
            </w:pPr>
            <w:r w:rsidRPr="004C5A7A">
              <w:rPr>
                <w:rFonts w:cs="Arial"/>
                <w:b w:val="0"/>
                <w:bCs w:val="0"/>
              </w:rPr>
              <w:t xml:space="preserve">Other financial </w:t>
            </w:r>
            <w:proofErr w:type="spellStart"/>
            <w:r w:rsidRPr="004C5A7A">
              <w:rPr>
                <w:rFonts w:cs="Arial"/>
                <w:b w:val="0"/>
                <w:bCs w:val="0"/>
              </w:rPr>
              <w:t>expenses</w:t>
            </w:r>
            <w:proofErr w:type="spellEnd"/>
          </w:p>
        </w:tc>
        <w:tc>
          <w:tcPr>
            <w:tcW w:w="1441" w:type="dxa"/>
            <w:shd w:val="clear" w:color="auto" w:fill="auto"/>
            <w:vAlign w:val="bottom"/>
          </w:tcPr>
          <w:p w14:paraId="0BEFA7E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04097F7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7B6AFE2B"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(1,044)</w:t>
            </w:r>
          </w:p>
        </w:tc>
        <w:tc>
          <w:tcPr>
            <w:tcW w:w="1720" w:type="dxa"/>
            <w:shd w:val="clear" w:color="auto" w:fill="auto"/>
            <w:vAlign w:val="center"/>
          </w:tcPr>
          <w:p w14:paraId="52A5BBF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szCs w:val="14"/>
              </w:rPr>
              <w:t>(981)</w:t>
            </w:r>
          </w:p>
        </w:tc>
      </w:tr>
      <w:tr w:rsidR="009E215C" w:rsidRPr="004C5A7A" w14:paraId="104A05C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93C2846" w14:textId="77777777" w:rsidR="009E215C" w:rsidRPr="004C5A7A" w:rsidRDefault="009E215C">
            <w:pPr>
              <w:pStyle w:val="08-Tabelageral"/>
              <w:jc w:val="left"/>
              <w:rPr>
                <w:rFonts w:cs="Arial"/>
                <w:szCs w:val="14"/>
              </w:rPr>
            </w:pPr>
            <w:r w:rsidRPr="004C5A7A">
              <w:rPr>
                <w:rFonts w:cs="Arial"/>
              </w:rPr>
              <w:t>Resultado patrimonial</w:t>
            </w:r>
          </w:p>
        </w:tc>
        <w:tc>
          <w:tcPr>
            <w:tcW w:w="1441" w:type="dxa"/>
            <w:shd w:val="clear" w:color="auto" w:fill="auto"/>
            <w:vAlign w:val="bottom"/>
          </w:tcPr>
          <w:p w14:paraId="63E1B9A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659C2CA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336A25F0"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(19,742)</w:t>
            </w:r>
          </w:p>
        </w:tc>
        <w:tc>
          <w:tcPr>
            <w:tcW w:w="1720" w:type="dxa"/>
            <w:shd w:val="clear" w:color="auto" w:fill="auto"/>
            <w:vAlign w:val="center"/>
          </w:tcPr>
          <w:p w14:paraId="0A3E3A2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szCs w:val="14"/>
              </w:rPr>
              <w:t>(18,830)</w:t>
            </w:r>
          </w:p>
        </w:tc>
      </w:tr>
      <w:tr w:rsidR="009E215C" w:rsidRPr="004C5A7A" w14:paraId="7EEED07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2CD20DB" w14:textId="77777777" w:rsidR="009E215C" w:rsidRPr="004C5A7A" w:rsidRDefault="009E215C">
            <w:pPr>
              <w:pStyle w:val="08-Tabelageral"/>
              <w:ind w:left="113"/>
              <w:jc w:val="left"/>
              <w:rPr>
                <w:rFonts w:cs="Arial"/>
                <w:b w:val="0"/>
                <w:bCs w:val="0"/>
                <w:szCs w:val="14"/>
              </w:rPr>
            </w:pPr>
            <w:proofErr w:type="spellStart"/>
            <w:r w:rsidRPr="004C5A7A">
              <w:rPr>
                <w:rFonts w:cs="Arial"/>
                <w:b w:val="0"/>
                <w:bCs w:val="0"/>
              </w:rPr>
              <w:t>Depreciation</w:t>
            </w:r>
            <w:proofErr w:type="spellEnd"/>
            <w:r w:rsidRPr="004C5A7A">
              <w:rPr>
                <w:rFonts w:cs="Arial"/>
                <w:b w:val="0"/>
                <w:bCs w:val="0"/>
              </w:rPr>
              <w:t xml:space="preserve"> </w:t>
            </w:r>
            <w:proofErr w:type="spellStart"/>
            <w:r w:rsidRPr="004C5A7A">
              <w:rPr>
                <w:rFonts w:cs="Arial"/>
                <w:b w:val="0"/>
                <w:bCs w:val="0"/>
              </w:rPr>
              <w:t>and</w:t>
            </w:r>
            <w:proofErr w:type="spellEnd"/>
            <w:r w:rsidRPr="004C5A7A">
              <w:rPr>
                <w:rFonts w:cs="Arial"/>
                <w:b w:val="0"/>
                <w:bCs w:val="0"/>
              </w:rPr>
              <w:t xml:space="preserve"> </w:t>
            </w:r>
            <w:proofErr w:type="spellStart"/>
            <w:r w:rsidRPr="004C5A7A">
              <w:rPr>
                <w:rFonts w:cs="Arial"/>
                <w:b w:val="0"/>
                <w:bCs w:val="0"/>
              </w:rPr>
              <w:t>amortization</w:t>
            </w:r>
            <w:proofErr w:type="spellEnd"/>
          </w:p>
        </w:tc>
        <w:tc>
          <w:tcPr>
            <w:tcW w:w="1441" w:type="dxa"/>
            <w:shd w:val="clear" w:color="auto" w:fill="auto"/>
            <w:vAlign w:val="bottom"/>
          </w:tcPr>
          <w:p w14:paraId="1272187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3E20B1AC"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bottom"/>
          </w:tcPr>
          <w:p w14:paraId="074CDF51"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(2,427)</w:t>
            </w:r>
          </w:p>
        </w:tc>
        <w:tc>
          <w:tcPr>
            <w:tcW w:w="1720" w:type="dxa"/>
            <w:shd w:val="clear" w:color="auto" w:fill="auto"/>
            <w:vAlign w:val="center"/>
          </w:tcPr>
          <w:p w14:paraId="2B1FD30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szCs w:val="14"/>
              </w:rPr>
              <w:t>(2,549)</w:t>
            </w:r>
          </w:p>
        </w:tc>
      </w:tr>
      <w:tr w:rsidR="009E215C" w:rsidRPr="004C5A7A" w14:paraId="374A08C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AC1204E" w14:textId="77777777" w:rsidR="009E215C" w:rsidRPr="004C5A7A" w:rsidRDefault="009E215C">
            <w:pPr>
              <w:pStyle w:val="08-Tabelageral"/>
              <w:ind w:left="113"/>
              <w:jc w:val="left"/>
              <w:rPr>
                <w:rFonts w:cs="Arial"/>
                <w:b w:val="0"/>
                <w:bCs w:val="0"/>
                <w:szCs w:val="14"/>
              </w:rPr>
            </w:pPr>
            <w:r w:rsidRPr="004C5A7A">
              <w:rPr>
                <w:rFonts w:cs="Arial"/>
                <w:b w:val="0"/>
                <w:bCs w:val="0"/>
              </w:rPr>
              <w:t xml:space="preserve">Other </w:t>
            </w:r>
            <w:proofErr w:type="spellStart"/>
            <w:r w:rsidRPr="004C5A7A">
              <w:rPr>
                <w:rFonts w:cs="Arial"/>
                <w:b w:val="0"/>
                <w:bCs w:val="0"/>
              </w:rPr>
              <w:t>equity</w:t>
            </w:r>
            <w:proofErr w:type="spellEnd"/>
            <w:r w:rsidRPr="004C5A7A">
              <w:rPr>
                <w:rFonts w:cs="Arial"/>
                <w:b w:val="0"/>
                <w:bCs w:val="0"/>
              </w:rPr>
              <w:t xml:space="preserve"> income/</w:t>
            </w:r>
            <w:proofErr w:type="spellStart"/>
            <w:r w:rsidRPr="004C5A7A">
              <w:rPr>
                <w:rFonts w:cs="Arial"/>
                <w:b w:val="0"/>
                <w:bCs w:val="0"/>
              </w:rPr>
              <w:t>expenses</w:t>
            </w:r>
            <w:proofErr w:type="spellEnd"/>
          </w:p>
        </w:tc>
        <w:tc>
          <w:tcPr>
            <w:tcW w:w="1441" w:type="dxa"/>
            <w:shd w:val="clear" w:color="auto" w:fill="auto"/>
            <w:vAlign w:val="bottom"/>
          </w:tcPr>
          <w:p w14:paraId="4E01228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1C969F3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bottom"/>
          </w:tcPr>
          <w:p w14:paraId="5966B25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(17,315)</w:t>
            </w:r>
          </w:p>
        </w:tc>
        <w:tc>
          <w:tcPr>
            <w:tcW w:w="1720" w:type="dxa"/>
            <w:shd w:val="clear" w:color="auto" w:fill="auto"/>
            <w:vAlign w:val="center"/>
          </w:tcPr>
          <w:p w14:paraId="53D541C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(16,281)</w:t>
            </w:r>
          </w:p>
        </w:tc>
      </w:tr>
      <w:tr w:rsidR="009E215C" w:rsidRPr="004C5A7A" w14:paraId="69F88B5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E406436" w14:textId="77777777" w:rsidR="009E215C" w:rsidRPr="004C5A7A" w:rsidRDefault="009E215C">
            <w:pPr>
              <w:pStyle w:val="08-Tabelageral"/>
              <w:jc w:val="left"/>
              <w:rPr>
                <w:rFonts w:cs="Arial"/>
                <w:szCs w:val="14"/>
              </w:rPr>
            </w:pPr>
            <w:r w:rsidRPr="004C5A7A">
              <w:rPr>
                <w:rFonts w:cs="Arial"/>
              </w:rPr>
              <w:t xml:space="preserve">Other income </w:t>
            </w:r>
            <w:proofErr w:type="spellStart"/>
            <w:r w:rsidRPr="004C5A7A">
              <w:rPr>
                <w:rFonts w:cs="Arial"/>
              </w:rPr>
              <w:t>and</w:t>
            </w:r>
            <w:proofErr w:type="spellEnd"/>
            <w:r w:rsidRPr="004C5A7A">
              <w:rPr>
                <w:rFonts w:cs="Arial"/>
              </w:rPr>
              <w:t xml:space="preserve"> </w:t>
            </w:r>
            <w:proofErr w:type="spellStart"/>
            <w:r w:rsidRPr="004C5A7A">
              <w:rPr>
                <w:rFonts w:cs="Arial"/>
              </w:rPr>
              <w:t>expenses</w:t>
            </w:r>
            <w:proofErr w:type="spellEnd"/>
          </w:p>
        </w:tc>
        <w:tc>
          <w:tcPr>
            <w:tcW w:w="1441" w:type="dxa"/>
            <w:shd w:val="clear" w:color="auto" w:fill="auto"/>
            <w:vAlign w:val="bottom"/>
          </w:tcPr>
          <w:p w14:paraId="775126E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7F4D9FF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shd w:val="clear" w:color="auto" w:fill="auto"/>
            <w:vAlign w:val="bottom"/>
          </w:tcPr>
          <w:p w14:paraId="5FFDB37F"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color w:val="000000"/>
                <w:szCs w:val="14"/>
              </w:rPr>
              <w:t>25,693</w:t>
            </w:r>
          </w:p>
        </w:tc>
        <w:tc>
          <w:tcPr>
            <w:tcW w:w="1720" w:type="dxa"/>
            <w:shd w:val="clear" w:color="auto" w:fill="auto"/>
            <w:vAlign w:val="center"/>
          </w:tcPr>
          <w:p w14:paraId="22DBEBF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szCs w:val="14"/>
              </w:rPr>
              <w:t>1,400</w:t>
            </w:r>
          </w:p>
        </w:tc>
      </w:tr>
      <w:tr w:rsidR="009E215C" w:rsidRPr="004C5A7A" w14:paraId="545274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F0596C9" w14:textId="77777777" w:rsidR="009E215C" w:rsidRPr="004C5A7A" w:rsidRDefault="009E215C">
            <w:pPr>
              <w:pStyle w:val="08-Tabelageral"/>
              <w:ind w:left="113"/>
              <w:jc w:val="left"/>
              <w:rPr>
                <w:rFonts w:cs="Arial"/>
                <w:b w:val="0"/>
                <w:bCs w:val="0"/>
                <w:szCs w:val="14"/>
              </w:rPr>
            </w:pPr>
            <w:r w:rsidRPr="004C5A7A">
              <w:rPr>
                <w:rFonts w:cs="Arial"/>
                <w:b w:val="0"/>
                <w:bCs w:val="0"/>
              </w:rPr>
              <w:t>Other income</w:t>
            </w:r>
          </w:p>
        </w:tc>
        <w:tc>
          <w:tcPr>
            <w:tcW w:w="1441" w:type="dxa"/>
            <w:shd w:val="clear" w:color="auto" w:fill="auto"/>
            <w:vAlign w:val="bottom"/>
          </w:tcPr>
          <w:p w14:paraId="1476A099"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25FBBF90"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bottom"/>
          </w:tcPr>
          <w:p w14:paraId="45F0B0B5" w14:textId="51F4D8D8"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32,04</w:t>
            </w:r>
            <w:r w:rsidR="00520544">
              <w:rPr>
                <w:rFonts w:cs="Arial"/>
                <w:color w:val="000000"/>
                <w:szCs w:val="14"/>
              </w:rPr>
              <w:t>6</w:t>
            </w:r>
          </w:p>
        </w:tc>
        <w:tc>
          <w:tcPr>
            <w:tcW w:w="1720" w:type="dxa"/>
            <w:shd w:val="clear" w:color="auto" w:fill="auto"/>
            <w:vAlign w:val="center"/>
          </w:tcPr>
          <w:p w14:paraId="3DB7EED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bCs/>
                <w:szCs w:val="14"/>
              </w:rPr>
              <w:t>9,489</w:t>
            </w:r>
          </w:p>
        </w:tc>
      </w:tr>
      <w:tr w:rsidR="009E215C" w:rsidRPr="004C5A7A" w14:paraId="5BFE27E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A592190" w14:textId="77777777" w:rsidR="009E215C" w:rsidRPr="004C5A7A" w:rsidRDefault="009E215C">
            <w:pPr>
              <w:pStyle w:val="08-Tabelageral"/>
              <w:ind w:left="113"/>
              <w:jc w:val="left"/>
              <w:rPr>
                <w:rFonts w:cs="Arial"/>
                <w:b w:val="0"/>
                <w:bCs w:val="0"/>
                <w:szCs w:val="14"/>
              </w:rPr>
            </w:pPr>
            <w:r w:rsidRPr="004C5A7A">
              <w:rPr>
                <w:rFonts w:cs="Arial"/>
                <w:b w:val="0"/>
                <w:bCs w:val="0"/>
              </w:rPr>
              <w:t xml:space="preserve">Other </w:t>
            </w:r>
            <w:proofErr w:type="spellStart"/>
            <w:r w:rsidRPr="004C5A7A">
              <w:rPr>
                <w:rFonts w:cs="Arial"/>
                <w:b w:val="0"/>
                <w:bCs w:val="0"/>
              </w:rPr>
              <w:t>expenses</w:t>
            </w:r>
            <w:proofErr w:type="spellEnd"/>
          </w:p>
        </w:tc>
        <w:tc>
          <w:tcPr>
            <w:tcW w:w="1441" w:type="dxa"/>
            <w:shd w:val="clear" w:color="auto" w:fill="auto"/>
            <w:vAlign w:val="bottom"/>
          </w:tcPr>
          <w:p w14:paraId="486979C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11710FC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bottom"/>
          </w:tcPr>
          <w:p w14:paraId="3976E1EB"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(6,353)</w:t>
            </w:r>
          </w:p>
        </w:tc>
        <w:tc>
          <w:tcPr>
            <w:tcW w:w="1720" w:type="dxa"/>
            <w:shd w:val="clear" w:color="auto" w:fill="auto"/>
            <w:vAlign w:val="center"/>
          </w:tcPr>
          <w:p w14:paraId="20C5B6AF"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szCs w:val="14"/>
              </w:rPr>
              <w:t>(8,090)</w:t>
            </w:r>
          </w:p>
        </w:tc>
      </w:tr>
      <w:tr w:rsidR="009E215C" w:rsidRPr="004C5A7A" w14:paraId="32D911D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04D719B" w14:textId="77777777" w:rsidR="009E215C" w:rsidRPr="004C5A7A" w:rsidRDefault="009E215C">
            <w:pPr>
              <w:pStyle w:val="08-Tabelageral"/>
              <w:jc w:val="left"/>
              <w:rPr>
                <w:rFonts w:cs="Arial"/>
                <w:szCs w:val="14"/>
              </w:rPr>
            </w:pPr>
            <w:proofErr w:type="spellStart"/>
            <w:r w:rsidRPr="004C5A7A">
              <w:rPr>
                <w:rFonts w:cs="Arial"/>
              </w:rPr>
              <w:t>Operational</w:t>
            </w:r>
            <w:proofErr w:type="spellEnd"/>
            <w:r w:rsidRPr="004C5A7A">
              <w:rPr>
                <w:rFonts w:cs="Arial"/>
              </w:rPr>
              <w:t xml:space="preserve"> </w:t>
            </w:r>
            <w:proofErr w:type="spellStart"/>
            <w:r w:rsidRPr="004C5A7A">
              <w:rPr>
                <w:rFonts w:cs="Arial"/>
              </w:rPr>
              <w:t>result</w:t>
            </w:r>
            <w:proofErr w:type="spellEnd"/>
          </w:p>
        </w:tc>
        <w:tc>
          <w:tcPr>
            <w:tcW w:w="1441" w:type="dxa"/>
            <w:shd w:val="clear" w:color="auto" w:fill="auto"/>
            <w:vAlign w:val="bottom"/>
          </w:tcPr>
          <w:p w14:paraId="760C12F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484138E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bottom"/>
          </w:tcPr>
          <w:p w14:paraId="09317474"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13,380</w:t>
            </w:r>
          </w:p>
        </w:tc>
        <w:tc>
          <w:tcPr>
            <w:tcW w:w="1720" w:type="dxa"/>
            <w:shd w:val="clear" w:color="auto" w:fill="auto"/>
            <w:vAlign w:val="center"/>
          </w:tcPr>
          <w:p w14:paraId="494D3AE4"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szCs w:val="14"/>
              </w:rPr>
              <w:t>5,894</w:t>
            </w:r>
          </w:p>
        </w:tc>
      </w:tr>
      <w:tr w:rsidR="009E215C" w:rsidRPr="004C5A7A" w14:paraId="4B18250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C8F7812" w14:textId="77777777" w:rsidR="009E215C" w:rsidRPr="004C5A7A" w:rsidRDefault="009E215C">
            <w:pPr>
              <w:pStyle w:val="08-Tabelageral"/>
              <w:jc w:val="left"/>
              <w:rPr>
                <w:rFonts w:cs="Arial"/>
                <w:szCs w:val="14"/>
              </w:rPr>
            </w:pPr>
            <w:r w:rsidRPr="004C5A7A">
              <w:rPr>
                <w:rFonts w:cs="Arial"/>
              </w:rPr>
              <w:t xml:space="preserve">Income </w:t>
            </w:r>
            <w:proofErr w:type="spellStart"/>
            <w:r w:rsidRPr="004C5A7A">
              <w:rPr>
                <w:rFonts w:cs="Arial"/>
              </w:rPr>
              <w:t>before</w:t>
            </w:r>
            <w:proofErr w:type="spellEnd"/>
            <w:r w:rsidRPr="004C5A7A">
              <w:rPr>
                <w:rFonts w:cs="Arial"/>
              </w:rPr>
              <w:t xml:space="preserve"> taxes</w:t>
            </w:r>
          </w:p>
        </w:tc>
        <w:tc>
          <w:tcPr>
            <w:tcW w:w="1441" w:type="dxa"/>
            <w:shd w:val="clear" w:color="auto" w:fill="auto"/>
            <w:vAlign w:val="bottom"/>
          </w:tcPr>
          <w:p w14:paraId="36FE1F2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4DFD37F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0658C5B1"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color w:val="000000"/>
                <w:szCs w:val="14"/>
              </w:rPr>
              <w:t>13,380</w:t>
            </w:r>
          </w:p>
        </w:tc>
        <w:tc>
          <w:tcPr>
            <w:tcW w:w="1720" w:type="dxa"/>
            <w:shd w:val="clear" w:color="auto" w:fill="auto"/>
            <w:vAlign w:val="center"/>
          </w:tcPr>
          <w:p w14:paraId="16A4CB4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szCs w:val="14"/>
              </w:rPr>
              <w:t>5,894</w:t>
            </w:r>
          </w:p>
        </w:tc>
      </w:tr>
      <w:tr w:rsidR="009E215C" w:rsidRPr="004C5A7A" w14:paraId="6348032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852935A" w14:textId="77777777" w:rsidR="009E215C" w:rsidRPr="004C5A7A" w:rsidRDefault="009E215C">
            <w:pPr>
              <w:pStyle w:val="08-Tabelageral"/>
              <w:ind w:left="113"/>
              <w:jc w:val="left"/>
              <w:rPr>
                <w:rFonts w:cs="Arial"/>
                <w:b w:val="0"/>
                <w:bCs w:val="0"/>
                <w:lang w:val="en-US"/>
              </w:rPr>
            </w:pPr>
            <w:r w:rsidRPr="004C5A7A">
              <w:rPr>
                <w:rFonts w:cs="Arial"/>
                <w:b w:val="0"/>
                <w:bCs w:val="0"/>
                <w:lang w:val="en-US"/>
              </w:rPr>
              <w:t>Income Tax and Social Contribution</w:t>
            </w:r>
          </w:p>
        </w:tc>
        <w:tc>
          <w:tcPr>
            <w:tcW w:w="1441" w:type="dxa"/>
            <w:shd w:val="clear" w:color="auto" w:fill="auto"/>
            <w:vAlign w:val="bottom"/>
          </w:tcPr>
          <w:p w14:paraId="12EBDAE9"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p>
        </w:tc>
        <w:tc>
          <w:tcPr>
            <w:tcW w:w="1441" w:type="dxa"/>
            <w:shd w:val="clear" w:color="auto" w:fill="auto"/>
            <w:vAlign w:val="bottom"/>
          </w:tcPr>
          <w:p w14:paraId="7D39CFD1"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p>
        </w:tc>
        <w:tc>
          <w:tcPr>
            <w:tcW w:w="1720" w:type="dxa"/>
            <w:tcBorders>
              <w:top w:val="nil"/>
              <w:left w:val="nil"/>
              <w:bottom w:val="nil"/>
              <w:right w:val="nil"/>
            </w:tcBorders>
            <w:shd w:val="clear" w:color="auto" w:fill="auto"/>
            <w:vAlign w:val="bottom"/>
          </w:tcPr>
          <w:p w14:paraId="2DE68774"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color w:val="000000"/>
                <w:szCs w:val="14"/>
              </w:rPr>
              <w:t>(3,465)</w:t>
            </w:r>
          </w:p>
        </w:tc>
        <w:tc>
          <w:tcPr>
            <w:tcW w:w="1720" w:type="dxa"/>
            <w:shd w:val="clear" w:color="auto" w:fill="auto"/>
            <w:vAlign w:val="center"/>
          </w:tcPr>
          <w:p w14:paraId="7FE730C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szCs w:val="14"/>
              </w:rPr>
              <w:t>(1,470)</w:t>
            </w:r>
          </w:p>
        </w:tc>
      </w:tr>
      <w:tr w:rsidR="009E215C" w:rsidRPr="004C5A7A" w14:paraId="1C43737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CAD2776" w14:textId="77777777" w:rsidR="009E215C" w:rsidRPr="004C5A7A" w:rsidRDefault="009E215C">
            <w:pPr>
              <w:pStyle w:val="08-Tabelageral"/>
              <w:jc w:val="left"/>
              <w:rPr>
                <w:rFonts w:cs="Arial"/>
                <w:szCs w:val="14"/>
              </w:rPr>
            </w:pPr>
            <w:r w:rsidRPr="004C5A7A">
              <w:rPr>
                <w:rFonts w:cs="Arial"/>
              </w:rPr>
              <w:t>Net income</w:t>
            </w:r>
          </w:p>
        </w:tc>
        <w:tc>
          <w:tcPr>
            <w:tcW w:w="1441" w:type="dxa"/>
            <w:shd w:val="clear" w:color="auto" w:fill="auto"/>
            <w:vAlign w:val="bottom"/>
          </w:tcPr>
          <w:p w14:paraId="79CFBA39"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31280D2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688E438C"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color w:val="000000"/>
                <w:szCs w:val="14"/>
              </w:rPr>
              <w:t>9,915</w:t>
            </w:r>
          </w:p>
        </w:tc>
        <w:tc>
          <w:tcPr>
            <w:tcW w:w="1720" w:type="dxa"/>
            <w:shd w:val="clear" w:color="auto" w:fill="auto"/>
            <w:vAlign w:val="center"/>
          </w:tcPr>
          <w:p w14:paraId="34C247A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szCs w:val="14"/>
              </w:rPr>
              <w:t>4,424</w:t>
            </w:r>
          </w:p>
        </w:tc>
      </w:tr>
      <w:tr w:rsidR="009E215C" w:rsidRPr="004C5A7A" w14:paraId="7BB0F4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62B14CA2" w14:textId="77777777" w:rsidR="009E215C" w:rsidRPr="004C5A7A" w:rsidRDefault="009E215C">
            <w:pPr>
              <w:pStyle w:val="08-Tabelageral"/>
              <w:jc w:val="left"/>
              <w:rPr>
                <w:rFonts w:cs="Arial"/>
                <w:szCs w:val="14"/>
              </w:rPr>
            </w:pPr>
            <w:proofErr w:type="spellStart"/>
            <w:r w:rsidRPr="004C5A7A">
              <w:rPr>
                <w:rFonts w:cs="Arial"/>
                <w:color w:val="000000"/>
                <w:szCs w:val="14"/>
              </w:rPr>
              <w:t>Attributable</w:t>
            </w:r>
            <w:proofErr w:type="spellEnd"/>
            <w:r w:rsidRPr="004C5A7A">
              <w:rPr>
                <w:rFonts w:cs="Arial"/>
                <w:color w:val="000000"/>
                <w:szCs w:val="14"/>
              </w:rPr>
              <w:t xml:space="preserve"> </w:t>
            </w:r>
            <w:proofErr w:type="spellStart"/>
            <w:r w:rsidRPr="004C5A7A">
              <w:rPr>
                <w:rFonts w:cs="Arial"/>
                <w:color w:val="000000"/>
                <w:szCs w:val="14"/>
              </w:rPr>
              <w:t>to</w:t>
            </w:r>
            <w:proofErr w:type="spellEnd"/>
            <w:r w:rsidRPr="004C5A7A">
              <w:rPr>
                <w:rFonts w:cs="Arial"/>
                <w:color w:val="000000"/>
                <w:szCs w:val="14"/>
              </w:rPr>
              <w:t xml:space="preserve"> BB Seguridade</w:t>
            </w:r>
          </w:p>
        </w:tc>
        <w:tc>
          <w:tcPr>
            <w:tcW w:w="1441" w:type="dxa"/>
            <w:tcBorders>
              <w:top w:val="nil"/>
              <w:bottom w:val="nil"/>
            </w:tcBorders>
            <w:shd w:val="clear" w:color="auto" w:fill="auto"/>
            <w:vAlign w:val="bottom"/>
          </w:tcPr>
          <w:p w14:paraId="46D5C9B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nil"/>
            </w:tcBorders>
            <w:shd w:val="clear" w:color="auto" w:fill="auto"/>
            <w:vAlign w:val="bottom"/>
          </w:tcPr>
          <w:p w14:paraId="12A8CD79"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nil"/>
            </w:tcBorders>
            <w:shd w:val="clear" w:color="auto" w:fill="auto"/>
            <w:vAlign w:val="bottom"/>
          </w:tcPr>
          <w:p w14:paraId="70DF59D2"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9,915</w:t>
            </w:r>
          </w:p>
        </w:tc>
        <w:tc>
          <w:tcPr>
            <w:tcW w:w="1720" w:type="dxa"/>
            <w:tcBorders>
              <w:top w:val="nil"/>
              <w:bottom w:val="nil"/>
            </w:tcBorders>
            <w:shd w:val="clear" w:color="auto" w:fill="auto"/>
            <w:vAlign w:val="center"/>
          </w:tcPr>
          <w:p w14:paraId="4385B65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szCs w:val="14"/>
              </w:rPr>
              <w:t>4,424</w:t>
            </w:r>
          </w:p>
        </w:tc>
      </w:tr>
      <w:tr w:rsidR="009E215C" w:rsidRPr="004C5A7A" w14:paraId="04D3608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4EA2DA54" w14:textId="77777777" w:rsidR="009E215C" w:rsidRPr="004C5A7A" w:rsidRDefault="009E215C">
            <w:pPr>
              <w:pStyle w:val="08-Tabelageral"/>
              <w:ind w:left="113"/>
              <w:jc w:val="left"/>
              <w:rPr>
                <w:rFonts w:cs="Arial"/>
                <w:b w:val="0"/>
                <w:bCs w:val="0"/>
              </w:rPr>
            </w:pPr>
            <w:r w:rsidRPr="004C5A7A">
              <w:rPr>
                <w:rFonts w:cs="Arial"/>
                <w:b w:val="0"/>
                <w:bCs w:val="0"/>
              </w:rPr>
              <w:t xml:space="preserve">Balance </w:t>
            </w:r>
            <w:proofErr w:type="spellStart"/>
            <w:r w:rsidRPr="004C5A7A">
              <w:rPr>
                <w:rFonts w:cs="Arial"/>
                <w:b w:val="0"/>
                <w:bCs w:val="0"/>
              </w:rPr>
              <w:t>adjustment</w:t>
            </w:r>
            <w:proofErr w:type="spellEnd"/>
          </w:p>
        </w:tc>
        <w:tc>
          <w:tcPr>
            <w:tcW w:w="1441" w:type="dxa"/>
            <w:tcBorders>
              <w:top w:val="nil"/>
              <w:bottom w:val="nil"/>
            </w:tcBorders>
            <w:shd w:val="clear" w:color="auto" w:fill="auto"/>
            <w:vAlign w:val="center"/>
          </w:tcPr>
          <w:p w14:paraId="589EB45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bottom w:val="nil"/>
            </w:tcBorders>
            <w:shd w:val="clear" w:color="auto" w:fill="auto"/>
            <w:vAlign w:val="center"/>
          </w:tcPr>
          <w:p w14:paraId="5B792FB1"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53277B1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b/>
                <w:bCs/>
                <w:color w:val="000000"/>
                <w:szCs w:val="14"/>
              </w:rPr>
              <w:t xml:space="preserve">      7,436</w:t>
            </w:r>
          </w:p>
        </w:tc>
        <w:tc>
          <w:tcPr>
            <w:tcW w:w="1720" w:type="dxa"/>
            <w:tcBorders>
              <w:top w:val="nil"/>
              <w:bottom w:val="nil"/>
            </w:tcBorders>
            <w:shd w:val="clear" w:color="auto" w:fill="auto"/>
            <w:vAlign w:val="center"/>
          </w:tcPr>
          <w:p w14:paraId="2CA9B00B"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b/>
                <w:szCs w:val="14"/>
              </w:rPr>
              <w:t xml:space="preserve">      3,319</w:t>
            </w:r>
          </w:p>
        </w:tc>
      </w:tr>
      <w:tr w:rsidR="009E215C" w:rsidRPr="004C5A7A" w14:paraId="7CFBB4A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3C2BD0CC" w14:textId="77777777" w:rsidR="009E215C" w:rsidRPr="004C5A7A" w:rsidRDefault="009E215C">
            <w:pPr>
              <w:pStyle w:val="08-Tabelageral"/>
              <w:jc w:val="left"/>
              <w:rPr>
                <w:rFonts w:cs="Arial"/>
                <w:szCs w:val="14"/>
              </w:rPr>
            </w:pPr>
            <w:proofErr w:type="spellStart"/>
            <w:r w:rsidRPr="004C5A7A">
              <w:rPr>
                <w:rFonts w:cs="Arial"/>
                <w:color w:val="000000"/>
                <w:szCs w:val="14"/>
              </w:rPr>
              <w:t>Equity</w:t>
            </w:r>
            <w:proofErr w:type="spellEnd"/>
            <w:r w:rsidRPr="004C5A7A">
              <w:rPr>
                <w:rFonts w:cs="Arial"/>
                <w:color w:val="000000"/>
                <w:szCs w:val="14"/>
              </w:rPr>
              <w:t xml:space="preserve"> income</w:t>
            </w:r>
          </w:p>
        </w:tc>
        <w:tc>
          <w:tcPr>
            <w:tcW w:w="1441" w:type="dxa"/>
            <w:tcBorders>
              <w:top w:val="nil"/>
              <w:bottom w:val="single" w:sz="2" w:space="0" w:color="1F3864" w:themeColor="accent1" w:themeShade="80"/>
            </w:tcBorders>
            <w:shd w:val="clear" w:color="auto" w:fill="auto"/>
            <w:vAlign w:val="center"/>
          </w:tcPr>
          <w:p w14:paraId="77F5F833"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shd w:val="clear" w:color="auto" w:fill="auto"/>
            <w:vAlign w:val="center"/>
          </w:tcPr>
          <w:p w14:paraId="323FB16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shd w:val="clear" w:color="auto" w:fill="auto"/>
            <w:vAlign w:val="center"/>
          </w:tcPr>
          <w:p w14:paraId="50861722"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 xml:space="preserve">      7,436</w:t>
            </w:r>
          </w:p>
        </w:tc>
        <w:tc>
          <w:tcPr>
            <w:tcW w:w="1720" w:type="dxa"/>
            <w:tcBorders>
              <w:top w:val="nil"/>
              <w:bottom w:val="single" w:sz="2" w:space="0" w:color="1F3864" w:themeColor="accent1" w:themeShade="80"/>
            </w:tcBorders>
            <w:shd w:val="clear" w:color="auto" w:fill="auto"/>
            <w:vAlign w:val="center"/>
          </w:tcPr>
          <w:p w14:paraId="43325535"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szCs w:val="14"/>
              </w:rPr>
              <w:t>3,319</w:t>
            </w:r>
          </w:p>
        </w:tc>
      </w:tr>
    </w:tbl>
    <w:p w14:paraId="5F4D97A5"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3EBF8B41"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554E0F2F" w14:textId="77777777" w:rsidR="009E215C" w:rsidRPr="004C5A7A" w:rsidRDefault="009E215C" w:rsidP="009E215C">
      <w:pPr>
        <w:keepNext/>
        <w:keepLines/>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2EA95E5C" w14:textId="77777777" w:rsidR="009E215C" w:rsidRPr="004C5A7A" w:rsidRDefault="009E215C" w:rsidP="009E215C">
      <w:pPr>
        <w:pStyle w:val="01-TtulodeNota"/>
        <w:spacing w:before="0" w:after="0"/>
        <w:jc w:val="right"/>
        <w:rPr>
          <w:rFonts w:cs="Arial"/>
          <w:sz w:val="14"/>
          <w:szCs w:val="14"/>
        </w:rPr>
      </w:pPr>
      <w:r w:rsidRPr="004C5A7A">
        <w:rPr>
          <w:rFonts w:cs="Arial"/>
          <w:sz w:val="14"/>
          <w:szCs w:val="14"/>
        </w:rPr>
        <w:t xml:space="preserve">R$ </w:t>
      </w:r>
      <w:proofErr w:type="spellStart"/>
      <w:r w:rsidRPr="004C5A7A">
        <w:rPr>
          <w:rFonts w:cs="Arial"/>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9E215C" w:rsidRPr="00A717CB" w14:paraId="773C9478"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3295B28F" w14:textId="77777777" w:rsidR="009E215C" w:rsidRPr="00A717CB" w:rsidRDefault="009E215C">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33EFE833" w14:textId="77777777" w:rsidR="009E215C" w:rsidRPr="00A717CB"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A717CB">
              <w:rPr>
                <w:rFonts w:cs="Arial"/>
                <w:szCs w:val="14"/>
              </w:rPr>
              <w:t>Dec</w:t>
            </w:r>
            <w:proofErr w:type="spellEnd"/>
            <w:r w:rsidRPr="00A717CB">
              <w:rPr>
                <w:rFonts w:cs="Arial"/>
                <w:szCs w:val="14"/>
              </w:rPr>
              <w:t xml:space="preserve"> 31, 2024</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15ABB49C" w14:textId="77777777" w:rsidR="009E215C" w:rsidRPr="00A717CB"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A717CB">
              <w:rPr>
                <w:rFonts w:cs="Arial"/>
                <w:szCs w:val="14"/>
              </w:rPr>
              <w:t>Dec</w:t>
            </w:r>
            <w:proofErr w:type="spellEnd"/>
            <w:r w:rsidRPr="00A717CB">
              <w:rPr>
                <w:rFonts w:cs="Arial"/>
                <w:szCs w:val="14"/>
              </w:rPr>
              <w:t xml:space="preserve"> 31, 2023</w:t>
            </w:r>
          </w:p>
        </w:tc>
      </w:tr>
      <w:tr w:rsidR="009E215C" w:rsidRPr="00A717CB" w14:paraId="3E47B13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6A18AA97" w14:textId="77777777" w:rsidR="009E215C" w:rsidRPr="00A717CB" w:rsidRDefault="009E215C">
            <w:pPr>
              <w:pStyle w:val="08-Tabelageral"/>
              <w:jc w:val="left"/>
              <w:rPr>
                <w:rFonts w:cs="Arial"/>
                <w:szCs w:val="14"/>
              </w:rPr>
            </w:pPr>
            <w:proofErr w:type="spellStart"/>
            <w:r w:rsidRPr="00A717CB">
              <w:rPr>
                <w:rFonts w:cs="Arial"/>
              </w:rPr>
              <w:t>Current</w:t>
            </w:r>
            <w:proofErr w:type="spellEnd"/>
            <w:r w:rsidRPr="00A717CB">
              <w:rPr>
                <w:rFonts w:cs="Arial"/>
              </w:rPr>
              <w:t xml:space="preserve"> </w:t>
            </w:r>
            <w:proofErr w:type="spellStart"/>
            <w:r w:rsidRPr="00A717CB">
              <w:rPr>
                <w:rFonts w:cs="Arial"/>
              </w:rPr>
              <w:t>Assets</w:t>
            </w:r>
            <w:proofErr w:type="spellEnd"/>
            <w:r w:rsidRPr="00A717CB">
              <w:rPr>
                <w:rFonts w:cs="Arial"/>
              </w:rPr>
              <w:t xml:space="preserve"> </w:t>
            </w:r>
          </w:p>
        </w:tc>
        <w:tc>
          <w:tcPr>
            <w:tcW w:w="2409" w:type="dxa"/>
            <w:tcBorders>
              <w:top w:val="single" w:sz="2" w:space="0" w:color="1F3864" w:themeColor="accent1" w:themeShade="80"/>
              <w:left w:val="nil"/>
              <w:bottom w:val="nil"/>
              <w:right w:val="nil"/>
            </w:tcBorders>
            <w:shd w:val="clear" w:color="auto" w:fill="auto"/>
            <w:vAlign w:val="center"/>
          </w:tcPr>
          <w:p w14:paraId="4F554B61"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color w:val="000000"/>
                <w:szCs w:val="14"/>
              </w:rPr>
              <w:t>19,092</w:t>
            </w:r>
          </w:p>
        </w:tc>
        <w:tc>
          <w:tcPr>
            <w:tcW w:w="2410" w:type="dxa"/>
            <w:tcBorders>
              <w:top w:val="single" w:sz="2" w:space="0" w:color="1F3864" w:themeColor="accent1" w:themeShade="80"/>
              <w:left w:val="nil"/>
              <w:bottom w:val="nil"/>
              <w:right w:val="nil"/>
            </w:tcBorders>
            <w:shd w:val="clear" w:color="auto" w:fill="auto"/>
            <w:vAlign w:val="center"/>
          </w:tcPr>
          <w:p w14:paraId="1639B0FE" w14:textId="2A720179" w:rsidR="009E215C" w:rsidRPr="00A717CB" w:rsidRDefault="009E215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A717CB">
              <w:rPr>
                <w:rFonts w:cs="Arial"/>
                <w:b/>
                <w:bCs/>
              </w:rPr>
              <w:t>11</w:t>
            </w:r>
            <w:r w:rsidR="003D0472" w:rsidRPr="00A717CB">
              <w:rPr>
                <w:rFonts w:cs="Arial"/>
                <w:b/>
                <w:bCs/>
              </w:rPr>
              <w:t>,</w:t>
            </w:r>
            <w:r w:rsidRPr="00A717CB">
              <w:rPr>
                <w:rFonts w:cs="Arial"/>
                <w:b/>
                <w:bCs/>
              </w:rPr>
              <w:t>096</w:t>
            </w:r>
          </w:p>
        </w:tc>
      </w:tr>
      <w:tr w:rsidR="009E215C" w:rsidRPr="00A717CB" w14:paraId="48D3B3E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F65E2D1" w14:textId="77777777" w:rsidR="009E215C" w:rsidRPr="00A717CB" w:rsidRDefault="009E215C">
            <w:pPr>
              <w:pStyle w:val="08-Tabelageral"/>
              <w:ind w:left="113"/>
              <w:jc w:val="left"/>
              <w:rPr>
                <w:rFonts w:cs="Arial"/>
                <w:b w:val="0"/>
                <w:bCs w:val="0"/>
                <w:szCs w:val="14"/>
              </w:rPr>
            </w:pPr>
            <w:r w:rsidRPr="00A717CB">
              <w:rPr>
                <w:rFonts w:cs="Arial"/>
                <w:b w:val="0"/>
                <w:bCs w:val="0"/>
              </w:rPr>
              <w:t xml:space="preserve">Cash </w:t>
            </w:r>
            <w:proofErr w:type="spellStart"/>
            <w:r w:rsidRPr="00A717CB">
              <w:rPr>
                <w:rFonts w:cs="Arial"/>
                <w:b w:val="0"/>
                <w:bCs w:val="0"/>
              </w:rPr>
              <w:t>and</w:t>
            </w:r>
            <w:proofErr w:type="spellEnd"/>
            <w:r w:rsidRPr="00A717CB">
              <w:rPr>
                <w:rFonts w:cs="Arial"/>
                <w:b w:val="0"/>
                <w:bCs w:val="0"/>
              </w:rPr>
              <w:t xml:space="preserve"> cash </w:t>
            </w:r>
            <w:proofErr w:type="spellStart"/>
            <w:r w:rsidRPr="00A717CB">
              <w:rPr>
                <w:rFonts w:cs="Arial"/>
                <w:b w:val="0"/>
                <w:bCs w:val="0"/>
              </w:rPr>
              <w:t>equivalents</w:t>
            </w:r>
            <w:proofErr w:type="spellEnd"/>
          </w:p>
        </w:tc>
        <w:tc>
          <w:tcPr>
            <w:tcW w:w="2409" w:type="dxa"/>
            <w:tcBorders>
              <w:top w:val="nil"/>
              <w:left w:val="nil"/>
              <w:bottom w:val="nil"/>
              <w:right w:val="nil"/>
            </w:tcBorders>
            <w:shd w:val="clear" w:color="auto" w:fill="auto"/>
            <w:vAlign w:val="center"/>
          </w:tcPr>
          <w:p w14:paraId="62BB5E57"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szCs w:val="14"/>
              </w:rPr>
              <w:t>--</w:t>
            </w:r>
          </w:p>
        </w:tc>
        <w:tc>
          <w:tcPr>
            <w:tcW w:w="2410" w:type="dxa"/>
            <w:tcBorders>
              <w:top w:val="nil"/>
              <w:left w:val="nil"/>
              <w:bottom w:val="nil"/>
              <w:right w:val="nil"/>
            </w:tcBorders>
            <w:shd w:val="clear" w:color="auto" w:fill="auto"/>
            <w:vAlign w:val="center"/>
          </w:tcPr>
          <w:p w14:paraId="491F1775" w14:textId="7B0FF27F"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rPr>
              <w:t>3</w:t>
            </w:r>
            <w:r w:rsidR="003D0472" w:rsidRPr="00A717CB">
              <w:rPr>
                <w:rFonts w:cs="Arial"/>
              </w:rPr>
              <w:t>,</w:t>
            </w:r>
            <w:r w:rsidRPr="00A717CB">
              <w:rPr>
                <w:rFonts w:cs="Arial"/>
              </w:rPr>
              <w:t>628</w:t>
            </w:r>
          </w:p>
        </w:tc>
      </w:tr>
      <w:tr w:rsidR="009E215C" w:rsidRPr="00A717CB" w14:paraId="1A392AE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CA97AEF" w14:textId="77777777" w:rsidR="009E215C" w:rsidRPr="00A717CB" w:rsidRDefault="009E215C">
            <w:pPr>
              <w:pStyle w:val="08-Tabelageral"/>
              <w:ind w:left="113"/>
              <w:jc w:val="left"/>
              <w:rPr>
                <w:rFonts w:cs="Arial"/>
                <w:b w:val="0"/>
                <w:bCs w:val="0"/>
                <w:szCs w:val="14"/>
              </w:rPr>
            </w:pPr>
            <w:r w:rsidRPr="00A717CB">
              <w:rPr>
                <w:rFonts w:cs="Arial"/>
                <w:b w:val="0"/>
                <w:bCs w:val="0"/>
              </w:rPr>
              <w:t xml:space="preserve">Financial </w:t>
            </w:r>
            <w:proofErr w:type="spellStart"/>
            <w:r w:rsidRPr="00A717CB">
              <w:rPr>
                <w:rFonts w:cs="Arial"/>
                <w:b w:val="0"/>
                <w:bCs w:val="0"/>
              </w:rPr>
              <w:t>instruments</w:t>
            </w:r>
            <w:proofErr w:type="spellEnd"/>
          </w:p>
        </w:tc>
        <w:tc>
          <w:tcPr>
            <w:tcW w:w="2409" w:type="dxa"/>
            <w:tcBorders>
              <w:top w:val="nil"/>
              <w:left w:val="nil"/>
              <w:bottom w:val="nil"/>
              <w:right w:val="nil"/>
            </w:tcBorders>
            <w:shd w:val="clear" w:color="auto" w:fill="auto"/>
            <w:vAlign w:val="center"/>
          </w:tcPr>
          <w:p w14:paraId="0CDE10BF"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717CB">
              <w:rPr>
                <w:rFonts w:cs="Arial"/>
                <w:color w:val="000000"/>
                <w:szCs w:val="14"/>
              </w:rPr>
              <w:t>10,784</w:t>
            </w:r>
          </w:p>
        </w:tc>
        <w:tc>
          <w:tcPr>
            <w:tcW w:w="2410" w:type="dxa"/>
            <w:tcBorders>
              <w:top w:val="nil"/>
              <w:left w:val="nil"/>
              <w:bottom w:val="nil"/>
              <w:right w:val="nil"/>
            </w:tcBorders>
            <w:shd w:val="clear" w:color="auto" w:fill="auto"/>
            <w:vAlign w:val="center"/>
          </w:tcPr>
          <w:p w14:paraId="3E3534D8"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717CB">
              <w:rPr>
                <w:rFonts w:cs="Arial"/>
              </w:rPr>
              <w:t>1</w:t>
            </w:r>
          </w:p>
        </w:tc>
      </w:tr>
      <w:tr w:rsidR="009E215C" w:rsidRPr="00A717CB" w14:paraId="293C412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E305B28" w14:textId="77777777" w:rsidR="009E215C" w:rsidRPr="00A717CB" w:rsidRDefault="009E215C">
            <w:pPr>
              <w:pStyle w:val="08-Tabelageral"/>
              <w:ind w:left="113"/>
              <w:jc w:val="left"/>
              <w:rPr>
                <w:rFonts w:cs="Arial"/>
                <w:b w:val="0"/>
                <w:bCs w:val="0"/>
                <w:szCs w:val="14"/>
              </w:rPr>
            </w:pPr>
            <w:r w:rsidRPr="00A717CB">
              <w:rPr>
                <w:rFonts w:cs="Arial"/>
                <w:b w:val="0"/>
                <w:bCs w:val="0"/>
              </w:rPr>
              <w:t xml:space="preserve">Other </w:t>
            </w:r>
            <w:proofErr w:type="spellStart"/>
            <w:r w:rsidRPr="00A717CB">
              <w:rPr>
                <w:rFonts w:cs="Arial"/>
                <w:b w:val="0"/>
                <w:bCs w:val="0"/>
              </w:rPr>
              <w:t>assets</w:t>
            </w:r>
            <w:proofErr w:type="spellEnd"/>
          </w:p>
        </w:tc>
        <w:tc>
          <w:tcPr>
            <w:tcW w:w="2409" w:type="dxa"/>
            <w:tcBorders>
              <w:top w:val="nil"/>
              <w:left w:val="nil"/>
              <w:bottom w:val="nil"/>
              <w:right w:val="nil"/>
            </w:tcBorders>
            <w:shd w:val="clear" w:color="auto" w:fill="auto"/>
            <w:vAlign w:val="center"/>
          </w:tcPr>
          <w:p w14:paraId="4025C295"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color w:val="000000"/>
                <w:szCs w:val="14"/>
              </w:rPr>
              <w:t>8,308</w:t>
            </w:r>
          </w:p>
        </w:tc>
        <w:tc>
          <w:tcPr>
            <w:tcW w:w="2410" w:type="dxa"/>
            <w:tcBorders>
              <w:top w:val="nil"/>
              <w:left w:val="nil"/>
              <w:bottom w:val="nil"/>
              <w:right w:val="nil"/>
            </w:tcBorders>
            <w:shd w:val="clear" w:color="auto" w:fill="auto"/>
            <w:vAlign w:val="center"/>
          </w:tcPr>
          <w:p w14:paraId="03A698B0" w14:textId="0110A9F2"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rPr>
              <w:t>7</w:t>
            </w:r>
            <w:r w:rsidR="003D0472" w:rsidRPr="00A717CB">
              <w:rPr>
                <w:rFonts w:cs="Arial"/>
              </w:rPr>
              <w:t>,</w:t>
            </w:r>
            <w:r w:rsidRPr="00A717CB">
              <w:rPr>
                <w:rFonts w:cs="Arial"/>
              </w:rPr>
              <w:t>467</w:t>
            </w:r>
          </w:p>
        </w:tc>
      </w:tr>
      <w:tr w:rsidR="009E215C" w:rsidRPr="00A717CB" w14:paraId="131244B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79C24E7" w14:textId="77777777" w:rsidR="009E215C" w:rsidRPr="00A717CB" w:rsidRDefault="009E215C">
            <w:pPr>
              <w:pStyle w:val="08-Tabelageral"/>
              <w:jc w:val="left"/>
              <w:rPr>
                <w:rFonts w:cs="Arial"/>
                <w:szCs w:val="14"/>
              </w:rPr>
            </w:pPr>
            <w:r w:rsidRPr="00A717CB">
              <w:rPr>
                <w:rFonts w:cs="Arial"/>
              </w:rPr>
              <w:t>Non-</w:t>
            </w:r>
            <w:proofErr w:type="spellStart"/>
            <w:r w:rsidRPr="00A717CB">
              <w:rPr>
                <w:rFonts w:cs="Arial"/>
              </w:rPr>
              <w:t>Current</w:t>
            </w:r>
            <w:proofErr w:type="spellEnd"/>
            <w:r w:rsidRPr="00A717CB">
              <w:rPr>
                <w:rFonts w:cs="Arial"/>
              </w:rPr>
              <w:t xml:space="preserve"> </w:t>
            </w:r>
            <w:proofErr w:type="spellStart"/>
            <w:r w:rsidRPr="00A717CB">
              <w:rPr>
                <w:rFonts w:cs="Arial"/>
              </w:rPr>
              <w:t>Assets</w:t>
            </w:r>
            <w:proofErr w:type="spellEnd"/>
            <w:r w:rsidRPr="00A717CB">
              <w:rPr>
                <w:rFonts w:cs="Arial"/>
              </w:rPr>
              <w:t xml:space="preserve"> </w:t>
            </w:r>
          </w:p>
        </w:tc>
        <w:tc>
          <w:tcPr>
            <w:tcW w:w="2409" w:type="dxa"/>
            <w:tcBorders>
              <w:top w:val="nil"/>
              <w:left w:val="nil"/>
              <w:bottom w:val="nil"/>
              <w:right w:val="nil"/>
            </w:tcBorders>
            <w:shd w:val="clear" w:color="auto" w:fill="auto"/>
            <w:vAlign w:val="center"/>
          </w:tcPr>
          <w:p w14:paraId="0C405A15"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17CB">
              <w:rPr>
                <w:rFonts w:cs="Arial"/>
                <w:b/>
                <w:bCs/>
                <w:color w:val="000000"/>
                <w:szCs w:val="14"/>
              </w:rPr>
              <w:t>5,776</w:t>
            </w:r>
          </w:p>
        </w:tc>
        <w:tc>
          <w:tcPr>
            <w:tcW w:w="2410" w:type="dxa"/>
            <w:tcBorders>
              <w:top w:val="nil"/>
              <w:bottom w:val="nil"/>
            </w:tcBorders>
            <w:shd w:val="clear" w:color="auto" w:fill="auto"/>
            <w:vAlign w:val="center"/>
          </w:tcPr>
          <w:p w14:paraId="1BCC98E5" w14:textId="4FC41C69"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rPr>
              <w:t>7</w:t>
            </w:r>
            <w:r w:rsidR="003D0472" w:rsidRPr="00A717CB">
              <w:rPr>
                <w:rFonts w:cs="Arial"/>
                <w:b/>
                <w:bCs/>
              </w:rPr>
              <w:t>,</w:t>
            </w:r>
            <w:r w:rsidRPr="00A717CB">
              <w:rPr>
                <w:rFonts w:cs="Arial"/>
                <w:b/>
                <w:bCs/>
              </w:rPr>
              <w:t>546</w:t>
            </w:r>
          </w:p>
        </w:tc>
      </w:tr>
      <w:tr w:rsidR="009E215C" w:rsidRPr="00A717CB" w14:paraId="40BAA7D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EE1CFF5" w14:textId="77777777" w:rsidR="009E215C" w:rsidRPr="00A717CB" w:rsidRDefault="009E215C">
            <w:pPr>
              <w:pStyle w:val="08-Tabelageral"/>
              <w:ind w:left="113"/>
              <w:jc w:val="left"/>
              <w:rPr>
                <w:rFonts w:cs="Arial"/>
                <w:b w:val="0"/>
                <w:bCs w:val="0"/>
                <w:szCs w:val="14"/>
              </w:rPr>
            </w:pPr>
            <w:r w:rsidRPr="00A717CB">
              <w:rPr>
                <w:rFonts w:cs="Arial"/>
                <w:b w:val="0"/>
                <w:bCs w:val="0"/>
              </w:rPr>
              <w:t xml:space="preserve">Other </w:t>
            </w:r>
            <w:proofErr w:type="spellStart"/>
            <w:r w:rsidRPr="00A717CB">
              <w:rPr>
                <w:rFonts w:cs="Arial"/>
                <w:b w:val="0"/>
                <w:bCs w:val="0"/>
              </w:rPr>
              <w:t>assets</w:t>
            </w:r>
            <w:proofErr w:type="spellEnd"/>
            <w:r w:rsidRPr="00A717CB">
              <w:rPr>
                <w:rFonts w:cs="Arial"/>
                <w:b w:val="0"/>
                <w:bCs w:val="0"/>
              </w:rPr>
              <w:t xml:space="preserve"> </w:t>
            </w:r>
          </w:p>
        </w:tc>
        <w:tc>
          <w:tcPr>
            <w:tcW w:w="2409" w:type="dxa"/>
            <w:tcBorders>
              <w:top w:val="nil"/>
              <w:left w:val="nil"/>
              <w:bottom w:val="nil"/>
              <w:right w:val="nil"/>
            </w:tcBorders>
            <w:shd w:val="clear" w:color="auto" w:fill="auto"/>
            <w:vAlign w:val="center"/>
          </w:tcPr>
          <w:p w14:paraId="77F3B06F"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717CB">
              <w:rPr>
                <w:rFonts w:cs="Arial"/>
                <w:color w:val="000000"/>
                <w:szCs w:val="14"/>
              </w:rPr>
              <w:t>5,776</w:t>
            </w:r>
          </w:p>
        </w:tc>
        <w:tc>
          <w:tcPr>
            <w:tcW w:w="2410" w:type="dxa"/>
            <w:tcBorders>
              <w:top w:val="nil"/>
              <w:left w:val="nil"/>
              <w:bottom w:val="nil"/>
              <w:right w:val="nil"/>
            </w:tcBorders>
            <w:shd w:val="clear" w:color="auto" w:fill="auto"/>
            <w:vAlign w:val="center"/>
          </w:tcPr>
          <w:p w14:paraId="5AC488A2" w14:textId="6AA127E6"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rPr>
              <w:t>7</w:t>
            </w:r>
            <w:r w:rsidR="003D0472" w:rsidRPr="00A717CB">
              <w:rPr>
                <w:rFonts w:cs="Arial"/>
              </w:rPr>
              <w:t>,</w:t>
            </w:r>
            <w:r w:rsidRPr="00A717CB">
              <w:rPr>
                <w:rFonts w:cs="Arial"/>
              </w:rPr>
              <w:t>546</w:t>
            </w:r>
          </w:p>
        </w:tc>
      </w:tr>
      <w:tr w:rsidR="009E215C" w:rsidRPr="00A717CB" w14:paraId="519B17B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3C68A2C" w14:textId="77777777" w:rsidR="009E215C" w:rsidRPr="00A717CB" w:rsidRDefault="009E215C">
            <w:pPr>
              <w:pStyle w:val="08-Tabelageral"/>
              <w:jc w:val="left"/>
              <w:rPr>
                <w:rFonts w:cs="Arial"/>
              </w:rPr>
            </w:pPr>
            <w:r w:rsidRPr="00A717CB">
              <w:rPr>
                <w:rFonts w:cs="Arial"/>
                <w:color w:val="000000"/>
                <w:szCs w:val="14"/>
              </w:rPr>
              <w:t xml:space="preserve">Total </w:t>
            </w:r>
            <w:proofErr w:type="spellStart"/>
            <w:r w:rsidRPr="00A717CB">
              <w:rPr>
                <w:rFonts w:cs="Arial"/>
                <w:color w:val="000000"/>
                <w:szCs w:val="14"/>
              </w:rPr>
              <w:t>Assets</w:t>
            </w:r>
            <w:proofErr w:type="spellEnd"/>
          </w:p>
        </w:tc>
        <w:tc>
          <w:tcPr>
            <w:tcW w:w="2409" w:type="dxa"/>
            <w:tcBorders>
              <w:top w:val="nil"/>
              <w:bottom w:val="nil"/>
            </w:tcBorders>
            <w:shd w:val="clear" w:color="auto" w:fill="auto"/>
            <w:vAlign w:val="center"/>
          </w:tcPr>
          <w:p w14:paraId="02AF9F5E"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color w:val="000000"/>
                <w:szCs w:val="14"/>
              </w:rPr>
              <w:t>24,868</w:t>
            </w:r>
          </w:p>
        </w:tc>
        <w:tc>
          <w:tcPr>
            <w:tcW w:w="2410" w:type="dxa"/>
            <w:tcBorders>
              <w:top w:val="nil"/>
              <w:bottom w:val="nil"/>
            </w:tcBorders>
            <w:shd w:val="clear" w:color="auto" w:fill="auto"/>
            <w:vAlign w:val="center"/>
          </w:tcPr>
          <w:p w14:paraId="26818369"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rPr>
              <w:t>18,642</w:t>
            </w:r>
          </w:p>
        </w:tc>
      </w:tr>
      <w:tr w:rsidR="009E215C" w:rsidRPr="00A717CB" w14:paraId="06B2ADE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5E94CF3" w14:textId="77777777" w:rsidR="009E215C" w:rsidRPr="00A717CB" w:rsidRDefault="009E215C">
            <w:pPr>
              <w:pStyle w:val="08-Tabelageral"/>
              <w:jc w:val="left"/>
              <w:rPr>
                <w:rFonts w:cs="Arial"/>
              </w:rPr>
            </w:pPr>
          </w:p>
        </w:tc>
        <w:tc>
          <w:tcPr>
            <w:tcW w:w="2409" w:type="dxa"/>
            <w:tcBorders>
              <w:top w:val="nil"/>
              <w:bottom w:val="nil"/>
            </w:tcBorders>
            <w:shd w:val="clear" w:color="auto" w:fill="auto"/>
            <w:vAlign w:val="center"/>
          </w:tcPr>
          <w:p w14:paraId="2239EA15"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2410" w:type="dxa"/>
            <w:tcBorders>
              <w:top w:val="nil"/>
              <w:bottom w:val="nil"/>
            </w:tcBorders>
            <w:shd w:val="clear" w:color="auto" w:fill="auto"/>
            <w:vAlign w:val="center"/>
          </w:tcPr>
          <w:p w14:paraId="22D5FF5F"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r>
      <w:tr w:rsidR="009E215C" w:rsidRPr="00A717CB" w14:paraId="52F01FB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FC5B728" w14:textId="77777777" w:rsidR="009E215C" w:rsidRPr="00A717CB" w:rsidRDefault="009E215C">
            <w:pPr>
              <w:pStyle w:val="08-Tabelageral"/>
              <w:jc w:val="left"/>
              <w:rPr>
                <w:rFonts w:cs="Arial"/>
                <w:szCs w:val="14"/>
              </w:rPr>
            </w:pPr>
            <w:proofErr w:type="spellStart"/>
            <w:r w:rsidRPr="00A717CB">
              <w:rPr>
                <w:rFonts w:cs="Arial"/>
              </w:rPr>
              <w:t>Current</w:t>
            </w:r>
            <w:proofErr w:type="spellEnd"/>
            <w:r w:rsidRPr="00A717CB">
              <w:rPr>
                <w:rFonts w:cs="Arial"/>
              </w:rPr>
              <w:t xml:space="preserve"> </w:t>
            </w:r>
            <w:proofErr w:type="spellStart"/>
            <w:r w:rsidRPr="00A717CB">
              <w:rPr>
                <w:rFonts w:cs="Arial"/>
              </w:rPr>
              <w:t>Liabilities</w:t>
            </w:r>
            <w:proofErr w:type="spellEnd"/>
          </w:p>
        </w:tc>
        <w:tc>
          <w:tcPr>
            <w:tcW w:w="2409" w:type="dxa"/>
            <w:tcBorders>
              <w:top w:val="nil"/>
              <w:bottom w:val="nil"/>
            </w:tcBorders>
            <w:shd w:val="clear" w:color="auto" w:fill="auto"/>
            <w:vAlign w:val="center"/>
          </w:tcPr>
          <w:p w14:paraId="2F103D45"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17CB">
              <w:rPr>
                <w:rFonts w:cs="Arial"/>
                <w:b/>
                <w:bCs/>
                <w:color w:val="000000"/>
                <w:szCs w:val="14"/>
              </w:rPr>
              <w:t>8,991</w:t>
            </w:r>
          </w:p>
        </w:tc>
        <w:tc>
          <w:tcPr>
            <w:tcW w:w="2410" w:type="dxa"/>
            <w:tcBorders>
              <w:top w:val="nil"/>
              <w:bottom w:val="nil"/>
            </w:tcBorders>
            <w:shd w:val="clear" w:color="auto" w:fill="auto"/>
            <w:vAlign w:val="center"/>
          </w:tcPr>
          <w:p w14:paraId="1D0B3B56" w14:textId="1C9D12D3"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rPr>
              <w:t>12</w:t>
            </w:r>
            <w:r w:rsidR="003D0472" w:rsidRPr="00A717CB">
              <w:rPr>
                <w:rFonts w:cs="Arial"/>
                <w:b/>
                <w:bCs/>
              </w:rPr>
              <w:t>,</w:t>
            </w:r>
            <w:r w:rsidRPr="00A717CB">
              <w:rPr>
                <w:rFonts w:cs="Arial"/>
                <w:b/>
                <w:bCs/>
              </w:rPr>
              <w:t>609</w:t>
            </w:r>
          </w:p>
        </w:tc>
      </w:tr>
      <w:tr w:rsidR="009E215C" w:rsidRPr="00A717CB" w14:paraId="3799EF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0FDA8A3" w14:textId="77777777" w:rsidR="009E215C" w:rsidRPr="00A717CB" w:rsidRDefault="009E215C">
            <w:pPr>
              <w:pStyle w:val="08-Tabelageral"/>
              <w:ind w:left="113"/>
              <w:jc w:val="left"/>
              <w:rPr>
                <w:rFonts w:cs="Arial"/>
                <w:b w:val="0"/>
                <w:bCs w:val="0"/>
                <w:szCs w:val="14"/>
              </w:rPr>
            </w:pPr>
            <w:r w:rsidRPr="00A717CB">
              <w:rPr>
                <w:rFonts w:cs="Arial"/>
                <w:b w:val="0"/>
                <w:bCs w:val="0"/>
              </w:rPr>
              <w:t xml:space="preserve">Financial </w:t>
            </w:r>
            <w:proofErr w:type="spellStart"/>
            <w:r w:rsidRPr="00A717CB">
              <w:rPr>
                <w:rFonts w:cs="Arial"/>
                <w:b w:val="0"/>
                <w:bCs w:val="0"/>
              </w:rPr>
              <w:t>liabilities</w:t>
            </w:r>
            <w:proofErr w:type="spellEnd"/>
          </w:p>
        </w:tc>
        <w:tc>
          <w:tcPr>
            <w:tcW w:w="2409" w:type="dxa"/>
            <w:tcBorders>
              <w:top w:val="nil"/>
              <w:bottom w:val="nil"/>
            </w:tcBorders>
            <w:shd w:val="clear" w:color="auto" w:fill="auto"/>
            <w:vAlign w:val="center"/>
          </w:tcPr>
          <w:p w14:paraId="7E3B6A66"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A717CB">
              <w:rPr>
                <w:rFonts w:cs="Arial"/>
                <w:color w:val="000000"/>
                <w:szCs w:val="14"/>
              </w:rPr>
              <w:t>1,187</w:t>
            </w:r>
          </w:p>
        </w:tc>
        <w:tc>
          <w:tcPr>
            <w:tcW w:w="2410" w:type="dxa"/>
            <w:tcBorders>
              <w:top w:val="nil"/>
              <w:bottom w:val="nil"/>
            </w:tcBorders>
            <w:shd w:val="clear" w:color="auto" w:fill="auto"/>
            <w:vAlign w:val="center"/>
          </w:tcPr>
          <w:p w14:paraId="486DCE8E" w14:textId="22C7298A"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A717CB">
              <w:rPr>
                <w:rFonts w:cs="Arial"/>
              </w:rPr>
              <w:t>1</w:t>
            </w:r>
            <w:r w:rsidR="004314DD" w:rsidRPr="00A717CB">
              <w:rPr>
                <w:rFonts w:cs="Arial"/>
              </w:rPr>
              <w:t>,</w:t>
            </w:r>
            <w:r w:rsidRPr="00A717CB">
              <w:rPr>
                <w:rFonts w:cs="Arial"/>
              </w:rPr>
              <w:t>341</w:t>
            </w:r>
          </w:p>
        </w:tc>
      </w:tr>
      <w:tr w:rsidR="009E215C" w:rsidRPr="00A717CB" w14:paraId="6D55F05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773F0C1" w14:textId="77777777" w:rsidR="009E215C" w:rsidRPr="00A717CB" w:rsidRDefault="009E215C">
            <w:pPr>
              <w:pStyle w:val="08-Tabelageral"/>
              <w:ind w:left="113"/>
              <w:jc w:val="left"/>
              <w:rPr>
                <w:rFonts w:cs="Arial"/>
                <w:b w:val="0"/>
                <w:bCs w:val="0"/>
                <w:color w:val="FF0000"/>
                <w:szCs w:val="14"/>
              </w:rPr>
            </w:pPr>
            <w:proofErr w:type="spellStart"/>
            <w:r w:rsidRPr="00A717CB">
              <w:rPr>
                <w:rFonts w:cs="Arial"/>
                <w:b w:val="0"/>
                <w:bCs w:val="0"/>
              </w:rPr>
              <w:t>Technical</w:t>
            </w:r>
            <w:proofErr w:type="spellEnd"/>
            <w:r w:rsidRPr="00A717CB">
              <w:rPr>
                <w:rFonts w:cs="Arial"/>
                <w:b w:val="0"/>
                <w:bCs w:val="0"/>
              </w:rPr>
              <w:t xml:space="preserve"> </w:t>
            </w:r>
            <w:proofErr w:type="spellStart"/>
            <w:r w:rsidRPr="00A717CB">
              <w:rPr>
                <w:rFonts w:cs="Arial"/>
                <w:b w:val="0"/>
                <w:bCs w:val="0"/>
              </w:rPr>
              <w:t>provisions</w:t>
            </w:r>
            <w:proofErr w:type="spellEnd"/>
          </w:p>
        </w:tc>
        <w:tc>
          <w:tcPr>
            <w:tcW w:w="2409" w:type="dxa"/>
            <w:tcBorders>
              <w:top w:val="nil"/>
              <w:bottom w:val="nil"/>
            </w:tcBorders>
            <w:shd w:val="clear" w:color="auto" w:fill="auto"/>
            <w:vAlign w:val="center"/>
          </w:tcPr>
          <w:p w14:paraId="25E7F6B4"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717CB">
              <w:rPr>
                <w:rFonts w:cs="Arial"/>
                <w:color w:val="000000"/>
                <w:szCs w:val="14"/>
              </w:rPr>
              <w:t>3,246</w:t>
            </w:r>
          </w:p>
        </w:tc>
        <w:tc>
          <w:tcPr>
            <w:tcW w:w="2410" w:type="dxa"/>
            <w:tcBorders>
              <w:top w:val="nil"/>
              <w:bottom w:val="nil"/>
            </w:tcBorders>
            <w:shd w:val="clear" w:color="auto" w:fill="auto"/>
            <w:vAlign w:val="center"/>
          </w:tcPr>
          <w:p w14:paraId="4EF02205" w14:textId="5B318A9E"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A717CB">
              <w:rPr>
                <w:rFonts w:cs="Arial"/>
              </w:rPr>
              <w:t>3</w:t>
            </w:r>
            <w:r w:rsidR="004314DD" w:rsidRPr="00A717CB">
              <w:rPr>
                <w:rFonts w:cs="Arial"/>
              </w:rPr>
              <w:t>,</w:t>
            </w:r>
            <w:r w:rsidRPr="00A717CB">
              <w:rPr>
                <w:rFonts w:cs="Arial"/>
              </w:rPr>
              <w:t>351</w:t>
            </w:r>
          </w:p>
        </w:tc>
      </w:tr>
      <w:tr w:rsidR="009E215C" w:rsidRPr="00A717CB" w14:paraId="3A70A26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4F2CB65" w14:textId="77777777" w:rsidR="009E215C" w:rsidRPr="00A717CB" w:rsidRDefault="009E215C">
            <w:pPr>
              <w:pStyle w:val="08-Tabelageral"/>
              <w:ind w:left="113"/>
              <w:jc w:val="left"/>
              <w:rPr>
                <w:rFonts w:cs="Arial"/>
                <w:b w:val="0"/>
                <w:bCs w:val="0"/>
              </w:rPr>
            </w:pPr>
            <w:r w:rsidRPr="00A717CB">
              <w:rPr>
                <w:rFonts w:cs="Arial"/>
                <w:b w:val="0"/>
                <w:bCs w:val="0"/>
              </w:rPr>
              <w:t xml:space="preserve">Other </w:t>
            </w:r>
            <w:proofErr w:type="spellStart"/>
            <w:r w:rsidRPr="00A717CB">
              <w:rPr>
                <w:rFonts w:cs="Arial"/>
                <w:b w:val="0"/>
                <w:bCs w:val="0"/>
              </w:rPr>
              <w:t>liabilities</w:t>
            </w:r>
            <w:proofErr w:type="spellEnd"/>
          </w:p>
        </w:tc>
        <w:tc>
          <w:tcPr>
            <w:tcW w:w="2409" w:type="dxa"/>
            <w:tcBorders>
              <w:top w:val="nil"/>
              <w:left w:val="nil"/>
              <w:bottom w:val="nil"/>
              <w:right w:val="nil"/>
            </w:tcBorders>
            <w:shd w:val="clear" w:color="auto" w:fill="auto"/>
            <w:vAlign w:val="center"/>
          </w:tcPr>
          <w:p w14:paraId="4171B0BE"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717CB">
              <w:rPr>
                <w:rFonts w:cs="Arial"/>
                <w:color w:val="000000"/>
                <w:szCs w:val="14"/>
              </w:rPr>
              <w:t>4,558</w:t>
            </w:r>
          </w:p>
        </w:tc>
        <w:tc>
          <w:tcPr>
            <w:tcW w:w="2410" w:type="dxa"/>
            <w:tcBorders>
              <w:top w:val="nil"/>
              <w:left w:val="nil"/>
              <w:bottom w:val="nil"/>
              <w:right w:val="nil"/>
            </w:tcBorders>
            <w:shd w:val="clear" w:color="auto" w:fill="auto"/>
            <w:vAlign w:val="center"/>
          </w:tcPr>
          <w:p w14:paraId="419634B4" w14:textId="05D61EB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rPr>
              <w:t>7</w:t>
            </w:r>
            <w:r w:rsidR="004314DD" w:rsidRPr="00A717CB">
              <w:rPr>
                <w:rFonts w:cs="Arial"/>
              </w:rPr>
              <w:t>,</w:t>
            </w:r>
            <w:r w:rsidRPr="00A717CB">
              <w:rPr>
                <w:rFonts w:cs="Arial"/>
              </w:rPr>
              <w:t>917</w:t>
            </w:r>
          </w:p>
        </w:tc>
      </w:tr>
      <w:tr w:rsidR="009E215C" w:rsidRPr="00A717CB" w14:paraId="0A48C24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E130810" w14:textId="77777777" w:rsidR="009E215C" w:rsidRPr="00A717CB" w:rsidRDefault="009E215C">
            <w:pPr>
              <w:pStyle w:val="08-Tabelageral"/>
              <w:jc w:val="left"/>
              <w:rPr>
                <w:rFonts w:cs="Arial"/>
              </w:rPr>
            </w:pPr>
            <w:proofErr w:type="spellStart"/>
            <w:r w:rsidRPr="00A717CB">
              <w:rPr>
                <w:rFonts w:cs="Arial"/>
              </w:rPr>
              <w:t>Equity</w:t>
            </w:r>
            <w:proofErr w:type="spellEnd"/>
          </w:p>
        </w:tc>
        <w:tc>
          <w:tcPr>
            <w:tcW w:w="2409" w:type="dxa"/>
            <w:tcBorders>
              <w:top w:val="nil"/>
              <w:bottom w:val="nil"/>
            </w:tcBorders>
            <w:shd w:val="clear" w:color="auto" w:fill="auto"/>
            <w:vAlign w:val="center"/>
          </w:tcPr>
          <w:p w14:paraId="0B28FB99"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17CB">
              <w:rPr>
                <w:rFonts w:cs="Arial"/>
                <w:b/>
                <w:bCs/>
                <w:color w:val="000000"/>
                <w:szCs w:val="14"/>
              </w:rPr>
              <w:t>15,877</w:t>
            </w:r>
          </w:p>
        </w:tc>
        <w:tc>
          <w:tcPr>
            <w:tcW w:w="2410" w:type="dxa"/>
            <w:tcBorders>
              <w:top w:val="nil"/>
              <w:bottom w:val="nil"/>
            </w:tcBorders>
            <w:shd w:val="clear" w:color="auto" w:fill="auto"/>
            <w:vAlign w:val="center"/>
          </w:tcPr>
          <w:p w14:paraId="3E48CF62" w14:textId="79D8CBB5"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rPr>
              <w:t>6</w:t>
            </w:r>
            <w:r w:rsidR="004314DD" w:rsidRPr="00A717CB">
              <w:rPr>
                <w:rFonts w:cs="Arial"/>
                <w:b/>
                <w:bCs/>
              </w:rPr>
              <w:t>,</w:t>
            </w:r>
            <w:r w:rsidRPr="00A717CB">
              <w:rPr>
                <w:rFonts w:cs="Arial"/>
                <w:b/>
                <w:bCs/>
              </w:rPr>
              <w:t>033</w:t>
            </w:r>
          </w:p>
        </w:tc>
      </w:tr>
      <w:tr w:rsidR="009E215C" w:rsidRPr="00A717CB" w14:paraId="2D293CB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45242A3" w14:textId="77777777" w:rsidR="009E215C" w:rsidRPr="00A717CB" w:rsidRDefault="009E215C">
            <w:pPr>
              <w:pStyle w:val="08-Tabelageral"/>
              <w:jc w:val="left"/>
              <w:rPr>
                <w:rFonts w:cs="Arial"/>
              </w:rPr>
            </w:pPr>
            <w:proofErr w:type="spellStart"/>
            <w:r w:rsidRPr="00A717CB">
              <w:rPr>
                <w:rFonts w:cs="Arial"/>
                <w:color w:val="000000"/>
                <w:szCs w:val="14"/>
              </w:rPr>
              <w:t>Liabilities</w:t>
            </w:r>
            <w:proofErr w:type="spellEnd"/>
            <w:r w:rsidRPr="00A717CB">
              <w:rPr>
                <w:rFonts w:cs="Arial"/>
                <w:color w:val="000000"/>
                <w:szCs w:val="14"/>
              </w:rPr>
              <w:t xml:space="preserve"> </w:t>
            </w:r>
            <w:proofErr w:type="spellStart"/>
            <w:r w:rsidRPr="00A717CB">
              <w:rPr>
                <w:rFonts w:cs="Arial"/>
                <w:color w:val="000000"/>
                <w:szCs w:val="14"/>
              </w:rPr>
              <w:t>and</w:t>
            </w:r>
            <w:proofErr w:type="spellEnd"/>
            <w:r w:rsidRPr="00A717CB">
              <w:rPr>
                <w:rFonts w:cs="Arial"/>
                <w:color w:val="000000"/>
                <w:szCs w:val="14"/>
              </w:rPr>
              <w:t xml:space="preserve"> </w:t>
            </w:r>
            <w:proofErr w:type="spellStart"/>
            <w:r w:rsidRPr="00A717CB">
              <w:rPr>
                <w:rFonts w:cs="Arial"/>
                <w:color w:val="000000"/>
                <w:szCs w:val="14"/>
              </w:rPr>
              <w:t>Equity</w:t>
            </w:r>
            <w:proofErr w:type="spellEnd"/>
          </w:p>
        </w:tc>
        <w:tc>
          <w:tcPr>
            <w:tcW w:w="2409" w:type="dxa"/>
            <w:tcBorders>
              <w:top w:val="nil"/>
              <w:bottom w:val="nil"/>
            </w:tcBorders>
            <w:shd w:val="clear" w:color="auto" w:fill="auto"/>
            <w:vAlign w:val="center"/>
          </w:tcPr>
          <w:p w14:paraId="02D33213"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A717CB">
              <w:rPr>
                <w:rFonts w:cs="Arial"/>
                <w:b/>
                <w:bCs/>
                <w:color w:val="000000"/>
                <w:szCs w:val="14"/>
              </w:rPr>
              <w:t>24,868</w:t>
            </w:r>
          </w:p>
        </w:tc>
        <w:tc>
          <w:tcPr>
            <w:tcW w:w="2410" w:type="dxa"/>
            <w:tcBorders>
              <w:top w:val="nil"/>
              <w:bottom w:val="nil"/>
            </w:tcBorders>
            <w:shd w:val="clear" w:color="auto" w:fill="auto"/>
            <w:vAlign w:val="center"/>
          </w:tcPr>
          <w:p w14:paraId="7B34A19F"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A717CB">
              <w:rPr>
                <w:rFonts w:cs="Arial"/>
                <w:b/>
                <w:bCs/>
              </w:rPr>
              <w:t>18,642</w:t>
            </w:r>
          </w:p>
        </w:tc>
      </w:tr>
      <w:tr w:rsidR="009E215C" w:rsidRPr="00A717CB" w14:paraId="57E3D1F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20BDF53" w14:textId="77777777" w:rsidR="009E215C" w:rsidRPr="00A717CB" w:rsidRDefault="009E215C">
            <w:pPr>
              <w:pStyle w:val="08-Tabelageral"/>
              <w:jc w:val="left"/>
              <w:rPr>
                <w:rFonts w:cs="Arial"/>
              </w:rPr>
            </w:pPr>
            <w:proofErr w:type="spellStart"/>
            <w:r w:rsidRPr="00A717CB">
              <w:rPr>
                <w:rFonts w:cs="Arial"/>
              </w:rPr>
              <w:t>Attributable</w:t>
            </w:r>
            <w:proofErr w:type="spellEnd"/>
            <w:r w:rsidRPr="00A717CB">
              <w:rPr>
                <w:rFonts w:cs="Arial"/>
              </w:rPr>
              <w:t xml:space="preserve"> </w:t>
            </w:r>
            <w:proofErr w:type="spellStart"/>
            <w:r w:rsidRPr="00A717CB">
              <w:rPr>
                <w:rFonts w:cs="Arial"/>
              </w:rPr>
              <w:t>to</w:t>
            </w:r>
            <w:proofErr w:type="spellEnd"/>
            <w:r w:rsidRPr="00A717CB">
              <w:rPr>
                <w:rFonts w:cs="Arial"/>
              </w:rPr>
              <w:t xml:space="preserve"> BB Seguridade</w:t>
            </w:r>
          </w:p>
        </w:tc>
        <w:tc>
          <w:tcPr>
            <w:tcW w:w="2409" w:type="dxa"/>
            <w:tcBorders>
              <w:top w:val="nil"/>
              <w:bottom w:val="nil"/>
            </w:tcBorders>
            <w:shd w:val="clear" w:color="auto" w:fill="auto"/>
            <w:vAlign w:val="center"/>
          </w:tcPr>
          <w:p w14:paraId="3C8343A0"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717CB">
              <w:rPr>
                <w:rFonts w:cs="Arial"/>
                <w:b/>
                <w:bCs/>
                <w:color w:val="000000"/>
                <w:szCs w:val="14"/>
              </w:rPr>
              <w:t xml:space="preserve">      11,908</w:t>
            </w:r>
          </w:p>
        </w:tc>
        <w:tc>
          <w:tcPr>
            <w:tcW w:w="2410" w:type="dxa"/>
            <w:tcBorders>
              <w:top w:val="nil"/>
              <w:bottom w:val="nil"/>
            </w:tcBorders>
            <w:shd w:val="clear" w:color="auto" w:fill="auto"/>
            <w:vAlign w:val="center"/>
          </w:tcPr>
          <w:p w14:paraId="12C62E1D" w14:textId="0E0F7F7C"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rPr>
              <w:t>4</w:t>
            </w:r>
            <w:r w:rsidR="004314DD" w:rsidRPr="00A717CB">
              <w:rPr>
                <w:rFonts w:cs="Arial"/>
                <w:b/>
                <w:bCs/>
              </w:rPr>
              <w:t>,</w:t>
            </w:r>
            <w:r w:rsidRPr="00A717CB">
              <w:rPr>
                <w:rFonts w:cs="Arial"/>
                <w:b/>
                <w:bCs/>
              </w:rPr>
              <w:t>525</w:t>
            </w:r>
          </w:p>
        </w:tc>
      </w:tr>
      <w:tr w:rsidR="009E215C" w:rsidRPr="00A717CB" w14:paraId="120819B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9FB0337" w14:textId="77777777" w:rsidR="009E215C" w:rsidRPr="00A717CB" w:rsidRDefault="009E215C">
            <w:pPr>
              <w:pStyle w:val="08-Tabelageral"/>
              <w:ind w:left="113"/>
              <w:jc w:val="left"/>
              <w:rPr>
                <w:rFonts w:cs="Arial"/>
                <w:b w:val="0"/>
                <w:bCs w:val="0"/>
              </w:rPr>
            </w:pPr>
            <w:proofErr w:type="spellStart"/>
            <w:r w:rsidRPr="00A717CB">
              <w:rPr>
                <w:rFonts w:cs="Arial"/>
                <w:b w:val="0"/>
                <w:bCs w:val="0"/>
              </w:rPr>
              <w:t>Results</w:t>
            </w:r>
            <w:proofErr w:type="spellEnd"/>
            <w:r w:rsidRPr="00A717CB">
              <w:rPr>
                <w:rFonts w:cs="Arial"/>
                <w:b w:val="0"/>
                <w:bCs w:val="0"/>
              </w:rPr>
              <w:t xml:space="preserve"> </w:t>
            </w:r>
            <w:proofErr w:type="spellStart"/>
            <w:r w:rsidRPr="00A717CB">
              <w:rPr>
                <w:rFonts w:cs="Arial"/>
                <w:b w:val="0"/>
                <w:bCs w:val="0"/>
              </w:rPr>
              <w:t>from</w:t>
            </w:r>
            <w:proofErr w:type="spellEnd"/>
            <w:r w:rsidRPr="00A717CB">
              <w:rPr>
                <w:rFonts w:cs="Arial"/>
                <w:b w:val="0"/>
                <w:bCs w:val="0"/>
              </w:rPr>
              <w:t xml:space="preserve"> </w:t>
            </w:r>
            <w:proofErr w:type="spellStart"/>
            <w:r w:rsidRPr="00A717CB">
              <w:rPr>
                <w:rFonts w:cs="Arial"/>
                <w:b w:val="0"/>
                <w:bCs w:val="0"/>
              </w:rPr>
              <w:t>previous</w:t>
            </w:r>
            <w:proofErr w:type="spellEnd"/>
            <w:r w:rsidRPr="00A717CB">
              <w:rPr>
                <w:rFonts w:cs="Arial"/>
                <w:b w:val="0"/>
                <w:bCs w:val="0"/>
              </w:rPr>
              <w:t xml:space="preserve"> </w:t>
            </w:r>
            <w:proofErr w:type="spellStart"/>
            <w:r w:rsidRPr="00A717CB">
              <w:rPr>
                <w:rFonts w:cs="Arial"/>
                <w:b w:val="0"/>
                <w:bCs w:val="0"/>
              </w:rPr>
              <w:t>exercises</w:t>
            </w:r>
            <w:proofErr w:type="spellEnd"/>
            <w:r w:rsidRPr="00A717CB">
              <w:rPr>
                <w:rFonts w:cs="Arial"/>
                <w:b w:val="0"/>
                <w:bCs w:val="0"/>
              </w:rPr>
              <w:t xml:space="preserve"> </w:t>
            </w:r>
            <w:r w:rsidRPr="00A717CB">
              <w:rPr>
                <w:rFonts w:cs="Arial"/>
                <w:b w:val="0"/>
                <w:bCs w:val="0"/>
                <w:vertAlign w:val="superscript"/>
              </w:rPr>
              <w:t>(1)</w:t>
            </w:r>
          </w:p>
        </w:tc>
        <w:tc>
          <w:tcPr>
            <w:tcW w:w="2409" w:type="dxa"/>
            <w:tcBorders>
              <w:top w:val="nil"/>
              <w:bottom w:val="nil"/>
            </w:tcBorders>
            <w:shd w:val="clear" w:color="auto" w:fill="auto"/>
            <w:vAlign w:val="center"/>
          </w:tcPr>
          <w:p w14:paraId="0DB732F2"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szCs w:val="14"/>
              </w:rPr>
              <w:t>133</w:t>
            </w:r>
          </w:p>
        </w:tc>
        <w:tc>
          <w:tcPr>
            <w:tcW w:w="2410" w:type="dxa"/>
            <w:tcBorders>
              <w:top w:val="nil"/>
              <w:bottom w:val="nil"/>
            </w:tcBorders>
            <w:shd w:val="clear" w:color="auto" w:fill="auto"/>
            <w:vAlign w:val="center"/>
          </w:tcPr>
          <w:p w14:paraId="482A18D9" w14:textId="77777777" w:rsidR="009E215C" w:rsidRPr="00A717CB"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A717CB">
              <w:rPr>
                <w:rFonts w:cs="Arial"/>
              </w:rPr>
              <w:t>(166)</w:t>
            </w:r>
          </w:p>
        </w:tc>
      </w:tr>
      <w:tr w:rsidR="009E215C" w:rsidRPr="00A717CB" w14:paraId="7550833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5BD070DA" w14:textId="77777777" w:rsidR="009E215C" w:rsidRPr="00A717CB" w:rsidRDefault="009E215C">
            <w:pPr>
              <w:pStyle w:val="08-Tabelageral"/>
              <w:jc w:val="left"/>
              <w:rPr>
                <w:rFonts w:cs="Arial"/>
              </w:rPr>
            </w:pPr>
            <w:proofErr w:type="spellStart"/>
            <w:r w:rsidRPr="00A717CB">
              <w:rPr>
                <w:rFonts w:cs="Arial"/>
              </w:rPr>
              <w:t>Investment</w:t>
            </w:r>
            <w:proofErr w:type="spellEnd"/>
            <w:r w:rsidRPr="00A717CB">
              <w:rPr>
                <w:rFonts w:cs="Arial"/>
              </w:rPr>
              <w:t xml:space="preserve"> balance</w:t>
            </w:r>
          </w:p>
        </w:tc>
        <w:tc>
          <w:tcPr>
            <w:tcW w:w="2409" w:type="dxa"/>
            <w:tcBorders>
              <w:top w:val="nil"/>
              <w:left w:val="nil"/>
              <w:bottom w:val="single" w:sz="2" w:space="0" w:color="1F3864" w:themeColor="accent1" w:themeShade="80"/>
              <w:right w:val="nil"/>
            </w:tcBorders>
            <w:shd w:val="clear" w:color="auto" w:fill="auto"/>
            <w:vAlign w:val="center"/>
          </w:tcPr>
          <w:p w14:paraId="66864B70" w14:textId="77777777"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szCs w:val="14"/>
              </w:rPr>
              <w:t>12,041</w:t>
            </w:r>
          </w:p>
        </w:tc>
        <w:tc>
          <w:tcPr>
            <w:tcW w:w="2410" w:type="dxa"/>
            <w:tcBorders>
              <w:top w:val="nil"/>
              <w:bottom w:val="single" w:sz="2" w:space="0" w:color="1F3864" w:themeColor="accent1" w:themeShade="80"/>
            </w:tcBorders>
            <w:shd w:val="clear" w:color="auto" w:fill="auto"/>
            <w:vAlign w:val="center"/>
          </w:tcPr>
          <w:p w14:paraId="4908E546" w14:textId="55DF6811" w:rsidR="009E215C" w:rsidRPr="00A717CB"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A717CB">
              <w:rPr>
                <w:rFonts w:cs="Arial"/>
                <w:b/>
                <w:bCs/>
              </w:rPr>
              <w:t>4</w:t>
            </w:r>
            <w:r w:rsidR="004314DD" w:rsidRPr="00A717CB">
              <w:rPr>
                <w:rFonts w:cs="Arial"/>
                <w:b/>
                <w:bCs/>
              </w:rPr>
              <w:t>,</w:t>
            </w:r>
            <w:r w:rsidRPr="00A717CB">
              <w:rPr>
                <w:rFonts w:cs="Arial"/>
                <w:b/>
                <w:bCs/>
              </w:rPr>
              <w:t>359</w:t>
            </w:r>
          </w:p>
        </w:tc>
      </w:tr>
    </w:tbl>
    <w:p w14:paraId="2CC7F968" w14:textId="220FF6E0" w:rsidR="009E215C" w:rsidRPr="00A717CB" w:rsidRDefault="009E215C" w:rsidP="00A76AF4">
      <w:pPr>
        <w:pStyle w:val="PargrafodaLista"/>
        <w:keepNext/>
        <w:keepLines/>
        <w:numPr>
          <w:ilvl w:val="0"/>
          <w:numId w:val="35"/>
        </w:numPr>
        <w:spacing w:after="0" w:line="240" w:lineRule="auto"/>
        <w:ind w:left="284" w:hanging="284"/>
        <w:rPr>
          <w:rFonts w:ascii="Arial" w:eastAsia="Times New Roman" w:hAnsi="Arial" w:cs="Arial"/>
          <w:spacing w:val="-2"/>
          <w:sz w:val="14"/>
          <w:szCs w:val="14"/>
          <w:lang w:val="en-US" w:eastAsia="zh-CN"/>
        </w:rPr>
      </w:pPr>
      <w:r w:rsidRPr="00A717CB">
        <w:rPr>
          <w:rFonts w:ascii="Arial" w:eastAsia="Times New Roman" w:hAnsi="Arial" w:cs="Arial"/>
          <w:spacing w:val="-2"/>
          <w:sz w:val="14"/>
          <w:szCs w:val="14"/>
          <w:lang w:val="en-US" w:eastAsia="zh-CN"/>
        </w:rPr>
        <w:t xml:space="preserve">Refers to results from years prior to BB </w:t>
      </w:r>
      <w:proofErr w:type="spellStart"/>
      <w:r w:rsidRPr="00A717CB">
        <w:rPr>
          <w:rFonts w:ascii="Arial" w:eastAsia="Times New Roman" w:hAnsi="Arial" w:cs="Arial"/>
          <w:spacing w:val="-2"/>
          <w:sz w:val="14"/>
          <w:szCs w:val="14"/>
          <w:lang w:val="en-US" w:eastAsia="zh-CN"/>
        </w:rPr>
        <w:t>Corretora's</w:t>
      </w:r>
      <w:proofErr w:type="spellEnd"/>
      <w:r w:rsidRPr="00A717CB">
        <w:rPr>
          <w:rFonts w:ascii="Arial" w:eastAsia="Times New Roman" w:hAnsi="Arial" w:cs="Arial"/>
          <w:spacing w:val="-2"/>
          <w:sz w:val="14"/>
          <w:szCs w:val="14"/>
          <w:lang w:val="en-US" w:eastAsia="zh-CN"/>
        </w:rPr>
        <w:t xml:space="preserve"> participation in </w:t>
      </w:r>
      <w:proofErr w:type="spellStart"/>
      <w:r w:rsidRPr="00A717CB">
        <w:rPr>
          <w:rFonts w:ascii="Arial" w:eastAsia="Times New Roman" w:hAnsi="Arial" w:cs="Arial"/>
          <w:spacing w:val="-2"/>
          <w:sz w:val="14"/>
          <w:szCs w:val="14"/>
          <w:lang w:val="en-US" w:eastAsia="zh-CN"/>
        </w:rPr>
        <w:t>Ciclic</w:t>
      </w:r>
      <w:proofErr w:type="spellEnd"/>
      <w:r w:rsidRPr="00A717CB">
        <w:rPr>
          <w:rFonts w:ascii="Arial" w:eastAsia="Times New Roman" w:hAnsi="Arial" w:cs="Arial"/>
          <w:spacing w:val="-2"/>
          <w:sz w:val="14"/>
          <w:szCs w:val="14"/>
          <w:lang w:val="en-US" w:eastAsia="zh-CN"/>
        </w:rPr>
        <w:t>.</w:t>
      </w:r>
    </w:p>
    <w:p w14:paraId="0EB7C574" w14:textId="77777777" w:rsidR="009E215C" w:rsidRPr="004C5A7A" w:rsidRDefault="009E215C" w:rsidP="009E215C">
      <w:pPr>
        <w:pageBreakBefore/>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lastRenderedPageBreak/>
        <w:t xml:space="preserve">c.6) BB </w:t>
      </w:r>
      <w:proofErr w:type="spellStart"/>
      <w:r w:rsidRPr="004C5A7A">
        <w:rPr>
          <w:rFonts w:ascii="Arial" w:eastAsia="Times New Roman" w:hAnsi="Arial" w:cs="Arial"/>
          <w:b/>
          <w:color w:val="1F3864" w:themeColor="accent1" w:themeShade="80"/>
          <w:spacing w:val="-2"/>
          <w:sz w:val="18"/>
          <w:szCs w:val="20"/>
          <w:lang w:val="en-US" w:eastAsia="pt-BR"/>
        </w:rPr>
        <w:t>Corretora</w:t>
      </w:r>
      <w:proofErr w:type="spellEnd"/>
    </w:p>
    <w:p w14:paraId="3B1EAF3C"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p w14:paraId="23355E33"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r w:rsidRPr="004C5A7A">
        <w:rPr>
          <w:rFonts w:ascii="Arial" w:eastAsia="Times New Roman" w:hAnsi="Arial" w:cs="Arial"/>
          <w:b/>
          <w:color w:val="1F3864" w:themeColor="accent1" w:themeShade="80"/>
          <w:spacing w:val="-2"/>
          <w:sz w:val="18"/>
          <w:szCs w:val="20"/>
          <w:lang w:val="en-US" w:eastAsia="pt-BR"/>
        </w:rPr>
        <w:t>Income Statement Information</w:t>
      </w:r>
    </w:p>
    <w:p w14:paraId="516B965B" w14:textId="77777777" w:rsidR="009E215C" w:rsidRPr="004C5A7A" w:rsidRDefault="009E215C" w:rsidP="009E215C">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4C5A7A">
        <w:rPr>
          <w:rFonts w:ascii="Arial" w:hAnsi="Arial" w:cs="Arial"/>
          <w:b/>
          <w:bCs/>
          <w:sz w:val="14"/>
          <w:szCs w:val="14"/>
        </w:rPr>
        <w:t xml:space="preserve">R$ </w:t>
      </w:r>
      <w:proofErr w:type="spellStart"/>
      <w:r w:rsidRPr="004C5A7A">
        <w:rPr>
          <w:rFonts w:ascii="Arial" w:hAnsi="Arial" w:cs="Arial"/>
          <w:b/>
          <w:bCs/>
          <w:sz w:val="14"/>
          <w:szCs w:val="14"/>
        </w:rPr>
        <w:t>thousand</w:t>
      </w:r>
      <w:proofErr w:type="spellEnd"/>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309"/>
        <w:gridCol w:w="1602"/>
        <w:gridCol w:w="1577"/>
        <w:gridCol w:w="1449"/>
        <w:gridCol w:w="1702"/>
      </w:tblGrid>
      <w:tr w:rsidR="009E215C" w:rsidRPr="004C5A7A" w14:paraId="7990188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773F402" w14:textId="77777777" w:rsidR="009E215C" w:rsidRPr="004C5A7A" w:rsidRDefault="009E215C">
            <w:pPr>
              <w:pStyle w:val="08-Tabelageral"/>
              <w:jc w:val="left"/>
              <w:rPr>
                <w:rFonts w:cs="Arial"/>
              </w:rPr>
            </w:pPr>
          </w:p>
        </w:tc>
        <w:tc>
          <w:tcPr>
            <w:tcW w:w="160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664A720" w14:textId="77777777" w:rsidR="009E215C" w:rsidRPr="004C5A7A"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E6C4B84" w14:textId="77777777" w:rsidR="009E215C" w:rsidRPr="004C5A7A"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44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B99FF71" w14:textId="77777777" w:rsidR="009E215C" w:rsidRPr="004C5A7A"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4C5A7A">
              <w:rPr>
                <w:rFonts w:cs="Arial"/>
                <w:szCs w:val="14"/>
              </w:rPr>
              <w:t>2024</w:t>
            </w:r>
          </w:p>
        </w:tc>
        <w:tc>
          <w:tcPr>
            <w:tcW w:w="170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DE94885" w14:textId="77777777" w:rsidR="009E215C" w:rsidRPr="004C5A7A" w:rsidRDefault="009E215C">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4C5A7A">
              <w:rPr>
                <w:rFonts w:cs="Arial"/>
                <w:szCs w:val="14"/>
              </w:rPr>
              <w:t>2023</w:t>
            </w:r>
          </w:p>
        </w:tc>
      </w:tr>
      <w:tr w:rsidR="009E215C" w:rsidRPr="004C5A7A" w14:paraId="5EE7EC9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tcBorders>
              <w:top w:val="single" w:sz="2" w:space="0" w:color="1F3864" w:themeColor="accent1" w:themeShade="80"/>
            </w:tcBorders>
            <w:shd w:val="clear" w:color="auto" w:fill="auto"/>
            <w:vAlign w:val="center"/>
          </w:tcPr>
          <w:p w14:paraId="280A5AA6" w14:textId="77777777" w:rsidR="009E215C" w:rsidRPr="004C5A7A" w:rsidRDefault="009E215C">
            <w:pPr>
              <w:pStyle w:val="08-Tabelageral"/>
              <w:jc w:val="left"/>
              <w:rPr>
                <w:rFonts w:cs="Arial"/>
                <w:szCs w:val="14"/>
              </w:rPr>
            </w:pPr>
            <w:proofErr w:type="spellStart"/>
            <w:r w:rsidRPr="004C5A7A">
              <w:rPr>
                <w:rFonts w:cs="Arial"/>
                <w:szCs w:val="14"/>
              </w:rPr>
              <w:t>Operating</w:t>
            </w:r>
            <w:proofErr w:type="spellEnd"/>
            <w:r w:rsidRPr="004C5A7A">
              <w:rPr>
                <w:rFonts w:cs="Arial"/>
                <w:szCs w:val="14"/>
              </w:rPr>
              <w:t xml:space="preserve"> income</w:t>
            </w:r>
          </w:p>
        </w:tc>
        <w:tc>
          <w:tcPr>
            <w:tcW w:w="1602" w:type="dxa"/>
            <w:tcBorders>
              <w:top w:val="nil"/>
            </w:tcBorders>
            <w:shd w:val="clear" w:color="auto" w:fill="auto"/>
            <w:vAlign w:val="center"/>
          </w:tcPr>
          <w:p w14:paraId="3044572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77" w:type="dxa"/>
            <w:tcBorders>
              <w:top w:val="nil"/>
            </w:tcBorders>
            <w:shd w:val="clear" w:color="auto" w:fill="auto"/>
            <w:vAlign w:val="center"/>
          </w:tcPr>
          <w:p w14:paraId="48D0BD5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0AFBF58B"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C5A7A">
              <w:rPr>
                <w:rFonts w:cs="Arial"/>
                <w:b/>
                <w:bCs/>
                <w:color w:val="000000"/>
                <w:szCs w:val="14"/>
              </w:rPr>
              <w:t>4,868,052</w:t>
            </w:r>
          </w:p>
        </w:tc>
        <w:tc>
          <w:tcPr>
            <w:tcW w:w="1702" w:type="dxa"/>
            <w:tcBorders>
              <w:top w:val="single" w:sz="2" w:space="0" w:color="1F3864" w:themeColor="accent1" w:themeShade="80"/>
            </w:tcBorders>
            <w:shd w:val="clear" w:color="auto" w:fill="auto"/>
            <w:vAlign w:val="center"/>
          </w:tcPr>
          <w:p w14:paraId="7F07878B"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4C5A7A">
              <w:rPr>
                <w:rStyle w:val="normaltextrun"/>
                <w:rFonts w:cs="Arial"/>
                <w:b/>
                <w:bCs/>
                <w:color w:val="000000"/>
                <w:szCs w:val="14"/>
              </w:rPr>
              <w:t>4,424,402</w:t>
            </w:r>
            <w:r w:rsidRPr="004C5A7A">
              <w:rPr>
                <w:rStyle w:val="eop"/>
                <w:rFonts w:cs="Arial"/>
                <w:color w:val="000000"/>
                <w:szCs w:val="14"/>
              </w:rPr>
              <w:t> </w:t>
            </w:r>
          </w:p>
        </w:tc>
      </w:tr>
      <w:tr w:rsidR="009E215C" w:rsidRPr="004C5A7A" w14:paraId="5D36C99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026C1189" w14:textId="77777777" w:rsidR="009E215C" w:rsidRPr="004C5A7A" w:rsidRDefault="009E215C">
            <w:pPr>
              <w:pStyle w:val="08-Tabelageral"/>
              <w:ind w:left="113"/>
              <w:jc w:val="left"/>
              <w:rPr>
                <w:rFonts w:cs="Arial"/>
                <w:b w:val="0"/>
                <w:szCs w:val="14"/>
              </w:rPr>
            </w:pPr>
            <w:r w:rsidRPr="004C5A7A">
              <w:rPr>
                <w:rFonts w:cs="Arial"/>
                <w:b w:val="0"/>
                <w:szCs w:val="14"/>
              </w:rPr>
              <w:t>Commission income, net</w:t>
            </w:r>
          </w:p>
        </w:tc>
        <w:tc>
          <w:tcPr>
            <w:tcW w:w="1602" w:type="dxa"/>
            <w:shd w:val="clear" w:color="auto" w:fill="auto"/>
            <w:vAlign w:val="center"/>
          </w:tcPr>
          <w:p w14:paraId="06E95C7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77" w:type="dxa"/>
            <w:shd w:val="clear" w:color="auto" w:fill="auto"/>
            <w:vAlign w:val="center"/>
          </w:tcPr>
          <w:p w14:paraId="418DBEDE"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75E00F7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4,868,052</w:t>
            </w:r>
          </w:p>
        </w:tc>
        <w:tc>
          <w:tcPr>
            <w:tcW w:w="1702" w:type="dxa"/>
            <w:tcBorders>
              <w:top w:val="nil"/>
              <w:left w:val="nil"/>
              <w:bottom w:val="nil"/>
              <w:right w:val="nil"/>
            </w:tcBorders>
            <w:shd w:val="clear" w:color="auto" w:fill="auto"/>
            <w:vAlign w:val="center"/>
          </w:tcPr>
          <w:p w14:paraId="2FBF6948"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4C5A7A">
              <w:rPr>
                <w:rStyle w:val="normaltextrun"/>
                <w:rFonts w:cs="Arial"/>
                <w:color w:val="000000"/>
                <w:szCs w:val="14"/>
              </w:rPr>
              <w:t>4,424,402</w:t>
            </w:r>
            <w:r w:rsidRPr="004C5A7A">
              <w:rPr>
                <w:rStyle w:val="eop"/>
                <w:rFonts w:cs="Arial"/>
                <w:color w:val="000000"/>
                <w:szCs w:val="14"/>
              </w:rPr>
              <w:t> </w:t>
            </w:r>
          </w:p>
        </w:tc>
      </w:tr>
      <w:tr w:rsidR="009E215C" w:rsidRPr="004C5A7A" w14:paraId="429CDA6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19E0AF47" w14:textId="77777777" w:rsidR="009E215C" w:rsidRPr="004C5A7A" w:rsidRDefault="009E215C">
            <w:pPr>
              <w:pStyle w:val="08-Tabelageral"/>
              <w:jc w:val="left"/>
              <w:rPr>
                <w:rFonts w:cs="Arial"/>
                <w:bCs w:val="0"/>
                <w:szCs w:val="14"/>
              </w:rPr>
            </w:pPr>
            <w:proofErr w:type="spellStart"/>
            <w:r w:rsidRPr="004C5A7A">
              <w:rPr>
                <w:rFonts w:cs="Arial"/>
                <w:bCs w:val="0"/>
                <w:szCs w:val="14"/>
              </w:rPr>
              <w:t>Cost</w:t>
            </w:r>
            <w:proofErr w:type="spellEnd"/>
            <w:r w:rsidRPr="004C5A7A">
              <w:rPr>
                <w:rFonts w:cs="Arial"/>
                <w:bCs w:val="0"/>
                <w:szCs w:val="14"/>
              </w:rPr>
              <w:t xml:space="preserve"> </w:t>
            </w:r>
            <w:proofErr w:type="spellStart"/>
            <w:r w:rsidRPr="004C5A7A">
              <w:rPr>
                <w:rFonts w:cs="Arial"/>
                <w:bCs w:val="0"/>
                <w:szCs w:val="14"/>
              </w:rPr>
              <w:t>of</w:t>
            </w:r>
            <w:proofErr w:type="spellEnd"/>
            <w:r w:rsidRPr="004C5A7A">
              <w:rPr>
                <w:rFonts w:cs="Arial"/>
                <w:bCs w:val="0"/>
                <w:szCs w:val="14"/>
              </w:rPr>
              <w:t xml:space="preserve"> Services </w:t>
            </w:r>
            <w:proofErr w:type="spellStart"/>
            <w:r w:rsidRPr="004C5A7A">
              <w:rPr>
                <w:rFonts w:cs="Arial"/>
                <w:bCs w:val="0"/>
                <w:szCs w:val="14"/>
              </w:rPr>
              <w:t>Provided</w:t>
            </w:r>
            <w:proofErr w:type="spellEnd"/>
          </w:p>
        </w:tc>
        <w:tc>
          <w:tcPr>
            <w:tcW w:w="1602" w:type="dxa"/>
            <w:tcBorders>
              <w:top w:val="nil"/>
              <w:left w:val="nil"/>
              <w:bottom w:val="nil"/>
              <w:right w:val="nil"/>
            </w:tcBorders>
            <w:shd w:val="clear" w:color="auto" w:fill="auto"/>
            <w:vAlign w:val="center"/>
          </w:tcPr>
          <w:p w14:paraId="5BB0EF3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77" w:type="dxa"/>
            <w:tcBorders>
              <w:top w:val="nil"/>
              <w:left w:val="nil"/>
              <w:bottom w:val="nil"/>
              <w:right w:val="nil"/>
            </w:tcBorders>
            <w:shd w:val="clear" w:color="auto" w:fill="auto"/>
            <w:vAlign w:val="center"/>
          </w:tcPr>
          <w:p w14:paraId="2DD5E234"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449" w:type="dxa"/>
            <w:tcBorders>
              <w:top w:val="nil"/>
              <w:left w:val="nil"/>
              <w:bottom w:val="nil"/>
              <w:right w:val="nil"/>
            </w:tcBorders>
            <w:shd w:val="clear" w:color="auto" w:fill="auto"/>
            <w:vAlign w:val="center"/>
          </w:tcPr>
          <w:p w14:paraId="0153BAD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C5A7A">
              <w:rPr>
                <w:rFonts w:cs="Arial"/>
                <w:b/>
                <w:bCs/>
                <w:color w:val="000000"/>
                <w:szCs w:val="14"/>
              </w:rPr>
              <w:t>(172,198)</w:t>
            </w:r>
          </w:p>
        </w:tc>
        <w:tc>
          <w:tcPr>
            <w:tcW w:w="1702" w:type="dxa"/>
            <w:tcBorders>
              <w:top w:val="nil"/>
              <w:left w:val="nil"/>
              <w:bottom w:val="nil"/>
              <w:right w:val="nil"/>
            </w:tcBorders>
            <w:shd w:val="clear" w:color="auto" w:fill="auto"/>
            <w:vAlign w:val="center"/>
          </w:tcPr>
          <w:p w14:paraId="04336456"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sidRPr="004C5A7A">
              <w:rPr>
                <w:rStyle w:val="normaltextrun"/>
                <w:rFonts w:cs="Arial"/>
                <w:b/>
                <w:bCs/>
                <w:color w:val="000000"/>
                <w:szCs w:val="14"/>
              </w:rPr>
              <w:t>(188,792)</w:t>
            </w:r>
            <w:r w:rsidRPr="004C5A7A">
              <w:rPr>
                <w:rStyle w:val="eop"/>
                <w:rFonts w:cs="Arial"/>
                <w:color w:val="000000"/>
                <w:szCs w:val="14"/>
              </w:rPr>
              <w:t> </w:t>
            </w:r>
          </w:p>
        </w:tc>
      </w:tr>
      <w:tr w:rsidR="009E215C" w:rsidRPr="004C5A7A" w14:paraId="74A4CFC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1672CE35" w14:textId="77777777" w:rsidR="009E215C" w:rsidRPr="004C5A7A" w:rsidRDefault="009E215C">
            <w:pPr>
              <w:pStyle w:val="08-Tabelageral"/>
              <w:jc w:val="left"/>
              <w:rPr>
                <w:rFonts w:cs="Arial"/>
                <w:szCs w:val="14"/>
              </w:rPr>
            </w:pPr>
            <w:r w:rsidRPr="004C5A7A">
              <w:rPr>
                <w:rFonts w:cs="Arial"/>
                <w:szCs w:val="14"/>
              </w:rPr>
              <w:t>Gross Profit</w:t>
            </w:r>
          </w:p>
        </w:tc>
        <w:tc>
          <w:tcPr>
            <w:tcW w:w="1602" w:type="dxa"/>
            <w:tcBorders>
              <w:top w:val="nil"/>
              <w:left w:val="nil"/>
              <w:bottom w:val="nil"/>
              <w:right w:val="nil"/>
            </w:tcBorders>
            <w:shd w:val="clear" w:color="auto" w:fill="auto"/>
            <w:vAlign w:val="center"/>
          </w:tcPr>
          <w:p w14:paraId="4D5D915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199E428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676BE3A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C5A7A">
              <w:rPr>
                <w:rFonts w:cs="Arial"/>
                <w:b/>
                <w:bCs/>
                <w:color w:val="000000"/>
                <w:szCs w:val="14"/>
              </w:rPr>
              <w:t>4,695,854</w:t>
            </w:r>
          </w:p>
        </w:tc>
        <w:tc>
          <w:tcPr>
            <w:tcW w:w="1702" w:type="dxa"/>
            <w:tcBorders>
              <w:top w:val="nil"/>
              <w:left w:val="nil"/>
              <w:bottom w:val="nil"/>
              <w:right w:val="nil"/>
            </w:tcBorders>
            <w:shd w:val="clear" w:color="auto" w:fill="auto"/>
            <w:vAlign w:val="center"/>
          </w:tcPr>
          <w:p w14:paraId="310A567D"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sidRPr="004C5A7A">
              <w:rPr>
                <w:rStyle w:val="normaltextrun"/>
                <w:rFonts w:cs="Arial"/>
                <w:b/>
                <w:bCs/>
                <w:color w:val="000000"/>
                <w:szCs w:val="14"/>
              </w:rPr>
              <w:t>4,235,610</w:t>
            </w:r>
            <w:r w:rsidRPr="004C5A7A">
              <w:rPr>
                <w:rStyle w:val="eop"/>
                <w:rFonts w:cs="Arial"/>
                <w:color w:val="000000"/>
                <w:szCs w:val="14"/>
              </w:rPr>
              <w:t> </w:t>
            </w:r>
          </w:p>
        </w:tc>
      </w:tr>
      <w:tr w:rsidR="009E215C" w:rsidRPr="004C5A7A" w14:paraId="2161729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1C4D5DE" w14:textId="77777777" w:rsidR="009E215C" w:rsidRPr="004C5A7A" w:rsidRDefault="009E215C">
            <w:pPr>
              <w:pStyle w:val="08-Tabelageral"/>
              <w:jc w:val="left"/>
              <w:rPr>
                <w:rFonts w:cs="Arial"/>
                <w:szCs w:val="14"/>
              </w:rPr>
            </w:pPr>
            <w:r w:rsidRPr="004C5A7A">
              <w:rPr>
                <w:rFonts w:cs="Arial"/>
                <w:szCs w:val="14"/>
              </w:rPr>
              <w:t xml:space="preserve">Other income </w:t>
            </w:r>
            <w:proofErr w:type="spellStart"/>
            <w:r w:rsidRPr="004C5A7A">
              <w:rPr>
                <w:rFonts w:cs="Arial"/>
                <w:szCs w:val="14"/>
              </w:rPr>
              <w:t>and</w:t>
            </w:r>
            <w:proofErr w:type="spellEnd"/>
            <w:r w:rsidRPr="004C5A7A">
              <w:rPr>
                <w:rFonts w:cs="Arial"/>
                <w:szCs w:val="14"/>
              </w:rPr>
              <w:t xml:space="preserve"> </w:t>
            </w:r>
            <w:proofErr w:type="spellStart"/>
            <w:r w:rsidRPr="004C5A7A">
              <w:rPr>
                <w:rFonts w:cs="Arial"/>
                <w:szCs w:val="14"/>
              </w:rPr>
              <w:t>expenses</w:t>
            </w:r>
            <w:proofErr w:type="spellEnd"/>
          </w:p>
        </w:tc>
        <w:tc>
          <w:tcPr>
            <w:tcW w:w="1602" w:type="dxa"/>
            <w:tcBorders>
              <w:top w:val="nil"/>
              <w:left w:val="nil"/>
              <w:bottom w:val="nil"/>
              <w:right w:val="nil"/>
            </w:tcBorders>
            <w:shd w:val="clear" w:color="auto" w:fill="auto"/>
            <w:vAlign w:val="center"/>
          </w:tcPr>
          <w:p w14:paraId="274DA32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6878F29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02FFB2D9"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C5A7A">
              <w:rPr>
                <w:rFonts w:cs="Arial"/>
                <w:b/>
                <w:bCs/>
                <w:color w:val="000000"/>
                <w:szCs w:val="14"/>
              </w:rPr>
              <w:t>(205,591)</w:t>
            </w:r>
          </w:p>
        </w:tc>
        <w:tc>
          <w:tcPr>
            <w:tcW w:w="1702" w:type="dxa"/>
            <w:tcBorders>
              <w:top w:val="nil"/>
              <w:left w:val="nil"/>
              <w:bottom w:val="nil"/>
              <w:right w:val="nil"/>
            </w:tcBorders>
            <w:shd w:val="clear" w:color="auto" w:fill="auto"/>
            <w:vAlign w:val="center"/>
          </w:tcPr>
          <w:p w14:paraId="267CEB73"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4C5A7A">
              <w:rPr>
                <w:rStyle w:val="normaltextrun"/>
                <w:rFonts w:cs="Arial"/>
                <w:b/>
                <w:bCs/>
                <w:color w:val="000000"/>
                <w:szCs w:val="14"/>
              </w:rPr>
              <w:t>(182,614)</w:t>
            </w:r>
            <w:r w:rsidRPr="004C5A7A">
              <w:rPr>
                <w:rStyle w:val="eop"/>
                <w:rFonts w:cs="Arial"/>
                <w:color w:val="000000"/>
                <w:szCs w:val="14"/>
              </w:rPr>
              <w:t> </w:t>
            </w:r>
          </w:p>
        </w:tc>
      </w:tr>
      <w:tr w:rsidR="009E215C" w:rsidRPr="004C5A7A" w14:paraId="729FC3C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32761D91" w14:textId="77777777" w:rsidR="009E215C" w:rsidRPr="004C5A7A" w:rsidRDefault="009E215C">
            <w:pPr>
              <w:pStyle w:val="08-Tabelageral"/>
              <w:ind w:left="113"/>
              <w:jc w:val="left"/>
              <w:rPr>
                <w:rFonts w:cs="Arial"/>
                <w:b w:val="0"/>
                <w:szCs w:val="14"/>
                <w:lang w:val="en-US"/>
              </w:rPr>
            </w:pPr>
            <w:r w:rsidRPr="004C5A7A">
              <w:rPr>
                <w:rFonts w:cs="Arial"/>
                <w:b w:val="0"/>
                <w:szCs w:val="14"/>
                <w:lang w:val="en-US"/>
              </w:rPr>
              <w:t>Income from investments in equity interests</w:t>
            </w:r>
          </w:p>
        </w:tc>
        <w:tc>
          <w:tcPr>
            <w:tcW w:w="1602" w:type="dxa"/>
            <w:tcBorders>
              <w:top w:val="nil"/>
              <w:left w:val="nil"/>
              <w:bottom w:val="nil"/>
              <w:right w:val="nil"/>
            </w:tcBorders>
            <w:shd w:val="clear" w:color="auto" w:fill="auto"/>
            <w:vAlign w:val="center"/>
          </w:tcPr>
          <w:p w14:paraId="7859102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577" w:type="dxa"/>
            <w:tcBorders>
              <w:top w:val="nil"/>
              <w:left w:val="nil"/>
              <w:bottom w:val="nil"/>
              <w:right w:val="nil"/>
            </w:tcBorders>
            <w:shd w:val="clear" w:color="auto" w:fill="auto"/>
            <w:vAlign w:val="center"/>
          </w:tcPr>
          <w:p w14:paraId="0BCE79A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449" w:type="dxa"/>
            <w:tcBorders>
              <w:top w:val="nil"/>
              <w:left w:val="nil"/>
              <w:bottom w:val="nil"/>
              <w:right w:val="nil"/>
            </w:tcBorders>
            <w:shd w:val="clear" w:color="auto" w:fill="auto"/>
            <w:vAlign w:val="center"/>
          </w:tcPr>
          <w:p w14:paraId="0B1D8CF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7,436</w:t>
            </w:r>
          </w:p>
        </w:tc>
        <w:tc>
          <w:tcPr>
            <w:tcW w:w="1702" w:type="dxa"/>
            <w:tcBorders>
              <w:top w:val="nil"/>
              <w:left w:val="nil"/>
              <w:bottom w:val="nil"/>
              <w:right w:val="nil"/>
            </w:tcBorders>
            <w:shd w:val="clear" w:color="auto" w:fill="auto"/>
            <w:vAlign w:val="center"/>
          </w:tcPr>
          <w:p w14:paraId="07B62B17"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4C5A7A">
              <w:rPr>
                <w:rStyle w:val="normaltextrun"/>
                <w:rFonts w:cs="Arial"/>
                <w:color w:val="000000"/>
                <w:szCs w:val="14"/>
              </w:rPr>
              <w:t>3,319</w:t>
            </w:r>
            <w:r w:rsidRPr="004C5A7A">
              <w:rPr>
                <w:rStyle w:val="eop"/>
                <w:rFonts w:cs="Arial"/>
                <w:color w:val="000000"/>
                <w:szCs w:val="14"/>
              </w:rPr>
              <w:t> </w:t>
            </w:r>
          </w:p>
        </w:tc>
      </w:tr>
      <w:tr w:rsidR="009E215C" w:rsidRPr="004C5A7A" w14:paraId="7432DED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626B2DC" w14:textId="77777777" w:rsidR="009E215C" w:rsidRPr="004C5A7A" w:rsidRDefault="009E215C">
            <w:pPr>
              <w:pStyle w:val="08-Tabelageral"/>
              <w:ind w:left="113"/>
              <w:jc w:val="left"/>
              <w:rPr>
                <w:rFonts w:cs="Arial"/>
                <w:b w:val="0"/>
                <w:szCs w:val="14"/>
              </w:rPr>
            </w:pPr>
            <w:proofErr w:type="spellStart"/>
            <w:r w:rsidRPr="004C5A7A">
              <w:rPr>
                <w:rFonts w:cs="Arial"/>
                <w:b w:val="0"/>
                <w:szCs w:val="14"/>
              </w:rPr>
              <w:t>Personnel</w:t>
            </w:r>
            <w:proofErr w:type="spellEnd"/>
            <w:r w:rsidRPr="004C5A7A">
              <w:rPr>
                <w:rFonts w:cs="Arial"/>
                <w:b w:val="0"/>
                <w:szCs w:val="14"/>
              </w:rPr>
              <w:t xml:space="preserve"> </w:t>
            </w:r>
            <w:proofErr w:type="spellStart"/>
            <w:r w:rsidRPr="004C5A7A">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45A88EA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6E7518F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1D4CCC4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(68,792)</w:t>
            </w:r>
          </w:p>
        </w:tc>
        <w:tc>
          <w:tcPr>
            <w:tcW w:w="1702" w:type="dxa"/>
            <w:tcBorders>
              <w:top w:val="nil"/>
              <w:left w:val="nil"/>
              <w:bottom w:val="nil"/>
              <w:right w:val="nil"/>
            </w:tcBorders>
            <w:shd w:val="clear" w:color="auto" w:fill="auto"/>
            <w:vAlign w:val="center"/>
          </w:tcPr>
          <w:p w14:paraId="26465B8C"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4C5A7A">
              <w:rPr>
                <w:rStyle w:val="normaltextrun"/>
                <w:rFonts w:cs="Arial"/>
                <w:color w:val="000000"/>
                <w:szCs w:val="14"/>
              </w:rPr>
              <w:t>(63,751)</w:t>
            </w:r>
            <w:r w:rsidRPr="004C5A7A">
              <w:rPr>
                <w:rStyle w:val="eop"/>
                <w:rFonts w:cs="Arial"/>
                <w:color w:val="000000"/>
                <w:szCs w:val="14"/>
              </w:rPr>
              <w:t> </w:t>
            </w:r>
          </w:p>
        </w:tc>
      </w:tr>
      <w:tr w:rsidR="009E215C" w:rsidRPr="004C5A7A" w14:paraId="1427C20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5E9B441B" w14:textId="77777777" w:rsidR="009E215C" w:rsidRPr="004C5A7A" w:rsidRDefault="009E215C">
            <w:pPr>
              <w:pStyle w:val="08-Tabelageral"/>
              <w:ind w:left="113"/>
              <w:jc w:val="left"/>
              <w:rPr>
                <w:rFonts w:cs="Arial"/>
                <w:b w:val="0"/>
                <w:szCs w:val="14"/>
              </w:rPr>
            </w:pPr>
            <w:proofErr w:type="spellStart"/>
            <w:r w:rsidRPr="004C5A7A">
              <w:rPr>
                <w:rFonts w:cs="Arial"/>
                <w:b w:val="0"/>
                <w:szCs w:val="14"/>
              </w:rPr>
              <w:t>Administrative</w:t>
            </w:r>
            <w:proofErr w:type="spellEnd"/>
            <w:r w:rsidRPr="004C5A7A">
              <w:rPr>
                <w:rFonts w:cs="Arial"/>
                <w:b w:val="0"/>
                <w:szCs w:val="14"/>
              </w:rPr>
              <w:t xml:space="preserve"> </w:t>
            </w:r>
            <w:proofErr w:type="spellStart"/>
            <w:r w:rsidRPr="004C5A7A">
              <w:rPr>
                <w:rFonts w:cs="Arial"/>
                <w:b w:val="0"/>
                <w:szCs w:val="14"/>
              </w:rPr>
              <w:t>and</w:t>
            </w:r>
            <w:proofErr w:type="spellEnd"/>
            <w:r w:rsidRPr="004C5A7A">
              <w:rPr>
                <w:rFonts w:cs="Arial"/>
                <w:b w:val="0"/>
                <w:szCs w:val="14"/>
              </w:rPr>
              <w:t xml:space="preserve"> </w:t>
            </w:r>
            <w:proofErr w:type="spellStart"/>
            <w:r w:rsidRPr="004C5A7A">
              <w:rPr>
                <w:rFonts w:cs="Arial"/>
                <w:b w:val="0"/>
                <w:szCs w:val="14"/>
              </w:rPr>
              <w:t>selling</w:t>
            </w:r>
            <w:proofErr w:type="spellEnd"/>
            <w:r w:rsidRPr="004C5A7A">
              <w:rPr>
                <w:rFonts w:cs="Arial"/>
                <w:b w:val="0"/>
                <w:szCs w:val="14"/>
              </w:rPr>
              <w:t xml:space="preserve"> </w:t>
            </w:r>
            <w:proofErr w:type="spellStart"/>
            <w:r w:rsidRPr="004C5A7A">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0590989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173B08C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4ECCF3B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(100,443)</w:t>
            </w:r>
          </w:p>
        </w:tc>
        <w:tc>
          <w:tcPr>
            <w:tcW w:w="1702" w:type="dxa"/>
            <w:tcBorders>
              <w:top w:val="nil"/>
              <w:left w:val="nil"/>
              <w:bottom w:val="nil"/>
              <w:right w:val="nil"/>
            </w:tcBorders>
            <w:shd w:val="clear" w:color="auto" w:fill="auto"/>
            <w:vAlign w:val="center"/>
          </w:tcPr>
          <w:p w14:paraId="27AF8901"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4C5A7A">
              <w:rPr>
                <w:rStyle w:val="normaltextrun"/>
                <w:rFonts w:cs="Arial"/>
                <w:color w:val="000000"/>
                <w:szCs w:val="14"/>
              </w:rPr>
              <w:t>(82,631)</w:t>
            </w:r>
            <w:r w:rsidRPr="004C5A7A">
              <w:rPr>
                <w:rStyle w:val="eop"/>
                <w:rFonts w:cs="Arial"/>
                <w:color w:val="000000"/>
                <w:szCs w:val="14"/>
              </w:rPr>
              <w:t> </w:t>
            </w:r>
          </w:p>
        </w:tc>
      </w:tr>
      <w:tr w:rsidR="009E215C" w:rsidRPr="004C5A7A" w14:paraId="268C03D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544C72FE" w14:textId="77777777" w:rsidR="009E215C" w:rsidRPr="004C5A7A" w:rsidRDefault="009E215C">
            <w:pPr>
              <w:pStyle w:val="08-Tabelageral"/>
              <w:ind w:left="113"/>
              <w:jc w:val="left"/>
              <w:rPr>
                <w:rFonts w:cs="Arial"/>
                <w:b w:val="0"/>
                <w:szCs w:val="14"/>
              </w:rPr>
            </w:pPr>
            <w:proofErr w:type="spellStart"/>
            <w:r w:rsidRPr="004C5A7A">
              <w:rPr>
                <w:rFonts w:cs="Arial"/>
                <w:b w:val="0"/>
                <w:szCs w:val="14"/>
              </w:rPr>
              <w:t>Tax</w:t>
            </w:r>
            <w:proofErr w:type="spellEnd"/>
            <w:r w:rsidRPr="004C5A7A">
              <w:rPr>
                <w:rFonts w:cs="Arial"/>
                <w:b w:val="0"/>
                <w:szCs w:val="14"/>
              </w:rPr>
              <w:t xml:space="preserve"> </w:t>
            </w:r>
            <w:proofErr w:type="spellStart"/>
            <w:r w:rsidRPr="004C5A7A">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13E4674C"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3C5B8D1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1F40E4A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(23,559)</w:t>
            </w:r>
          </w:p>
        </w:tc>
        <w:tc>
          <w:tcPr>
            <w:tcW w:w="1702" w:type="dxa"/>
            <w:tcBorders>
              <w:top w:val="nil"/>
              <w:left w:val="nil"/>
              <w:bottom w:val="nil"/>
              <w:right w:val="nil"/>
            </w:tcBorders>
            <w:shd w:val="clear" w:color="auto" w:fill="auto"/>
            <w:vAlign w:val="center"/>
          </w:tcPr>
          <w:p w14:paraId="1790BC14"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4C5A7A">
              <w:rPr>
                <w:rStyle w:val="normaltextrun"/>
                <w:rFonts w:cs="Arial"/>
                <w:color w:val="000000"/>
                <w:szCs w:val="14"/>
              </w:rPr>
              <w:t>(22,517)</w:t>
            </w:r>
            <w:r w:rsidRPr="004C5A7A">
              <w:rPr>
                <w:rStyle w:val="eop"/>
                <w:rFonts w:cs="Arial"/>
                <w:color w:val="000000"/>
                <w:szCs w:val="14"/>
              </w:rPr>
              <w:t> </w:t>
            </w:r>
          </w:p>
        </w:tc>
      </w:tr>
      <w:tr w:rsidR="009E215C" w:rsidRPr="004C5A7A" w14:paraId="20B253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47C07E6" w14:textId="77777777" w:rsidR="009E215C" w:rsidRPr="004C5A7A" w:rsidRDefault="009E215C">
            <w:pPr>
              <w:pStyle w:val="08-Tabelageral"/>
              <w:ind w:left="113"/>
              <w:jc w:val="left"/>
              <w:rPr>
                <w:rFonts w:cs="Arial"/>
                <w:b w:val="0"/>
                <w:szCs w:val="14"/>
              </w:rPr>
            </w:pPr>
            <w:r w:rsidRPr="004C5A7A">
              <w:rPr>
                <w:rFonts w:cs="Arial"/>
                <w:b w:val="0"/>
                <w:szCs w:val="14"/>
              </w:rPr>
              <w:t xml:space="preserve">Other </w:t>
            </w:r>
            <w:proofErr w:type="spellStart"/>
            <w:r w:rsidRPr="004C5A7A">
              <w:rPr>
                <w:rFonts w:cs="Arial"/>
                <w:b w:val="0"/>
                <w:szCs w:val="14"/>
              </w:rPr>
              <w:t>operating</w:t>
            </w:r>
            <w:proofErr w:type="spellEnd"/>
            <w:r w:rsidRPr="004C5A7A">
              <w:rPr>
                <w:rFonts w:cs="Arial"/>
                <w:b w:val="0"/>
                <w:szCs w:val="14"/>
              </w:rPr>
              <w:t xml:space="preserve"> income</w:t>
            </w:r>
          </w:p>
        </w:tc>
        <w:tc>
          <w:tcPr>
            <w:tcW w:w="1602" w:type="dxa"/>
            <w:tcBorders>
              <w:top w:val="nil"/>
              <w:left w:val="nil"/>
              <w:bottom w:val="nil"/>
              <w:right w:val="nil"/>
            </w:tcBorders>
            <w:shd w:val="clear" w:color="auto" w:fill="auto"/>
            <w:vAlign w:val="center"/>
          </w:tcPr>
          <w:p w14:paraId="0547F69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77" w:type="dxa"/>
            <w:tcBorders>
              <w:top w:val="nil"/>
              <w:left w:val="nil"/>
              <w:bottom w:val="nil"/>
              <w:right w:val="nil"/>
            </w:tcBorders>
            <w:shd w:val="clear" w:color="auto" w:fill="auto"/>
            <w:vAlign w:val="center"/>
          </w:tcPr>
          <w:p w14:paraId="34CCF31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49" w:type="dxa"/>
            <w:tcBorders>
              <w:top w:val="nil"/>
              <w:left w:val="nil"/>
              <w:bottom w:val="nil"/>
              <w:right w:val="nil"/>
            </w:tcBorders>
            <w:shd w:val="clear" w:color="auto" w:fill="auto"/>
            <w:vAlign w:val="center"/>
          </w:tcPr>
          <w:p w14:paraId="3596EEE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15,253</w:t>
            </w:r>
          </w:p>
        </w:tc>
        <w:tc>
          <w:tcPr>
            <w:tcW w:w="1702" w:type="dxa"/>
            <w:tcBorders>
              <w:top w:val="nil"/>
              <w:left w:val="nil"/>
              <w:bottom w:val="nil"/>
              <w:right w:val="nil"/>
            </w:tcBorders>
            <w:shd w:val="clear" w:color="auto" w:fill="auto"/>
            <w:vAlign w:val="center"/>
          </w:tcPr>
          <w:p w14:paraId="7A58188A"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4C5A7A">
              <w:rPr>
                <w:rStyle w:val="normaltextrun"/>
                <w:rFonts w:cs="Arial"/>
                <w:color w:val="000000"/>
                <w:szCs w:val="14"/>
              </w:rPr>
              <w:t>7,780</w:t>
            </w:r>
            <w:r w:rsidRPr="004C5A7A">
              <w:rPr>
                <w:rStyle w:val="eop"/>
                <w:rFonts w:cs="Arial"/>
                <w:color w:val="000000"/>
                <w:szCs w:val="14"/>
              </w:rPr>
              <w:t> </w:t>
            </w:r>
          </w:p>
        </w:tc>
      </w:tr>
      <w:tr w:rsidR="009E215C" w:rsidRPr="004C5A7A" w14:paraId="2CE2825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432A3D6" w14:textId="77777777" w:rsidR="009E215C" w:rsidRPr="004C5A7A" w:rsidRDefault="009E215C">
            <w:pPr>
              <w:pStyle w:val="08-Tabelageral"/>
              <w:ind w:left="113"/>
              <w:jc w:val="left"/>
              <w:rPr>
                <w:rFonts w:cs="Arial"/>
                <w:b w:val="0"/>
                <w:szCs w:val="14"/>
              </w:rPr>
            </w:pPr>
            <w:r w:rsidRPr="004C5A7A">
              <w:rPr>
                <w:rFonts w:cs="Arial"/>
                <w:b w:val="0"/>
                <w:szCs w:val="14"/>
              </w:rPr>
              <w:t xml:space="preserve">Other </w:t>
            </w:r>
            <w:proofErr w:type="spellStart"/>
            <w:r w:rsidRPr="004C5A7A">
              <w:rPr>
                <w:rFonts w:cs="Arial"/>
                <w:b w:val="0"/>
                <w:szCs w:val="14"/>
              </w:rPr>
              <w:t>operating</w:t>
            </w:r>
            <w:proofErr w:type="spellEnd"/>
            <w:r w:rsidRPr="004C5A7A">
              <w:rPr>
                <w:rFonts w:cs="Arial"/>
                <w:b w:val="0"/>
                <w:szCs w:val="14"/>
              </w:rPr>
              <w:t xml:space="preserve"> </w:t>
            </w:r>
            <w:proofErr w:type="spellStart"/>
            <w:r w:rsidRPr="004C5A7A">
              <w:rPr>
                <w:rFonts w:cs="Arial"/>
                <w:b w:val="0"/>
                <w:szCs w:val="14"/>
              </w:rPr>
              <w:t>expenses</w:t>
            </w:r>
            <w:proofErr w:type="spellEnd"/>
          </w:p>
        </w:tc>
        <w:tc>
          <w:tcPr>
            <w:tcW w:w="1602" w:type="dxa"/>
            <w:tcBorders>
              <w:top w:val="nil"/>
              <w:left w:val="nil"/>
              <w:bottom w:val="nil"/>
              <w:right w:val="nil"/>
            </w:tcBorders>
            <w:shd w:val="clear" w:color="auto" w:fill="auto"/>
            <w:vAlign w:val="center"/>
          </w:tcPr>
          <w:p w14:paraId="55C4340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77" w:type="dxa"/>
            <w:tcBorders>
              <w:top w:val="nil"/>
              <w:left w:val="nil"/>
              <w:bottom w:val="nil"/>
              <w:right w:val="nil"/>
            </w:tcBorders>
            <w:shd w:val="clear" w:color="auto" w:fill="auto"/>
            <w:vAlign w:val="center"/>
          </w:tcPr>
          <w:p w14:paraId="630D41A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49" w:type="dxa"/>
            <w:tcBorders>
              <w:top w:val="nil"/>
              <w:left w:val="nil"/>
              <w:bottom w:val="nil"/>
              <w:right w:val="nil"/>
            </w:tcBorders>
            <w:shd w:val="clear" w:color="auto" w:fill="auto"/>
            <w:vAlign w:val="center"/>
          </w:tcPr>
          <w:p w14:paraId="0E9D1564"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(35,486)</w:t>
            </w:r>
          </w:p>
        </w:tc>
        <w:tc>
          <w:tcPr>
            <w:tcW w:w="1702" w:type="dxa"/>
            <w:tcBorders>
              <w:top w:val="nil"/>
              <w:left w:val="nil"/>
              <w:bottom w:val="nil"/>
              <w:right w:val="nil"/>
            </w:tcBorders>
            <w:shd w:val="clear" w:color="auto" w:fill="auto"/>
            <w:vAlign w:val="center"/>
          </w:tcPr>
          <w:p w14:paraId="3B4A4FC1"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4C5A7A">
              <w:rPr>
                <w:rStyle w:val="normaltextrun"/>
                <w:rFonts w:cs="Arial"/>
                <w:color w:val="000000"/>
                <w:szCs w:val="14"/>
              </w:rPr>
              <w:t>(24,814)</w:t>
            </w:r>
            <w:r w:rsidRPr="004C5A7A">
              <w:rPr>
                <w:rStyle w:val="eop"/>
                <w:rFonts w:cs="Arial"/>
                <w:color w:val="000000"/>
                <w:szCs w:val="14"/>
              </w:rPr>
              <w:t> </w:t>
            </w:r>
          </w:p>
        </w:tc>
      </w:tr>
      <w:tr w:rsidR="009E215C" w:rsidRPr="004C5A7A" w14:paraId="701CEB6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08AE4A27" w14:textId="77777777" w:rsidR="009E215C" w:rsidRPr="004C5A7A" w:rsidRDefault="009E215C">
            <w:pPr>
              <w:pStyle w:val="08-Tabelageral"/>
              <w:jc w:val="left"/>
              <w:rPr>
                <w:rFonts w:cs="Arial"/>
                <w:szCs w:val="14"/>
                <w:lang w:val="en-US"/>
              </w:rPr>
            </w:pPr>
            <w:r w:rsidRPr="004C5A7A">
              <w:rPr>
                <w:rFonts w:cs="Arial"/>
                <w:szCs w:val="14"/>
                <w:lang w:val="en-US"/>
              </w:rPr>
              <w:t>Income Before Financial Income and Expenses</w:t>
            </w:r>
          </w:p>
        </w:tc>
        <w:tc>
          <w:tcPr>
            <w:tcW w:w="1602" w:type="dxa"/>
            <w:tcBorders>
              <w:top w:val="nil"/>
              <w:left w:val="nil"/>
              <w:bottom w:val="nil"/>
              <w:right w:val="nil"/>
            </w:tcBorders>
            <w:shd w:val="clear" w:color="auto" w:fill="auto"/>
            <w:vAlign w:val="center"/>
          </w:tcPr>
          <w:p w14:paraId="215F5CC9"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p>
        </w:tc>
        <w:tc>
          <w:tcPr>
            <w:tcW w:w="1577" w:type="dxa"/>
            <w:tcBorders>
              <w:top w:val="nil"/>
              <w:left w:val="nil"/>
              <w:bottom w:val="nil"/>
              <w:right w:val="nil"/>
            </w:tcBorders>
            <w:shd w:val="clear" w:color="auto" w:fill="auto"/>
            <w:vAlign w:val="center"/>
          </w:tcPr>
          <w:p w14:paraId="627761B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p>
        </w:tc>
        <w:tc>
          <w:tcPr>
            <w:tcW w:w="1449" w:type="dxa"/>
            <w:tcBorders>
              <w:top w:val="nil"/>
              <w:left w:val="nil"/>
              <w:bottom w:val="nil"/>
              <w:right w:val="nil"/>
            </w:tcBorders>
            <w:shd w:val="clear" w:color="auto" w:fill="auto"/>
            <w:vAlign w:val="center"/>
          </w:tcPr>
          <w:p w14:paraId="18EC630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4,490,263</w:t>
            </w:r>
          </w:p>
        </w:tc>
        <w:tc>
          <w:tcPr>
            <w:tcW w:w="1702" w:type="dxa"/>
            <w:tcBorders>
              <w:top w:val="nil"/>
              <w:left w:val="nil"/>
              <w:bottom w:val="nil"/>
              <w:right w:val="nil"/>
            </w:tcBorders>
            <w:shd w:val="clear" w:color="auto" w:fill="auto"/>
            <w:vAlign w:val="center"/>
          </w:tcPr>
          <w:p w14:paraId="3F9FCA33"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Style w:val="normaltextrun"/>
                <w:rFonts w:cs="Arial"/>
                <w:b/>
                <w:bCs/>
                <w:color w:val="000000"/>
                <w:szCs w:val="14"/>
              </w:rPr>
              <w:t>4,052,996</w:t>
            </w:r>
            <w:r w:rsidRPr="004C5A7A">
              <w:rPr>
                <w:rStyle w:val="eop"/>
                <w:rFonts w:cs="Arial"/>
                <w:color w:val="000000"/>
                <w:szCs w:val="14"/>
              </w:rPr>
              <w:t> </w:t>
            </w:r>
          </w:p>
        </w:tc>
      </w:tr>
      <w:tr w:rsidR="009E215C" w:rsidRPr="004C5A7A" w14:paraId="41527F8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207ED4D0" w14:textId="77777777" w:rsidR="009E215C" w:rsidRPr="004C5A7A" w:rsidRDefault="009E215C">
            <w:pPr>
              <w:pStyle w:val="08-Tabelageral"/>
              <w:jc w:val="left"/>
              <w:rPr>
                <w:rFonts w:cs="Arial"/>
                <w:szCs w:val="14"/>
              </w:rPr>
            </w:pPr>
            <w:r w:rsidRPr="004C5A7A">
              <w:rPr>
                <w:rFonts w:cs="Arial"/>
                <w:szCs w:val="14"/>
              </w:rPr>
              <w:t xml:space="preserve">Financial </w:t>
            </w:r>
            <w:proofErr w:type="spellStart"/>
            <w:r w:rsidRPr="004C5A7A">
              <w:rPr>
                <w:rFonts w:cs="Arial"/>
                <w:szCs w:val="14"/>
              </w:rPr>
              <w:t>result</w:t>
            </w:r>
            <w:proofErr w:type="spellEnd"/>
          </w:p>
        </w:tc>
        <w:tc>
          <w:tcPr>
            <w:tcW w:w="1602" w:type="dxa"/>
            <w:tcBorders>
              <w:top w:val="nil"/>
              <w:left w:val="nil"/>
              <w:bottom w:val="nil"/>
              <w:right w:val="nil"/>
            </w:tcBorders>
            <w:shd w:val="clear" w:color="auto" w:fill="auto"/>
            <w:vAlign w:val="center"/>
          </w:tcPr>
          <w:p w14:paraId="3CB6EAA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5055FB1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0D8F6294"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color w:val="000000"/>
                <w:szCs w:val="14"/>
              </w:rPr>
              <w:t>479,352</w:t>
            </w:r>
          </w:p>
        </w:tc>
        <w:tc>
          <w:tcPr>
            <w:tcW w:w="1702" w:type="dxa"/>
            <w:tcBorders>
              <w:top w:val="nil"/>
              <w:left w:val="nil"/>
              <w:bottom w:val="nil"/>
              <w:right w:val="nil"/>
            </w:tcBorders>
            <w:shd w:val="clear" w:color="auto" w:fill="auto"/>
            <w:vAlign w:val="center"/>
          </w:tcPr>
          <w:p w14:paraId="50C56F7A"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Style w:val="normaltextrun"/>
                <w:rFonts w:cs="Arial"/>
                <w:b/>
                <w:bCs/>
                <w:color w:val="000000"/>
                <w:szCs w:val="14"/>
              </w:rPr>
              <w:t>443,858</w:t>
            </w:r>
            <w:r w:rsidRPr="004C5A7A">
              <w:rPr>
                <w:rStyle w:val="eop"/>
                <w:rFonts w:cs="Arial"/>
                <w:color w:val="000000"/>
                <w:szCs w:val="14"/>
              </w:rPr>
              <w:t> </w:t>
            </w:r>
          </w:p>
        </w:tc>
      </w:tr>
      <w:tr w:rsidR="009E215C" w:rsidRPr="004C5A7A" w14:paraId="6F8E5E9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14F225B9" w14:textId="77777777" w:rsidR="009E215C" w:rsidRPr="004C5A7A" w:rsidRDefault="009E215C">
            <w:pPr>
              <w:pStyle w:val="08-Tabelageral"/>
              <w:ind w:left="113"/>
              <w:jc w:val="left"/>
              <w:rPr>
                <w:rFonts w:cs="Arial"/>
                <w:b w:val="0"/>
                <w:szCs w:val="14"/>
              </w:rPr>
            </w:pPr>
            <w:r w:rsidRPr="004C5A7A">
              <w:rPr>
                <w:rFonts w:cs="Arial"/>
                <w:b w:val="0"/>
                <w:szCs w:val="14"/>
              </w:rPr>
              <w:t>Financial income</w:t>
            </w:r>
          </w:p>
        </w:tc>
        <w:tc>
          <w:tcPr>
            <w:tcW w:w="1602" w:type="dxa"/>
            <w:tcBorders>
              <w:top w:val="nil"/>
              <w:left w:val="nil"/>
              <w:bottom w:val="nil"/>
              <w:right w:val="nil"/>
            </w:tcBorders>
            <w:shd w:val="clear" w:color="auto" w:fill="auto"/>
            <w:vAlign w:val="center"/>
          </w:tcPr>
          <w:p w14:paraId="289DE3FA"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4C3FC962"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461D8D1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505,535</w:t>
            </w:r>
          </w:p>
        </w:tc>
        <w:tc>
          <w:tcPr>
            <w:tcW w:w="1702" w:type="dxa"/>
            <w:tcBorders>
              <w:top w:val="nil"/>
              <w:left w:val="nil"/>
              <w:bottom w:val="nil"/>
              <w:right w:val="nil"/>
            </w:tcBorders>
            <w:shd w:val="clear" w:color="auto" w:fill="auto"/>
            <w:vAlign w:val="center"/>
          </w:tcPr>
          <w:p w14:paraId="76BA990C"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sidRPr="004C5A7A">
              <w:rPr>
                <w:rStyle w:val="normaltextrun"/>
                <w:rFonts w:cs="Arial"/>
                <w:color w:val="000000"/>
                <w:szCs w:val="14"/>
              </w:rPr>
              <w:t>477,365</w:t>
            </w:r>
            <w:r w:rsidRPr="004C5A7A">
              <w:rPr>
                <w:rStyle w:val="eop"/>
                <w:rFonts w:cs="Arial"/>
                <w:color w:val="000000"/>
                <w:szCs w:val="14"/>
              </w:rPr>
              <w:t> </w:t>
            </w:r>
          </w:p>
        </w:tc>
      </w:tr>
      <w:tr w:rsidR="009E215C" w:rsidRPr="004C5A7A" w14:paraId="4398A36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43CEA83B" w14:textId="77777777" w:rsidR="009E215C" w:rsidRPr="004C5A7A" w:rsidRDefault="009E215C">
            <w:pPr>
              <w:pStyle w:val="08-Tabelageral"/>
              <w:ind w:left="113"/>
              <w:jc w:val="left"/>
              <w:rPr>
                <w:rFonts w:cs="Arial"/>
                <w:b w:val="0"/>
                <w:szCs w:val="14"/>
              </w:rPr>
            </w:pPr>
            <w:r w:rsidRPr="004C5A7A">
              <w:rPr>
                <w:rFonts w:cs="Arial"/>
                <w:b w:val="0"/>
                <w:szCs w:val="14"/>
              </w:rPr>
              <w:t xml:space="preserve">Financial </w:t>
            </w:r>
            <w:proofErr w:type="spellStart"/>
            <w:r w:rsidRPr="004C5A7A">
              <w:rPr>
                <w:rFonts w:cs="Arial"/>
                <w:b w:val="0"/>
                <w:szCs w:val="14"/>
              </w:rPr>
              <w:t>expenses</w:t>
            </w:r>
            <w:proofErr w:type="spellEnd"/>
            <w:r w:rsidRPr="004C5A7A">
              <w:rPr>
                <w:rFonts w:cs="Arial"/>
                <w:b w:val="0"/>
                <w:szCs w:val="14"/>
              </w:rPr>
              <w:t xml:space="preserve"> </w:t>
            </w:r>
          </w:p>
        </w:tc>
        <w:tc>
          <w:tcPr>
            <w:tcW w:w="1602" w:type="dxa"/>
            <w:tcBorders>
              <w:top w:val="nil"/>
              <w:left w:val="nil"/>
              <w:bottom w:val="nil"/>
              <w:right w:val="nil"/>
            </w:tcBorders>
            <w:shd w:val="clear" w:color="auto" w:fill="auto"/>
            <w:vAlign w:val="center"/>
          </w:tcPr>
          <w:p w14:paraId="6A18CB41"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77" w:type="dxa"/>
            <w:tcBorders>
              <w:top w:val="nil"/>
              <w:left w:val="nil"/>
              <w:bottom w:val="nil"/>
              <w:right w:val="nil"/>
            </w:tcBorders>
            <w:shd w:val="clear" w:color="auto" w:fill="auto"/>
            <w:vAlign w:val="center"/>
          </w:tcPr>
          <w:p w14:paraId="543A651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449" w:type="dxa"/>
            <w:tcBorders>
              <w:top w:val="nil"/>
              <w:left w:val="nil"/>
              <w:bottom w:val="nil"/>
              <w:right w:val="nil"/>
            </w:tcBorders>
            <w:shd w:val="clear" w:color="auto" w:fill="auto"/>
            <w:vAlign w:val="center"/>
          </w:tcPr>
          <w:p w14:paraId="5F43F89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(26,183)</w:t>
            </w:r>
          </w:p>
        </w:tc>
        <w:tc>
          <w:tcPr>
            <w:tcW w:w="1702" w:type="dxa"/>
            <w:tcBorders>
              <w:top w:val="nil"/>
              <w:left w:val="nil"/>
              <w:bottom w:val="nil"/>
              <w:right w:val="nil"/>
            </w:tcBorders>
            <w:shd w:val="clear" w:color="auto" w:fill="auto"/>
            <w:vAlign w:val="center"/>
          </w:tcPr>
          <w:p w14:paraId="4DA4BAA1"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4C5A7A">
              <w:rPr>
                <w:rStyle w:val="normaltextrun"/>
                <w:rFonts w:cs="Arial"/>
                <w:color w:val="000000"/>
                <w:szCs w:val="14"/>
              </w:rPr>
              <w:t>(33,507)</w:t>
            </w:r>
            <w:r w:rsidRPr="004C5A7A">
              <w:rPr>
                <w:rStyle w:val="eop"/>
                <w:rFonts w:cs="Arial"/>
                <w:color w:val="000000"/>
                <w:szCs w:val="14"/>
              </w:rPr>
              <w:t> </w:t>
            </w:r>
          </w:p>
        </w:tc>
      </w:tr>
      <w:tr w:rsidR="009E215C" w:rsidRPr="004C5A7A" w14:paraId="24582C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51C19C5B" w14:textId="77777777" w:rsidR="009E215C" w:rsidRPr="004C5A7A" w:rsidRDefault="009E215C">
            <w:pPr>
              <w:pStyle w:val="08-Tabelageral"/>
              <w:jc w:val="left"/>
              <w:rPr>
                <w:rFonts w:cs="Arial"/>
                <w:szCs w:val="14"/>
              </w:rPr>
            </w:pPr>
            <w:r w:rsidRPr="004C5A7A">
              <w:rPr>
                <w:rFonts w:cs="Arial"/>
                <w:szCs w:val="14"/>
              </w:rPr>
              <w:t xml:space="preserve">Income </w:t>
            </w:r>
            <w:proofErr w:type="spellStart"/>
            <w:r w:rsidRPr="004C5A7A">
              <w:rPr>
                <w:rFonts w:cs="Arial"/>
                <w:szCs w:val="14"/>
              </w:rPr>
              <w:t>before</w:t>
            </w:r>
            <w:proofErr w:type="spellEnd"/>
            <w:r w:rsidRPr="004C5A7A">
              <w:rPr>
                <w:rFonts w:cs="Arial"/>
                <w:szCs w:val="14"/>
              </w:rPr>
              <w:t xml:space="preserve"> taxes</w:t>
            </w:r>
          </w:p>
        </w:tc>
        <w:tc>
          <w:tcPr>
            <w:tcW w:w="1602" w:type="dxa"/>
            <w:tcBorders>
              <w:top w:val="nil"/>
              <w:left w:val="nil"/>
              <w:bottom w:val="nil"/>
              <w:right w:val="nil"/>
            </w:tcBorders>
            <w:shd w:val="clear" w:color="auto" w:fill="auto"/>
            <w:vAlign w:val="center"/>
          </w:tcPr>
          <w:p w14:paraId="0B98252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77" w:type="dxa"/>
            <w:tcBorders>
              <w:top w:val="nil"/>
              <w:left w:val="nil"/>
              <w:bottom w:val="nil"/>
              <w:right w:val="nil"/>
            </w:tcBorders>
            <w:shd w:val="clear" w:color="auto" w:fill="auto"/>
            <w:vAlign w:val="center"/>
          </w:tcPr>
          <w:p w14:paraId="66D617B1"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449" w:type="dxa"/>
            <w:tcBorders>
              <w:top w:val="nil"/>
              <w:left w:val="nil"/>
              <w:bottom w:val="nil"/>
              <w:right w:val="nil"/>
            </w:tcBorders>
            <w:shd w:val="clear" w:color="auto" w:fill="auto"/>
            <w:vAlign w:val="center"/>
          </w:tcPr>
          <w:p w14:paraId="3E57C8E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4,969,615</w:t>
            </w:r>
          </w:p>
        </w:tc>
        <w:tc>
          <w:tcPr>
            <w:tcW w:w="1702" w:type="dxa"/>
            <w:tcBorders>
              <w:top w:val="nil"/>
              <w:left w:val="nil"/>
              <w:bottom w:val="nil"/>
              <w:right w:val="nil"/>
            </w:tcBorders>
            <w:shd w:val="clear" w:color="auto" w:fill="auto"/>
            <w:vAlign w:val="center"/>
          </w:tcPr>
          <w:p w14:paraId="48C40DF4"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Style w:val="normaltextrun"/>
                <w:rFonts w:cs="Arial"/>
                <w:b/>
                <w:bCs/>
                <w:color w:val="000000"/>
                <w:szCs w:val="14"/>
              </w:rPr>
              <w:t>4,496,854</w:t>
            </w:r>
            <w:r w:rsidRPr="004C5A7A">
              <w:rPr>
                <w:rStyle w:val="eop"/>
                <w:rFonts w:cs="Arial"/>
                <w:color w:val="000000"/>
                <w:szCs w:val="14"/>
              </w:rPr>
              <w:t> </w:t>
            </w:r>
          </w:p>
        </w:tc>
      </w:tr>
      <w:tr w:rsidR="009E215C" w:rsidRPr="004C5A7A" w14:paraId="73F3D4C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59DA89C" w14:textId="77777777" w:rsidR="009E215C" w:rsidRPr="004C5A7A" w:rsidRDefault="009E215C">
            <w:pPr>
              <w:pStyle w:val="08-Tabelageral"/>
              <w:jc w:val="left"/>
              <w:rPr>
                <w:rFonts w:cs="Arial"/>
                <w:b w:val="0"/>
                <w:bCs w:val="0"/>
                <w:szCs w:val="14"/>
                <w:lang w:val="en-US"/>
              </w:rPr>
            </w:pPr>
            <w:r w:rsidRPr="004C5A7A">
              <w:rPr>
                <w:rFonts w:cs="Arial"/>
                <w:b w:val="0"/>
                <w:szCs w:val="14"/>
                <w:lang w:val="en-US"/>
              </w:rPr>
              <w:t>Income Tax and Social Contribution</w:t>
            </w:r>
          </w:p>
        </w:tc>
        <w:tc>
          <w:tcPr>
            <w:tcW w:w="1602" w:type="dxa"/>
            <w:tcBorders>
              <w:top w:val="nil"/>
              <w:left w:val="nil"/>
              <w:bottom w:val="nil"/>
              <w:right w:val="nil"/>
            </w:tcBorders>
            <w:shd w:val="clear" w:color="auto" w:fill="auto"/>
            <w:vAlign w:val="center"/>
          </w:tcPr>
          <w:p w14:paraId="6C5A5EFB"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577" w:type="dxa"/>
            <w:tcBorders>
              <w:top w:val="nil"/>
              <w:left w:val="nil"/>
              <w:bottom w:val="nil"/>
              <w:right w:val="nil"/>
            </w:tcBorders>
            <w:shd w:val="clear" w:color="auto" w:fill="auto"/>
            <w:vAlign w:val="center"/>
          </w:tcPr>
          <w:p w14:paraId="61FABC1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449" w:type="dxa"/>
            <w:tcBorders>
              <w:top w:val="nil"/>
              <w:left w:val="nil"/>
              <w:bottom w:val="nil"/>
              <w:right w:val="nil"/>
            </w:tcBorders>
            <w:shd w:val="clear" w:color="auto" w:fill="auto"/>
            <w:vAlign w:val="center"/>
          </w:tcPr>
          <w:p w14:paraId="6B0FAB54"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bCs/>
                <w:color w:val="000000"/>
                <w:szCs w:val="14"/>
              </w:rPr>
              <w:t>(1,661,476)</w:t>
            </w:r>
          </w:p>
        </w:tc>
        <w:tc>
          <w:tcPr>
            <w:tcW w:w="1702" w:type="dxa"/>
            <w:tcBorders>
              <w:top w:val="nil"/>
              <w:left w:val="nil"/>
              <w:bottom w:val="nil"/>
              <w:right w:val="nil"/>
            </w:tcBorders>
            <w:shd w:val="clear" w:color="auto" w:fill="auto"/>
            <w:vAlign w:val="center"/>
          </w:tcPr>
          <w:p w14:paraId="532CACF3"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4C5A7A">
              <w:rPr>
                <w:rStyle w:val="normaltextrun"/>
                <w:rFonts w:cs="Arial"/>
                <w:bCs/>
                <w:color w:val="000000"/>
                <w:szCs w:val="14"/>
              </w:rPr>
              <w:t>(1,508,455)</w:t>
            </w:r>
            <w:r w:rsidRPr="004C5A7A">
              <w:rPr>
                <w:rStyle w:val="eop"/>
                <w:rFonts w:cs="Arial"/>
                <w:bCs/>
                <w:color w:val="000000"/>
                <w:szCs w:val="14"/>
              </w:rPr>
              <w:t> </w:t>
            </w:r>
          </w:p>
        </w:tc>
      </w:tr>
      <w:tr w:rsidR="009E215C" w:rsidRPr="004C5A7A" w14:paraId="053C54C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C376CE0" w14:textId="77777777" w:rsidR="009E215C" w:rsidRPr="004C5A7A" w:rsidRDefault="009E215C">
            <w:pPr>
              <w:pStyle w:val="08-Tabelageral"/>
              <w:jc w:val="left"/>
              <w:rPr>
                <w:rFonts w:cs="Arial"/>
                <w:szCs w:val="14"/>
              </w:rPr>
            </w:pPr>
            <w:r w:rsidRPr="004C5A7A">
              <w:rPr>
                <w:rFonts w:cs="Arial"/>
                <w:szCs w:val="14"/>
              </w:rPr>
              <w:t xml:space="preserve">Net income </w:t>
            </w:r>
          </w:p>
        </w:tc>
        <w:tc>
          <w:tcPr>
            <w:tcW w:w="1602" w:type="dxa"/>
            <w:shd w:val="clear" w:color="auto" w:fill="auto"/>
            <w:vAlign w:val="center"/>
          </w:tcPr>
          <w:p w14:paraId="2558B46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77" w:type="dxa"/>
            <w:shd w:val="clear" w:color="auto" w:fill="auto"/>
            <w:vAlign w:val="center"/>
          </w:tcPr>
          <w:p w14:paraId="570DA3F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9" w:type="dxa"/>
            <w:shd w:val="clear" w:color="auto" w:fill="auto"/>
            <w:vAlign w:val="center"/>
          </w:tcPr>
          <w:p w14:paraId="41581EA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3,308,139</w:t>
            </w:r>
          </w:p>
        </w:tc>
        <w:tc>
          <w:tcPr>
            <w:tcW w:w="1702" w:type="dxa"/>
            <w:shd w:val="clear" w:color="auto" w:fill="auto"/>
            <w:vAlign w:val="center"/>
          </w:tcPr>
          <w:p w14:paraId="6C9E0540"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2,988,399</w:t>
            </w:r>
          </w:p>
        </w:tc>
      </w:tr>
      <w:tr w:rsidR="009E215C" w:rsidRPr="004C5A7A" w14:paraId="7A691D3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768BFDD2" w14:textId="77777777" w:rsidR="009E215C" w:rsidRPr="004C5A7A" w:rsidRDefault="009E215C">
            <w:pPr>
              <w:pStyle w:val="08-Tabelageral"/>
              <w:ind w:left="113"/>
              <w:jc w:val="left"/>
              <w:rPr>
                <w:rFonts w:cs="Arial"/>
                <w:b w:val="0"/>
                <w:szCs w:val="14"/>
              </w:rPr>
            </w:pPr>
            <w:r w:rsidRPr="004C5A7A">
              <w:rPr>
                <w:rFonts w:cs="Arial"/>
                <w:b w:val="0"/>
                <w:szCs w:val="14"/>
              </w:rPr>
              <w:t xml:space="preserve">Other </w:t>
            </w:r>
            <w:proofErr w:type="spellStart"/>
            <w:r w:rsidRPr="004C5A7A">
              <w:rPr>
                <w:rFonts w:cs="Arial"/>
                <w:b w:val="0"/>
                <w:szCs w:val="14"/>
              </w:rPr>
              <w:t>comprehensive</w:t>
            </w:r>
            <w:proofErr w:type="spellEnd"/>
            <w:r w:rsidRPr="004C5A7A">
              <w:rPr>
                <w:rFonts w:cs="Arial"/>
                <w:b w:val="0"/>
                <w:szCs w:val="14"/>
              </w:rPr>
              <w:t xml:space="preserve"> </w:t>
            </w:r>
            <w:proofErr w:type="spellStart"/>
            <w:r w:rsidRPr="004C5A7A">
              <w:rPr>
                <w:rFonts w:cs="Arial"/>
                <w:b w:val="0"/>
                <w:szCs w:val="14"/>
              </w:rPr>
              <w:t>results</w:t>
            </w:r>
            <w:proofErr w:type="spellEnd"/>
          </w:p>
        </w:tc>
        <w:tc>
          <w:tcPr>
            <w:tcW w:w="1602" w:type="dxa"/>
            <w:shd w:val="clear" w:color="auto" w:fill="auto"/>
            <w:vAlign w:val="center"/>
          </w:tcPr>
          <w:p w14:paraId="73956AB4"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77" w:type="dxa"/>
            <w:shd w:val="clear" w:color="auto" w:fill="auto"/>
            <w:vAlign w:val="center"/>
          </w:tcPr>
          <w:p w14:paraId="462B80B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49" w:type="dxa"/>
            <w:shd w:val="clear" w:color="auto" w:fill="auto"/>
            <w:vAlign w:val="center"/>
          </w:tcPr>
          <w:p w14:paraId="0DF4BF2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4C5A7A">
              <w:rPr>
                <w:rFonts w:cs="Arial"/>
                <w:bCs/>
                <w:szCs w:val="14"/>
              </w:rPr>
              <w:t>246</w:t>
            </w:r>
          </w:p>
        </w:tc>
        <w:tc>
          <w:tcPr>
            <w:tcW w:w="1702" w:type="dxa"/>
            <w:shd w:val="clear" w:color="auto" w:fill="auto"/>
            <w:vAlign w:val="center"/>
          </w:tcPr>
          <w:p w14:paraId="0156CFA8"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sidRPr="004C5A7A">
              <w:rPr>
                <w:rFonts w:cs="Arial"/>
                <w:bCs/>
                <w:szCs w:val="14"/>
              </w:rPr>
              <w:t>(466)</w:t>
            </w:r>
          </w:p>
        </w:tc>
      </w:tr>
      <w:tr w:rsidR="009E215C" w:rsidRPr="004C5A7A" w14:paraId="37C4B2F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2D93E317" w14:textId="77777777" w:rsidR="009E215C" w:rsidRPr="004C5A7A" w:rsidRDefault="009E215C">
            <w:pPr>
              <w:pStyle w:val="08-Tabelageral"/>
              <w:jc w:val="left"/>
              <w:rPr>
                <w:rFonts w:cs="Arial"/>
                <w:szCs w:val="14"/>
              </w:rPr>
            </w:pPr>
            <w:proofErr w:type="spellStart"/>
            <w:r w:rsidRPr="004C5A7A">
              <w:rPr>
                <w:rFonts w:cs="Arial"/>
                <w:szCs w:val="14"/>
              </w:rPr>
              <w:t>Comprehensive</w:t>
            </w:r>
            <w:proofErr w:type="spellEnd"/>
            <w:r w:rsidRPr="004C5A7A">
              <w:rPr>
                <w:rFonts w:cs="Arial"/>
                <w:szCs w:val="14"/>
              </w:rPr>
              <w:t xml:space="preserve"> Income</w:t>
            </w:r>
          </w:p>
        </w:tc>
        <w:tc>
          <w:tcPr>
            <w:tcW w:w="1602" w:type="dxa"/>
            <w:shd w:val="clear" w:color="auto" w:fill="auto"/>
            <w:vAlign w:val="center"/>
          </w:tcPr>
          <w:p w14:paraId="1D7BA94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77" w:type="dxa"/>
            <w:shd w:val="clear" w:color="auto" w:fill="auto"/>
            <w:vAlign w:val="center"/>
          </w:tcPr>
          <w:p w14:paraId="2C19939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49" w:type="dxa"/>
            <w:shd w:val="clear" w:color="auto" w:fill="auto"/>
            <w:vAlign w:val="center"/>
          </w:tcPr>
          <w:p w14:paraId="6C3F9AF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color w:val="000000"/>
                <w:szCs w:val="14"/>
              </w:rPr>
              <w:t>3,308,385</w:t>
            </w:r>
          </w:p>
        </w:tc>
        <w:tc>
          <w:tcPr>
            <w:tcW w:w="1702" w:type="dxa"/>
            <w:shd w:val="clear" w:color="auto" w:fill="auto"/>
            <w:vAlign w:val="center"/>
          </w:tcPr>
          <w:p w14:paraId="5F28B56B"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rPr>
              <w:t>2,987,933</w:t>
            </w:r>
          </w:p>
        </w:tc>
      </w:tr>
      <w:tr w:rsidR="009E215C" w:rsidRPr="004C5A7A" w14:paraId="0D2204A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1013B469" w14:textId="77777777" w:rsidR="009E215C" w:rsidRPr="004C5A7A" w:rsidRDefault="009E215C">
            <w:pPr>
              <w:pStyle w:val="08-Tabelageral"/>
              <w:jc w:val="left"/>
              <w:rPr>
                <w:rFonts w:cs="Arial"/>
                <w:szCs w:val="14"/>
              </w:rPr>
            </w:pPr>
            <w:proofErr w:type="spellStart"/>
            <w:r w:rsidRPr="004C5A7A">
              <w:rPr>
                <w:rFonts w:cs="Arial"/>
                <w:szCs w:val="14"/>
              </w:rPr>
              <w:t>Attributable</w:t>
            </w:r>
            <w:proofErr w:type="spellEnd"/>
            <w:r w:rsidRPr="004C5A7A">
              <w:rPr>
                <w:rFonts w:cs="Arial"/>
                <w:szCs w:val="14"/>
              </w:rPr>
              <w:t xml:space="preserve"> </w:t>
            </w:r>
            <w:proofErr w:type="spellStart"/>
            <w:r w:rsidRPr="004C5A7A">
              <w:rPr>
                <w:rFonts w:cs="Arial"/>
                <w:szCs w:val="14"/>
              </w:rPr>
              <w:t>to</w:t>
            </w:r>
            <w:proofErr w:type="spellEnd"/>
            <w:r w:rsidRPr="004C5A7A">
              <w:rPr>
                <w:rFonts w:cs="Arial"/>
                <w:szCs w:val="14"/>
              </w:rPr>
              <w:t xml:space="preserve"> BB Seguridade</w:t>
            </w:r>
          </w:p>
        </w:tc>
        <w:tc>
          <w:tcPr>
            <w:tcW w:w="1602" w:type="dxa"/>
            <w:shd w:val="clear" w:color="auto" w:fill="auto"/>
            <w:vAlign w:val="center"/>
          </w:tcPr>
          <w:p w14:paraId="5EFCD677"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77" w:type="dxa"/>
            <w:shd w:val="clear" w:color="auto" w:fill="auto"/>
            <w:vAlign w:val="center"/>
          </w:tcPr>
          <w:p w14:paraId="24BC878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449" w:type="dxa"/>
            <w:shd w:val="clear" w:color="auto" w:fill="auto"/>
            <w:vAlign w:val="center"/>
          </w:tcPr>
          <w:p w14:paraId="6FA7CF8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szCs w:val="14"/>
              </w:rPr>
              <w:t>3,308,139</w:t>
            </w:r>
          </w:p>
        </w:tc>
        <w:tc>
          <w:tcPr>
            <w:tcW w:w="1702" w:type="dxa"/>
            <w:shd w:val="clear" w:color="auto" w:fill="auto"/>
            <w:vAlign w:val="center"/>
          </w:tcPr>
          <w:p w14:paraId="13D27D6A" w14:textId="77777777" w:rsidR="009E215C" w:rsidRPr="004C5A7A" w:rsidRDefault="009E215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4C5A7A">
              <w:rPr>
                <w:rFonts w:cs="Arial"/>
                <w:b/>
                <w:bCs/>
              </w:rPr>
              <w:t>2,987,933</w:t>
            </w:r>
          </w:p>
        </w:tc>
      </w:tr>
      <w:tr w:rsidR="009E215C" w:rsidRPr="004C5A7A" w14:paraId="69B30AD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09" w:type="dxa"/>
            <w:shd w:val="clear" w:color="auto" w:fill="auto"/>
            <w:vAlign w:val="center"/>
          </w:tcPr>
          <w:p w14:paraId="6D1A5163" w14:textId="77777777" w:rsidR="009E215C" w:rsidRPr="004C5A7A" w:rsidRDefault="009E215C">
            <w:pPr>
              <w:pStyle w:val="08-Tabelageral"/>
              <w:jc w:val="left"/>
              <w:rPr>
                <w:rFonts w:cs="Arial"/>
                <w:szCs w:val="14"/>
              </w:rPr>
            </w:pPr>
            <w:proofErr w:type="spellStart"/>
            <w:r w:rsidRPr="004C5A7A">
              <w:rPr>
                <w:rFonts w:cs="Arial"/>
                <w:szCs w:val="14"/>
              </w:rPr>
              <w:t>Equity</w:t>
            </w:r>
            <w:proofErr w:type="spellEnd"/>
            <w:r w:rsidRPr="004C5A7A">
              <w:rPr>
                <w:rFonts w:cs="Arial"/>
                <w:szCs w:val="14"/>
              </w:rPr>
              <w:t xml:space="preserve"> income</w:t>
            </w:r>
          </w:p>
        </w:tc>
        <w:tc>
          <w:tcPr>
            <w:tcW w:w="1602" w:type="dxa"/>
            <w:shd w:val="clear" w:color="auto" w:fill="auto"/>
            <w:vAlign w:val="center"/>
          </w:tcPr>
          <w:p w14:paraId="25B13C6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77" w:type="dxa"/>
            <w:shd w:val="clear" w:color="auto" w:fill="auto"/>
            <w:vAlign w:val="center"/>
          </w:tcPr>
          <w:p w14:paraId="1B67E602"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449" w:type="dxa"/>
            <w:shd w:val="clear" w:color="auto" w:fill="auto"/>
            <w:vAlign w:val="center"/>
          </w:tcPr>
          <w:p w14:paraId="7BEFAE5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szCs w:val="14"/>
              </w:rPr>
              <w:t>3,308,139</w:t>
            </w:r>
          </w:p>
        </w:tc>
        <w:tc>
          <w:tcPr>
            <w:tcW w:w="1702" w:type="dxa"/>
            <w:shd w:val="clear" w:color="auto" w:fill="auto"/>
            <w:vAlign w:val="center"/>
          </w:tcPr>
          <w:p w14:paraId="35005B15" w14:textId="77777777" w:rsidR="009E215C" w:rsidRPr="004C5A7A" w:rsidRDefault="009E215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C5A7A">
              <w:rPr>
                <w:rFonts w:cs="Arial"/>
                <w:b/>
                <w:bCs/>
              </w:rPr>
              <w:t>2,987,933</w:t>
            </w:r>
          </w:p>
        </w:tc>
      </w:tr>
    </w:tbl>
    <w:p w14:paraId="14B4E97A" w14:textId="77777777" w:rsidR="009E215C" w:rsidRPr="004C5A7A" w:rsidRDefault="009E215C" w:rsidP="009E215C">
      <w:pPr>
        <w:spacing w:after="0" w:line="240" w:lineRule="auto"/>
        <w:rPr>
          <w:rFonts w:ascii="Arial" w:eastAsia="Times New Roman" w:hAnsi="Arial" w:cs="Arial"/>
          <w:b/>
          <w:color w:val="1F3864" w:themeColor="accent1" w:themeShade="80"/>
          <w:spacing w:val="-2"/>
          <w:sz w:val="18"/>
          <w:szCs w:val="20"/>
          <w:lang w:val="en-US" w:eastAsia="pt-BR"/>
        </w:rPr>
      </w:pPr>
    </w:p>
    <w:bookmarkEnd w:id="45"/>
    <w:bookmarkEnd w:id="46"/>
    <w:p w14:paraId="7B6DA656" w14:textId="77777777" w:rsidR="009E215C" w:rsidRPr="004C5A7A" w:rsidRDefault="009E215C" w:rsidP="009E215C">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4C5A7A">
        <w:rPr>
          <w:rFonts w:ascii="Arial" w:eastAsia="Times New Roman" w:hAnsi="Arial" w:cs="Arial"/>
          <w:b/>
          <w:color w:val="1F3864" w:themeColor="accent1" w:themeShade="80"/>
          <w:spacing w:val="-2"/>
          <w:sz w:val="18"/>
          <w:szCs w:val="20"/>
          <w:lang w:eastAsia="pt-BR"/>
        </w:rPr>
        <w:lastRenderedPageBreak/>
        <w:t xml:space="preserve">Balance </w:t>
      </w:r>
      <w:proofErr w:type="spellStart"/>
      <w:r w:rsidRPr="004C5A7A">
        <w:rPr>
          <w:rFonts w:ascii="Arial" w:eastAsia="Times New Roman" w:hAnsi="Arial" w:cs="Arial"/>
          <w:b/>
          <w:color w:val="1F3864" w:themeColor="accent1" w:themeShade="80"/>
          <w:spacing w:val="-2"/>
          <w:sz w:val="18"/>
          <w:szCs w:val="20"/>
          <w:lang w:eastAsia="pt-BR"/>
        </w:rPr>
        <w:t>Sheet</w:t>
      </w:r>
      <w:proofErr w:type="spellEnd"/>
      <w:r w:rsidRPr="004C5A7A">
        <w:rPr>
          <w:rFonts w:ascii="Arial" w:eastAsia="Times New Roman" w:hAnsi="Arial" w:cs="Arial"/>
          <w:b/>
          <w:color w:val="1F3864" w:themeColor="accent1" w:themeShade="80"/>
          <w:spacing w:val="-2"/>
          <w:sz w:val="18"/>
          <w:szCs w:val="20"/>
          <w:lang w:eastAsia="pt-BR"/>
        </w:rPr>
        <w:t xml:space="preserve"> </w:t>
      </w:r>
      <w:proofErr w:type="spellStart"/>
      <w:r w:rsidRPr="004C5A7A">
        <w:rPr>
          <w:rFonts w:ascii="Arial" w:eastAsia="Times New Roman" w:hAnsi="Arial" w:cs="Arial"/>
          <w:b/>
          <w:color w:val="1F3864" w:themeColor="accent1" w:themeShade="80"/>
          <w:spacing w:val="-2"/>
          <w:sz w:val="18"/>
          <w:szCs w:val="20"/>
          <w:lang w:eastAsia="pt-BR"/>
        </w:rPr>
        <w:t>Information</w:t>
      </w:r>
      <w:proofErr w:type="spellEnd"/>
    </w:p>
    <w:p w14:paraId="38933A36" w14:textId="77777777" w:rsidR="009E215C" w:rsidRPr="004C5A7A" w:rsidRDefault="009E215C" w:rsidP="009E215C">
      <w:pPr>
        <w:pStyle w:val="01-TtulodeNota"/>
        <w:spacing w:before="0" w:after="0"/>
        <w:jc w:val="right"/>
        <w:rPr>
          <w:rFonts w:cs="Arial"/>
          <w:sz w:val="14"/>
          <w:szCs w:val="14"/>
        </w:rPr>
      </w:pPr>
      <w:r w:rsidRPr="004C5A7A">
        <w:rPr>
          <w:rFonts w:cs="Arial"/>
          <w:sz w:val="14"/>
          <w:szCs w:val="14"/>
        </w:rPr>
        <w:t xml:space="preserve">R$ </w:t>
      </w:r>
      <w:proofErr w:type="spellStart"/>
      <w:r w:rsidRPr="004C5A7A">
        <w:rPr>
          <w:rFonts w:cs="Arial"/>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9E215C" w:rsidRPr="004C5A7A" w14:paraId="28270FF2"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auto"/>
            <w:vAlign w:val="center"/>
          </w:tcPr>
          <w:p w14:paraId="032D04F5" w14:textId="77777777" w:rsidR="009E215C" w:rsidRPr="004C5A7A" w:rsidRDefault="009E215C">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auto"/>
            <w:vAlign w:val="center"/>
          </w:tcPr>
          <w:p w14:paraId="7123EE96" w14:textId="77777777" w:rsidR="009E215C" w:rsidRPr="004C5A7A"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4C5A7A">
              <w:rPr>
                <w:rFonts w:cs="Arial"/>
                <w:szCs w:val="14"/>
              </w:rPr>
              <w:t>Dec</w:t>
            </w:r>
            <w:proofErr w:type="spellEnd"/>
            <w:r w:rsidRPr="004C5A7A">
              <w:rPr>
                <w:rFonts w:cs="Arial"/>
                <w:szCs w:val="14"/>
              </w:rPr>
              <w:t xml:space="preserve"> 31, 2024</w:t>
            </w:r>
          </w:p>
        </w:tc>
        <w:tc>
          <w:tcPr>
            <w:tcW w:w="1914" w:type="dxa"/>
            <w:tcBorders>
              <w:top w:val="single" w:sz="2" w:space="0" w:color="1F3864" w:themeColor="accent1" w:themeShade="80"/>
              <w:bottom w:val="single" w:sz="2" w:space="0" w:color="1F3864" w:themeColor="accent1" w:themeShade="80"/>
            </w:tcBorders>
            <w:shd w:val="clear" w:color="auto" w:fill="auto"/>
            <w:vAlign w:val="center"/>
          </w:tcPr>
          <w:p w14:paraId="0A84EA8E" w14:textId="77777777" w:rsidR="009E215C" w:rsidRPr="004C5A7A" w:rsidRDefault="009E21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sidRPr="004C5A7A">
              <w:rPr>
                <w:rFonts w:cs="Arial"/>
                <w:szCs w:val="14"/>
              </w:rPr>
              <w:t>Dec</w:t>
            </w:r>
            <w:proofErr w:type="spellEnd"/>
            <w:r w:rsidRPr="004C5A7A">
              <w:rPr>
                <w:rFonts w:cs="Arial"/>
                <w:szCs w:val="14"/>
              </w:rPr>
              <w:t xml:space="preserve"> 31, 2023</w:t>
            </w:r>
          </w:p>
        </w:tc>
      </w:tr>
      <w:tr w:rsidR="009E215C" w:rsidRPr="004C5A7A" w14:paraId="4851399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shd w:val="clear" w:color="auto" w:fill="auto"/>
            <w:vAlign w:val="center"/>
          </w:tcPr>
          <w:p w14:paraId="7D9B7FE4" w14:textId="77777777" w:rsidR="009E215C" w:rsidRPr="004C5A7A" w:rsidRDefault="009E215C">
            <w:pPr>
              <w:pStyle w:val="08-Tabelageral"/>
              <w:jc w:val="left"/>
              <w:rPr>
                <w:rFonts w:cs="Arial"/>
                <w:szCs w:val="14"/>
              </w:rPr>
            </w:pPr>
            <w:proofErr w:type="spellStart"/>
            <w:r w:rsidRPr="004C5A7A">
              <w:rPr>
                <w:rFonts w:cs="Arial"/>
                <w:szCs w:val="14"/>
              </w:rPr>
              <w:t>Current</w:t>
            </w:r>
            <w:proofErr w:type="spellEnd"/>
            <w:r w:rsidRPr="004C5A7A">
              <w:rPr>
                <w:rFonts w:cs="Arial"/>
                <w:szCs w:val="14"/>
              </w:rPr>
              <w:t xml:space="preserve"> </w:t>
            </w:r>
            <w:proofErr w:type="spellStart"/>
            <w:r w:rsidRPr="004C5A7A">
              <w:rPr>
                <w:rFonts w:cs="Arial"/>
                <w:szCs w:val="14"/>
              </w:rPr>
              <w:t>Assets</w:t>
            </w:r>
            <w:proofErr w:type="spellEnd"/>
          </w:p>
        </w:tc>
        <w:tc>
          <w:tcPr>
            <w:tcW w:w="1913" w:type="dxa"/>
            <w:tcBorders>
              <w:top w:val="nil"/>
              <w:left w:val="nil"/>
              <w:bottom w:val="nil"/>
              <w:right w:val="nil"/>
            </w:tcBorders>
            <w:shd w:val="clear" w:color="auto" w:fill="auto"/>
            <w:vAlign w:val="center"/>
          </w:tcPr>
          <w:p w14:paraId="51864AE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C5A7A">
              <w:rPr>
                <w:rFonts w:cs="Arial"/>
                <w:b/>
                <w:bCs/>
                <w:color w:val="000000"/>
                <w:szCs w:val="14"/>
              </w:rPr>
              <w:t>6,262,517</w:t>
            </w:r>
          </w:p>
        </w:tc>
        <w:tc>
          <w:tcPr>
            <w:tcW w:w="1914" w:type="dxa"/>
            <w:tcBorders>
              <w:top w:val="nil"/>
              <w:left w:val="nil"/>
              <w:bottom w:val="nil"/>
              <w:right w:val="nil"/>
            </w:tcBorders>
            <w:shd w:val="clear" w:color="auto" w:fill="auto"/>
            <w:vAlign w:val="center"/>
          </w:tcPr>
          <w:p w14:paraId="27F3A016" w14:textId="77777777" w:rsidR="009E215C" w:rsidRPr="004C5A7A" w:rsidRDefault="009E215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4C5A7A">
              <w:rPr>
                <w:rFonts w:cs="Arial"/>
                <w:b/>
                <w:bCs/>
                <w:color w:val="000000"/>
                <w:szCs w:val="14"/>
              </w:rPr>
              <w:t xml:space="preserve">       4,456,686 </w:t>
            </w:r>
          </w:p>
        </w:tc>
      </w:tr>
      <w:tr w:rsidR="009E215C" w:rsidRPr="004C5A7A" w14:paraId="4283A33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F1C4321" w14:textId="77777777" w:rsidR="009E215C" w:rsidRPr="004C5A7A" w:rsidRDefault="009E215C">
            <w:pPr>
              <w:pStyle w:val="08-Tabelageral"/>
              <w:ind w:left="113"/>
              <w:jc w:val="left"/>
              <w:rPr>
                <w:rFonts w:cs="Arial"/>
                <w:b w:val="0"/>
                <w:szCs w:val="14"/>
              </w:rPr>
            </w:pPr>
            <w:r w:rsidRPr="004C5A7A">
              <w:rPr>
                <w:rFonts w:cs="Arial"/>
                <w:b w:val="0"/>
                <w:szCs w:val="14"/>
              </w:rPr>
              <w:t xml:space="preserve">Cash </w:t>
            </w:r>
            <w:proofErr w:type="spellStart"/>
            <w:r w:rsidRPr="004C5A7A">
              <w:rPr>
                <w:rFonts w:cs="Arial"/>
                <w:b w:val="0"/>
                <w:szCs w:val="14"/>
              </w:rPr>
              <w:t>and</w:t>
            </w:r>
            <w:proofErr w:type="spellEnd"/>
            <w:r w:rsidRPr="004C5A7A">
              <w:rPr>
                <w:rFonts w:cs="Arial"/>
                <w:b w:val="0"/>
                <w:szCs w:val="14"/>
              </w:rPr>
              <w:t xml:space="preserve"> cash </w:t>
            </w:r>
            <w:proofErr w:type="spellStart"/>
            <w:r w:rsidRPr="004C5A7A">
              <w:rPr>
                <w:rFonts w:cs="Arial"/>
                <w:b w:val="0"/>
                <w:szCs w:val="14"/>
              </w:rPr>
              <w:t>equivalents</w:t>
            </w:r>
            <w:proofErr w:type="spellEnd"/>
          </w:p>
        </w:tc>
        <w:tc>
          <w:tcPr>
            <w:tcW w:w="1913" w:type="dxa"/>
            <w:tcBorders>
              <w:top w:val="nil"/>
              <w:left w:val="nil"/>
              <w:bottom w:val="nil"/>
              <w:right w:val="nil"/>
            </w:tcBorders>
            <w:shd w:val="clear" w:color="auto" w:fill="auto"/>
            <w:vAlign w:val="center"/>
          </w:tcPr>
          <w:p w14:paraId="2A4835F0"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4,253,180</w:t>
            </w:r>
          </w:p>
        </w:tc>
        <w:tc>
          <w:tcPr>
            <w:tcW w:w="1914" w:type="dxa"/>
            <w:tcBorders>
              <w:top w:val="nil"/>
              <w:left w:val="nil"/>
              <w:bottom w:val="nil"/>
              <w:right w:val="nil"/>
            </w:tcBorders>
            <w:shd w:val="clear" w:color="auto" w:fill="auto"/>
            <w:vAlign w:val="center"/>
          </w:tcPr>
          <w:p w14:paraId="2F49EFD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 xml:space="preserve">       3,321,812 </w:t>
            </w:r>
          </w:p>
        </w:tc>
      </w:tr>
      <w:tr w:rsidR="009E215C" w:rsidRPr="004C5A7A" w14:paraId="1BC69C3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F18413A" w14:textId="77777777" w:rsidR="009E215C" w:rsidRPr="004C5A7A" w:rsidRDefault="009E215C">
            <w:pPr>
              <w:pStyle w:val="08-Tabelageral"/>
              <w:ind w:left="113"/>
              <w:jc w:val="left"/>
              <w:rPr>
                <w:rFonts w:cs="Arial"/>
                <w:b w:val="0"/>
                <w:bCs w:val="0"/>
                <w:lang w:val="en-US"/>
              </w:rPr>
            </w:pPr>
            <w:r w:rsidRPr="004C5A7A">
              <w:rPr>
                <w:rFonts w:cs="Arial"/>
                <w:b w:val="0"/>
                <w:bCs w:val="0"/>
                <w:lang w:val="en-US"/>
              </w:rPr>
              <w:t>Financial Assets Measured at Amortized Cost</w:t>
            </w:r>
          </w:p>
        </w:tc>
        <w:tc>
          <w:tcPr>
            <w:tcW w:w="1913" w:type="dxa"/>
            <w:tcBorders>
              <w:top w:val="nil"/>
              <w:left w:val="nil"/>
              <w:bottom w:val="nil"/>
              <w:right w:val="nil"/>
            </w:tcBorders>
            <w:shd w:val="clear" w:color="auto" w:fill="auto"/>
            <w:vAlign w:val="center"/>
          </w:tcPr>
          <w:p w14:paraId="708B314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4C5A7A">
              <w:rPr>
                <w:rFonts w:cs="Arial"/>
                <w:color w:val="000000"/>
                <w:szCs w:val="14"/>
              </w:rPr>
              <w:t>719,101</w:t>
            </w:r>
          </w:p>
        </w:tc>
        <w:tc>
          <w:tcPr>
            <w:tcW w:w="1914" w:type="dxa"/>
            <w:tcBorders>
              <w:top w:val="nil"/>
              <w:left w:val="nil"/>
              <w:bottom w:val="nil"/>
              <w:right w:val="nil"/>
            </w:tcBorders>
            <w:shd w:val="clear" w:color="auto" w:fill="auto"/>
          </w:tcPr>
          <w:p w14:paraId="26EE3727"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4C5A7A">
              <w:rPr>
                <w:rFonts w:cs="Arial"/>
                <w:color w:val="000000"/>
                <w:szCs w:val="14"/>
              </w:rPr>
              <w:t>--</w:t>
            </w:r>
          </w:p>
        </w:tc>
      </w:tr>
      <w:tr w:rsidR="009E215C" w:rsidRPr="004C5A7A" w14:paraId="41A6E8A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D64145E" w14:textId="77777777" w:rsidR="009E215C" w:rsidRPr="004C5A7A" w:rsidRDefault="009E215C">
            <w:pPr>
              <w:pStyle w:val="08-Tabelageral"/>
              <w:ind w:left="113"/>
              <w:jc w:val="left"/>
              <w:rPr>
                <w:rFonts w:cs="Arial"/>
                <w:b w:val="0"/>
                <w:szCs w:val="14"/>
              </w:rPr>
            </w:pPr>
            <w:proofErr w:type="spellStart"/>
            <w:r w:rsidRPr="004C5A7A">
              <w:rPr>
                <w:rFonts w:cs="Arial"/>
                <w:b w:val="0"/>
              </w:rPr>
              <w:t>Commissions</w:t>
            </w:r>
            <w:proofErr w:type="spellEnd"/>
            <w:r w:rsidRPr="004C5A7A">
              <w:rPr>
                <w:rFonts w:cs="Arial"/>
                <w:b w:val="0"/>
              </w:rPr>
              <w:t xml:space="preserve"> </w:t>
            </w:r>
            <w:proofErr w:type="spellStart"/>
            <w:r w:rsidRPr="004C5A7A">
              <w:rPr>
                <w:rFonts w:cs="Arial"/>
                <w:b w:val="0"/>
              </w:rPr>
              <w:t>receivable</w:t>
            </w:r>
            <w:proofErr w:type="spellEnd"/>
          </w:p>
        </w:tc>
        <w:tc>
          <w:tcPr>
            <w:tcW w:w="1913" w:type="dxa"/>
            <w:tcBorders>
              <w:top w:val="nil"/>
              <w:left w:val="nil"/>
              <w:bottom w:val="nil"/>
              <w:right w:val="nil"/>
            </w:tcBorders>
            <w:shd w:val="clear" w:color="auto" w:fill="auto"/>
            <w:vAlign w:val="center"/>
          </w:tcPr>
          <w:p w14:paraId="736E35E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4C5A7A">
              <w:rPr>
                <w:rFonts w:cs="Arial"/>
                <w:color w:val="000000"/>
                <w:szCs w:val="14"/>
              </w:rPr>
              <w:t>1,287,117</w:t>
            </w:r>
          </w:p>
        </w:tc>
        <w:tc>
          <w:tcPr>
            <w:tcW w:w="1914" w:type="dxa"/>
            <w:tcBorders>
              <w:top w:val="nil"/>
              <w:left w:val="nil"/>
              <w:bottom w:val="nil"/>
              <w:right w:val="nil"/>
            </w:tcBorders>
            <w:shd w:val="clear" w:color="auto" w:fill="auto"/>
          </w:tcPr>
          <w:p w14:paraId="6617FF3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rPr>
              <w:t>1,128,077</w:t>
            </w:r>
          </w:p>
        </w:tc>
      </w:tr>
      <w:tr w:rsidR="009E215C" w:rsidRPr="004C5A7A" w14:paraId="1A602FF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B390CD0" w14:textId="77777777" w:rsidR="009E215C" w:rsidRPr="004C5A7A" w:rsidRDefault="009E215C">
            <w:pPr>
              <w:pStyle w:val="08-Tabelageral"/>
              <w:ind w:left="113"/>
              <w:jc w:val="left"/>
              <w:rPr>
                <w:rFonts w:cs="Arial"/>
                <w:b w:val="0"/>
                <w:szCs w:val="14"/>
              </w:rPr>
            </w:pPr>
            <w:r w:rsidRPr="004C5A7A">
              <w:rPr>
                <w:rFonts w:cs="Arial"/>
                <w:b w:val="0"/>
                <w:szCs w:val="14"/>
              </w:rPr>
              <w:t xml:space="preserve">Other </w:t>
            </w:r>
            <w:proofErr w:type="spellStart"/>
            <w:r w:rsidRPr="004C5A7A">
              <w:rPr>
                <w:rFonts w:cs="Arial"/>
                <w:b w:val="0"/>
                <w:szCs w:val="14"/>
              </w:rPr>
              <w:t>assets</w:t>
            </w:r>
            <w:proofErr w:type="spellEnd"/>
          </w:p>
        </w:tc>
        <w:tc>
          <w:tcPr>
            <w:tcW w:w="1913" w:type="dxa"/>
            <w:tcBorders>
              <w:top w:val="nil"/>
              <w:left w:val="nil"/>
              <w:bottom w:val="nil"/>
              <w:right w:val="nil"/>
            </w:tcBorders>
            <w:shd w:val="clear" w:color="auto" w:fill="auto"/>
            <w:vAlign w:val="center"/>
          </w:tcPr>
          <w:p w14:paraId="16AD6AD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3,119</w:t>
            </w:r>
          </w:p>
        </w:tc>
        <w:tc>
          <w:tcPr>
            <w:tcW w:w="1914" w:type="dxa"/>
            <w:tcBorders>
              <w:top w:val="nil"/>
              <w:left w:val="nil"/>
              <w:bottom w:val="nil"/>
              <w:right w:val="nil"/>
            </w:tcBorders>
            <w:shd w:val="clear" w:color="auto" w:fill="auto"/>
          </w:tcPr>
          <w:p w14:paraId="15E8ADCC"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rPr>
              <w:t>6,797</w:t>
            </w:r>
          </w:p>
        </w:tc>
      </w:tr>
      <w:tr w:rsidR="009E215C" w:rsidRPr="004C5A7A" w14:paraId="04A1AEA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71D1428" w14:textId="77777777" w:rsidR="009E215C" w:rsidRPr="004C5A7A" w:rsidRDefault="009E215C">
            <w:pPr>
              <w:pStyle w:val="08-Tabelageral"/>
              <w:jc w:val="left"/>
              <w:rPr>
                <w:rFonts w:cs="Arial"/>
                <w:szCs w:val="14"/>
              </w:rPr>
            </w:pPr>
            <w:r w:rsidRPr="004C5A7A">
              <w:rPr>
                <w:rFonts w:cs="Arial"/>
                <w:szCs w:val="14"/>
              </w:rPr>
              <w:t>Non-</w:t>
            </w:r>
            <w:proofErr w:type="spellStart"/>
            <w:r w:rsidRPr="004C5A7A">
              <w:rPr>
                <w:rFonts w:cs="Arial"/>
                <w:szCs w:val="14"/>
              </w:rPr>
              <w:t>Current</w:t>
            </w:r>
            <w:proofErr w:type="spellEnd"/>
            <w:r w:rsidRPr="004C5A7A">
              <w:rPr>
                <w:rFonts w:cs="Arial"/>
                <w:szCs w:val="14"/>
              </w:rPr>
              <w:t xml:space="preserve"> </w:t>
            </w:r>
            <w:proofErr w:type="spellStart"/>
            <w:r w:rsidRPr="004C5A7A">
              <w:rPr>
                <w:rFonts w:cs="Arial"/>
                <w:szCs w:val="14"/>
              </w:rPr>
              <w:t>Assets</w:t>
            </w:r>
            <w:proofErr w:type="spellEnd"/>
          </w:p>
        </w:tc>
        <w:tc>
          <w:tcPr>
            <w:tcW w:w="1913" w:type="dxa"/>
            <w:tcBorders>
              <w:top w:val="nil"/>
              <w:left w:val="nil"/>
              <w:bottom w:val="nil"/>
              <w:right w:val="nil"/>
            </w:tcBorders>
            <w:shd w:val="clear" w:color="auto" w:fill="auto"/>
            <w:vAlign w:val="center"/>
          </w:tcPr>
          <w:p w14:paraId="319B454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color w:val="000000"/>
                <w:szCs w:val="14"/>
              </w:rPr>
              <w:t>2,721,173</w:t>
            </w:r>
          </w:p>
        </w:tc>
        <w:tc>
          <w:tcPr>
            <w:tcW w:w="1914" w:type="dxa"/>
            <w:tcBorders>
              <w:top w:val="nil"/>
              <w:bottom w:val="nil"/>
            </w:tcBorders>
            <w:shd w:val="clear" w:color="auto" w:fill="auto"/>
            <w:vAlign w:val="center"/>
          </w:tcPr>
          <w:p w14:paraId="2CBDB3A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C5A7A">
              <w:rPr>
                <w:rFonts w:cs="Arial"/>
                <w:b/>
                <w:szCs w:val="14"/>
              </w:rPr>
              <w:t>2,887,911</w:t>
            </w:r>
          </w:p>
        </w:tc>
      </w:tr>
      <w:tr w:rsidR="009E215C" w:rsidRPr="004C5A7A" w14:paraId="470914C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9B57A0E" w14:textId="77777777" w:rsidR="009E215C" w:rsidRPr="004C5A7A" w:rsidRDefault="009E215C">
            <w:pPr>
              <w:pStyle w:val="08-Tabelageral"/>
              <w:ind w:left="113"/>
              <w:jc w:val="left"/>
              <w:rPr>
                <w:rFonts w:cs="Arial"/>
                <w:b w:val="0"/>
                <w:bCs w:val="0"/>
                <w:lang w:val="en-US"/>
              </w:rPr>
            </w:pPr>
            <w:r w:rsidRPr="004C5A7A">
              <w:rPr>
                <w:rFonts w:cs="Arial"/>
                <w:b w:val="0"/>
                <w:bCs w:val="0"/>
                <w:lang w:val="en-US"/>
              </w:rPr>
              <w:t>Financial assets at fair value through profit or loss</w:t>
            </w:r>
          </w:p>
        </w:tc>
        <w:tc>
          <w:tcPr>
            <w:tcW w:w="1913" w:type="dxa"/>
            <w:tcBorders>
              <w:top w:val="nil"/>
              <w:left w:val="nil"/>
              <w:bottom w:val="nil"/>
              <w:right w:val="nil"/>
            </w:tcBorders>
            <w:shd w:val="clear" w:color="auto" w:fill="auto"/>
            <w:vAlign w:val="center"/>
          </w:tcPr>
          <w:p w14:paraId="521858E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w:t>
            </w:r>
          </w:p>
        </w:tc>
        <w:tc>
          <w:tcPr>
            <w:tcW w:w="1914" w:type="dxa"/>
            <w:tcBorders>
              <w:top w:val="nil"/>
              <w:bottom w:val="nil"/>
            </w:tcBorders>
            <w:shd w:val="clear" w:color="auto" w:fill="auto"/>
            <w:vAlign w:val="center"/>
          </w:tcPr>
          <w:p w14:paraId="0B18873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rPr>
              <w:t>1,586,371</w:t>
            </w:r>
          </w:p>
        </w:tc>
      </w:tr>
      <w:tr w:rsidR="009E215C" w:rsidRPr="004C5A7A" w14:paraId="71F7BCA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26E625E" w14:textId="77777777" w:rsidR="009E215C" w:rsidRPr="004C5A7A" w:rsidRDefault="009E215C">
            <w:pPr>
              <w:pStyle w:val="08-Tabelageral"/>
              <w:ind w:left="113"/>
              <w:jc w:val="left"/>
              <w:rPr>
                <w:rFonts w:cs="Arial"/>
                <w:b w:val="0"/>
                <w:bCs w:val="0"/>
                <w:lang w:val="en-US"/>
              </w:rPr>
            </w:pPr>
            <w:r w:rsidRPr="004C5A7A">
              <w:rPr>
                <w:rFonts w:cs="Arial"/>
                <w:b w:val="0"/>
                <w:bCs w:val="0"/>
                <w:lang w:val="en-US"/>
              </w:rPr>
              <w:t>Financial Assets Measured at Amortized Cost</w:t>
            </w:r>
          </w:p>
        </w:tc>
        <w:tc>
          <w:tcPr>
            <w:tcW w:w="1913" w:type="dxa"/>
            <w:tcBorders>
              <w:top w:val="nil"/>
              <w:left w:val="nil"/>
              <w:bottom w:val="nil"/>
              <w:right w:val="nil"/>
            </w:tcBorders>
            <w:shd w:val="clear" w:color="auto" w:fill="auto"/>
            <w:vAlign w:val="center"/>
          </w:tcPr>
          <w:p w14:paraId="1FC08EB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sidRPr="004C5A7A">
              <w:rPr>
                <w:rFonts w:cs="Arial"/>
                <w:color w:val="000000"/>
                <w:szCs w:val="14"/>
              </w:rPr>
              <w:t>1,039,910</w:t>
            </w:r>
          </w:p>
        </w:tc>
        <w:tc>
          <w:tcPr>
            <w:tcW w:w="1914" w:type="dxa"/>
            <w:tcBorders>
              <w:top w:val="nil"/>
              <w:left w:val="nil"/>
              <w:bottom w:val="nil"/>
              <w:right w:val="nil"/>
            </w:tcBorders>
            <w:shd w:val="clear" w:color="auto" w:fill="auto"/>
            <w:vAlign w:val="center"/>
          </w:tcPr>
          <w:p w14:paraId="392F986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p>
        </w:tc>
      </w:tr>
      <w:tr w:rsidR="009E215C" w:rsidRPr="004C5A7A" w14:paraId="3A90C59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80C5251" w14:textId="77777777" w:rsidR="009E215C" w:rsidRPr="004C5A7A" w:rsidRDefault="009E215C">
            <w:pPr>
              <w:pStyle w:val="08-Tabelageral"/>
              <w:ind w:left="113"/>
              <w:jc w:val="left"/>
              <w:rPr>
                <w:rFonts w:cs="Arial"/>
                <w:b w:val="0"/>
                <w:bCs w:val="0"/>
                <w:szCs w:val="14"/>
              </w:rPr>
            </w:pPr>
            <w:proofErr w:type="spellStart"/>
            <w:r w:rsidRPr="004C5A7A">
              <w:rPr>
                <w:rFonts w:cs="Arial"/>
                <w:b w:val="0"/>
                <w:bCs w:val="0"/>
              </w:rPr>
              <w:t>Current</w:t>
            </w:r>
            <w:proofErr w:type="spellEnd"/>
            <w:r w:rsidRPr="004C5A7A">
              <w:rPr>
                <w:rFonts w:cs="Arial"/>
                <w:b w:val="0"/>
                <w:bCs w:val="0"/>
              </w:rPr>
              <w:t xml:space="preserve"> </w:t>
            </w:r>
            <w:proofErr w:type="spellStart"/>
            <w:r w:rsidRPr="004C5A7A">
              <w:rPr>
                <w:rFonts w:cs="Arial"/>
                <w:b w:val="0"/>
                <w:bCs w:val="0"/>
              </w:rPr>
              <w:t>tax</w:t>
            </w:r>
            <w:proofErr w:type="spellEnd"/>
            <w:r w:rsidRPr="004C5A7A">
              <w:rPr>
                <w:rFonts w:cs="Arial"/>
                <w:b w:val="0"/>
                <w:bCs w:val="0"/>
              </w:rPr>
              <w:t xml:space="preserve"> </w:t>
            </w:r>
            <w:proofErr w:type="spellStart"/>
            <w:r w:rsidRPr="004C5A7A">
              <w:rPr>
                <w:rFonts w:cs="Arial"/>
                <w:b w:val="0"/>
                <w:bCs w:val="0"/>
              </w:rPr>
              <w:t>assets</w:t>
            </w:r>
            <w:proofErr w:type="spellEnd"/>
          </w:p>
        </w:tc>
        <w:tc>
          <w:tcPr>
            <w:tcW w:w="1913" w:type="dxa"/>
            <w:tcBorders>
              <w:top w:val="nil"/>
              <w:left w:val="nil"/>
              <w:bottom w:val="nil"/>
              <w:right w:val="nil"/>
            </w:tcBorders>
            <w:shd w:val="clear" w:color="auto" w:fill="auto"/>
            <w:vAlign w:val="center"/>
          </w:tcPr>
          <w:p w14:paraId="1BBEC19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5,800</w:t>
            </w:r>
          </w:p>
        </w:tc>
        <w:tc>
          <w:tcPr>
            <w:tcW w:w="1914" w:type="dxa"/>
            <w:tcBorders>
              <w:top w:val="nil"/>
              <w:left w:val="nil"/>
              <w:bottom w:val="nil"/>
              <w:right w:val="nil"/>
            </w:tcBorders>
            <w:shd w:val="clear" w:color="auto" w:fill="auto"/>
            <w:vAlign w:val="center"/>
          </w:tcPr>
          <w:p w14:paraId="0014D73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rPr>
              <w:t>5,800</w:t>
            </w:r>
          </w:p>
        </w:tc>
      </w:tr>
      <w:tr w:rsidR="009E215C" w:rsidRPr="004C5A7A" w14:paraId="7595FA3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EF87085" w14:textId="77777777" w:rsidR="009E215C" w:rsidRPr="004C5A7A" w:rsidRDefault="009E215C">
            <w:pPr>
              <w:pStyle w:val="08-Tabelageral"/>
              <w:ind w:left="113"/>
              <w:jc w:val="left"/>
              <w:rPr>
                <w:rFonts w:cs="Arial"/>
                <w:b w:val="0"/>
                <w:szCs w:val="14"/>
              </w:rPr>
            </w:pPr>
            <w:proofErr w:type="spellStart"/>
            <w:r w:rsidRPr="004C5A7A">
              <w:rPr>
                <w:rFonts w:cs="Arial"/>
                <w:b w:val="0"/>
                <w:szCs w:val="14"/>
              </w:rPr>
              <w:t>Deferred</w:t>
            </w:r>
            <w:proofErr w:type="spellEnd"/>
            <w:r w:rsidRPr="004C5A7A">
              <w:rPr>
                <w:rFonts w:cs="Arial"/>
                <w:b w:val="0"/>
                <w:szCs w:val="14"/>
              </w:rPr>
              <w:t xml:space="preserve"> </w:t>
            </w:r>
            <w:proofErr w:type="spellStart"/>
            <w:r w:rsidRPr="004C5A7A">
              <w:rPr>
                <w:rFonts w:cs="Arial"/>
                <w:b w:val="0"/>
                <w:szCs w:val="14"/>
              </w:rPr>
              <w:t>tax</w:t>
            </w:r>
            <w:proofErr w:type="spellEnd"/>
            <w:r w:rsidRPr="004C5A7A">
              <w:rPr>
                <w:rFonts w:cs="Arial"/>
                <w:b w:val="0"/>
                <w:szCs w:val="14"/>
              </w:rPr>
              <w:t xml:space="preserve"> </w:t>
            </w:r>
            <w:proofErr w:type="spellStart"/>
            <w:r w:rsidRPr="004C5A7A">
              <w:rPr>
                <w:rFonts w:cs="Arial"/>
                <w:b w:val="0"/>
                <w:szCs w:val="14"/>
              </w:rPr>
              <w:t>assets</w:t>
            </w:r>
            <w:proofErr w:type="spellEnd"/>
          </w:p>
        </w:tc>
        <w:tc>
          <w:tcPr>
            <w:tcW w:w="1913" w:type="dxa"/>
            <w:tcBorders>
              <w:top w:val="nil"/>
              <w:left w:val="nil"/>
              <w:bottom w:val="nil"/>
              <w:right w:val="nil"/>
            </w:tcBorders>
            <w:shd w:val="clear" w:color="auto" w:fill="auto"/>
            <w:vAlign w:val="center"/>
          </w:tcPr>
          <w:p w14:paraId="7C0176CE"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24,965</w:t>
            </w:r>
          </w:p>
        </w:tc>
        <w:tc>
          <w:tcPr>
            <w:tcW w:w="1914" w:type="dxa"/>
            <w:tcBorders>
              <w:top w:val="nil"/>
              <w:left w:val="nil"/>
              <w:bottom w:val="nil"/>
              <w:right w:val="nil"/>
            </w:tcBorders>
            <w:shd w:val="clear" w:color="auto" w:fill="auto"/>
            <w:vAlign w:val="center"/>
          </w:tcPr>
          <w:p w14:paraId="5F37AA8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szCs w:val="14"/>
              </w:rPr>
              <w:t>9,659</w:t>
            </w:r>
          </w:p>
        </w:tc>
      </w:tr>
      <w:tr w:rsidR="009E215C" w:rsidRPr="004C5A7A" w14:paraId="7B77952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5AE30BC" w14:textId="77777777" w:rsidR="009E215C" w:rsidRPr="004C5A7A" w:rsidRDefault="009E215C">
            <w:pPr>
              <w:pStyle w:val="08-Tabelageral"/>
              <w:ind w:left="113"/>
              <w:jc w:val="left"/>
              <w:rPr>
                <w:rFonts w:cs="Arial"/>
                <w:b w:val="0"/>
                <w:szCs w:val="14"/>
              </w:rPr>
            </w:pPr>
            <w:proofErr w:type="spellStart"/>
            <w:r w:rsidRPr="004C5A7A">
              <w:rPr>
                <w:rFonts w:cs="Arial"/>
                <w:b w:val="0"/>
                <w:szCs w:val="14"/>
              </w:rPr>
              <w:t>Commissions</w:t>
            </w:r>
            <w:proofErr w:type="spellEnd"/>
            <w:r w:rsidRPr="004C5A7A">
              <w:rPr>
                <w:rFonts w:cs="Arial"/>
                <w:b w:val="0"/>
                <w:szCs w:val="14"/>
              </w:rPr>
              <w:t xml:space="preserve"> </w:t>
            </w:r>
            <w:proofErr w:type="spellStart"/>
            <w:r w:rsidRPr="004C5A7A">
              <w:rPr>
                <w:rFonts w:cs="Arial"/>
                <w:b w:val="0"/>
                <w:szCs w:val="14"/>
              </w:rPr>
              <w:t>receivable</w:t>
            </w:r>
            <w:proofErr w:type="spellEnd"/>
          </w:p>
        </w:tc>
        <w:tc>
          <w:tcPr>
            <w:tcW w:w="1913" w:type="dxa"/>
            <w:tcBorders>
              <w:top w:val="nil"/>
              <w:left w:val="nil"/>
              <w:bottom w:val="nil"/>
              <w:right w:val="nil"/>
            </w:tcBorders>
            <w:shd w:val="clear" w:color="auto" w:fill="auto"/>
            <w:vAlign w:val="center"/>
          </w:tcPr>
          <w:p w14:paraId="56905ADC"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1,387,299</w:t>
            </w:r>
          </w:p>
        </w:tc>
        <w:tc>
          <w:tcPr>
            <w:tcW w:w="1914" w:type="dxa"/>
            <w:tcBorders>
              <w:top w:val="nil"/>
              <w:left w:val="nil"/>
              <w:bottom w:val="nil"/>
              <w:right w:val="nil"/>
            </w:tcBorders>
            <w:shd w:val="clear" w:color="auto" w:fill="auto"/>
            <w:vAlign w:val="center"/>
          </w:tcPr>
          <w:p w14:paraId="7AFA9D7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C5A7A">
              <w:rPr>
                <w:rFonts w:cs="Arial"/>
                <w:szCs w:val="14"/>
              </w:rPr>
              <w:t>1,046,897</w:t>
            </w:r>
          </w:p>
        </w:tc>
      </w:tr>
      <w:tr w:rsidR="009E215C" w:rsidRPr="004C5A7A" w14:paraId="342B838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5A1D88D" w14:textId="77777777" w:rsidR="009E215C" w:rsidRPr="004C5A7A" w:rsidRDefault="009E215C">
            <w:pPr>
              <w:pStyle w:val="08-Tabelageral"/>
              <w:ind w:left="113"/>
              <w:jc w:val="left"/>
              <w:rPr>
                <w:rFonts w:cs="Arial"/>
                <w:b w:val="0"/>
                <w:szCs w:val="14"/>
              </w:rPr>
            </w:pPr>
            <w:r w:rsidRPr="004C5A7A">
              <w:rPr>
                <w:rFonts w:cs="Arial"/>
                <w:b w:val="0"/>
                <w:szCs w:val="14"/>
              </w:rPr>
              <w:t xml:space="preserve">Investments in </w:t>
            </w:r>
            <w:proofErr w:type="spellStart"/>
            <w:r w:rsidRPr="004C5A7A">
              <w:rPr>
                <w:rFonts w:cs="Arial"/>
                <w:b w:val="0"/>
                <w:szCs w:val="14"/>
              </w:rPr>
              <w:t>associates</w:t>
            </w:r>
            <w:proofErr w:type="spellEnd"/>
          </w:p>
        </w:tc>
        <w:tc>
          <w:tcPr>
            <w:tcW w:w="1913" w:type="dxa"/>
            <w:tcBorders>
              <w:top w:val="nil"/>
              <w:left w:val="nil"/>
              <w:bottom w:val="nil"/>
              <w:right w:val="nil"/>
            </w:tcBorders>
            <w:shd w:val="clear" w:color="auto" w:fill="auto"/>
            <w:vAlign w:val="center"/>
          </w:tcPr>
          <w:p w14:paraId="1CFD7BE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12,041</w:t>
            </w:r>
          </w:p>
        </w:tc>
        <w:tc>
          <w:tcPr>
            <w:tcW w:w="1914" w:type="dxa"/>
            <w:tcBorders>
              <w:top w:val="nil"/>
              <w:left w:val="nil"/>
              <w:bottom w:val="nil"/>
              <w:right w:val="nil"/>
            </w:tcBorders>
            <w:shd w:val="clear" w:color="auto" w:fill="auto"/>
            <w:vAlign w:val="center"/>
          </w:tcPr>
          <w:p w14:paraId="43872F39"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szCs w:val="14"/>
              </w:rPr>
              <w:t>4,358</w:t>
            </w:r>
          </w:p>
        </w:tc>
      </w:tr>
      <w:tr w:rsidR="009E215C" w:rsidRPr="004C5A7A" w14:paraId="30F0D70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461F2D8" w14:textId="77777777" w:rsidR="009E215C" w:rsidRPr="004C5A7A" w:rsidRDefault="009E215C">
            <w:pPr>
              <w:pStyle w:val="08-Tabelageral"/>
              <w:ind w:left="113"/>
              <w:jc w:val="left"/>
              <w:rPr>
                <w:rFonts w:cs="Arial"/>
                <w:b w:val="0"/>
                <w:szCs w:val="14"/>
              </w:rPr>
            </w:pPr>
            <w:r w:rsidRPr="004C5A7A">
              <w:rPr>
                <w:rFonts w:cs="Arial"/>
                <w:b w:val="0"/>
                <w:szCs w:val="14"/>
              </w:rPr>
              <w:t xml:space="preserve">Other </w:t>
            </w:r>
            <w:proofErr w:type="spellStart"/>
            <w:r w:rsidRPr="004C5A7A">
              <w:rPr>
                <w:rFonts w:cs="Arial"/>
                <w:b w:val="0"/>
                <w:szCs w:val="14"/>
              </w:rPr>
              <w:t>assets</w:t>
            </w:r>
            <w:proofErr w:type="spellEnd"/>
          </w:p>
        </w:tc>
        <w:tc>
          <w:tcPr>
            <w:tcW w:w="1913" w:type="dxa"/>
            <w:tcBorders>
              <w:top w:val="nil"/>
              <w:bottom w:val="nil"/>
            </w:tcBorders>
            <w:shd w:val="clear" w:color="auto" w:fill="auto"/>
            <w:vAlign w:val="center"/>
          </w:tcPr>
          <w:p w14:paraId="3CADF44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251,158</w:t>
            </w:r>
          </w:p>
        </w:tc>
        <w:tc>
          <w:tcPr>
            <w:tcW w:w="1914" w:type="dxa"/>
            <w:tcBorders>
              <w:top w:val="nil"/>
              <w:bottom w:val="nil"/>
            </w:tcBorders>
            <w:shd w:val="clear" w:color="auto" w:fill="auto"/>
            <w:vAlign w:val="center"/>
          </w:tcPr>
          <w:p w14:paraId="788211C6"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szCs w:val="14"/>
              </w:rPr>
              <w:t>234,826</w:t>
            </w:r>
          </w:p>
        </w:tc>
      </w:tr>
      <w:tr w:rsidR="009E215C" w:rsidRPr="004C5A7A" w14:paraId="2B47035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27642B9" w14:textId="77777777" w:rsidR="009E215C" w:rsidRPr="004C5A7A" w:rsidRDefault="009E215C">
            <w:pPr>
              <w:pStyle w:val="08-Tabelageral"/>
              <w:jc w:val="left"/>
              <w:rPr>
                <w:rFonts w:cs="Arial"/>
                <w:szCs w:val="14"/>
              </w:rPr>
            </w:pPr>
            <w:r w:rsidRPr="004C5A7A">
              <w:rPr>
                <w:rFonts w:cs="Arial"/>
                <w:szCs w:val="14"/>
              </w:rPr>
              <w:t xml:space="preserve">Total </w:t>
            </w:r>
            <w:proofErr w:type="spellStart"/>
            <w:r w:rsidRPr="004C5A7A">
              <w:rPr>
                <w:rFonts w:cs="Arial"/>
                <w:szCs w:val="14"/>
              </w:rPr>
              <w:t>Assets</w:t>
            </w:r>
            <w:proofErr w:type="spellEnd"/>
          </w:p>
        </w:tc>
        <w:tc>
          <w:tcPr>
            <w:tcW w:w="1913" w:type="dxa"/>
            <w:tcBorders>
              <w:top w:val="nil"/>
              <w:bottom w:val="nil"/>
            </w:tcBorders>
            <w:shd w:val="clear" w:color="auto" w:fill="auto"/>
            <w:vAlign w:val="center"/>
          </w:tcPr>
          <w:p w14:paraId="2DEA6D81"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color w:val="000000"/>
                <w:szCs w:val="14"/>
              </w:rPr>
              <w:t>8,983,690</w:t>
            </w:r>
          </w:p>
        </w:tc>
        <w:tc>
          <w:tcPr>
            <w:tcW w:w="1914" w:type="dxa"/>
            <w:tcBorders>
              <w:top w:val="nil"/>
              <w:bottom w:val="nil"/>
            </w:tcBorders>
            <w:shd w:val="clear" w:color="auto" w:fill="auto"/>
            <w:vAlign w:val="center"/>
          </w:tcPr>
          <w:p w14:paraId="1577AD7B"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C5A7A">
              <w:rPr>
                <w:rFonts w:cs="Arial"/>
                <w:b/>
                <w:bCs/>
                <w:color w:val="000000"/>
                <w:szCs w:val="14"/>
              </w:rPr>
              <w:t>7,344,597</w:t>
            </w:r>
          </w:p>
        </w:tc>
      </w:tr>
      <w:tr w:rsidR="009E215C" w:rsidRPr="004C5A7A" w14:paraId="28708D6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E577778" w14:textId="77777777" w:rsidR="009E215C" w:rsidRPr="004C5A7A" w:rsidRDefault="009E215C">
            <w:pPr>
              <w:pStyle w:val="08-Tabelageral"/>
              <w:jc w:val="left"/>
              <w:rPr>
                <w:rFonts w:cs="Arial"/>
                <w:b w:val="0"/>
                <w:color w:val="FF0000"/>
                <w:szCs w:val="14"/>
              </w:rPr>
            </w:pPr>
          </w:p>
        </w:tc>
        <w:tc>
          <w:tcPr>
            <w:tcW w:w="1913" w:type="dxa"/>
            <w:tcBorders>
              <w:top w:val="nil"/>
              <w:bottom w:val="nil"/>
            </w:tcBorders>
            <w:shd w:val="clear" w:color="auto" w:fill="auto"/>
            <w:vAlign w:val="center"/>
          </w:tcPr>
          <w:p w14:paraId="5C8F1B2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79115180"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E215C" w:rsidRPr="004C5A7A" w14:paraId="316834A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0ED12C5" w14:textId="77777777" w:rsidR="009E215C" w:rsidRPr="004C5A7A" w:rsidRDefault="009E215C">
            <w:pPr>
              <w:pStyle w:val="08-Tabelageral"/>
              <w:jc w:val="left"/>
              <w:rPr>
                <w:rFonts w:cs="Arial"/>
              </w:rPr>
            </w:pPr>
            <w:proofErr w:type="spellStart"/>
            <w:r w:rsidRPr="004C5A7A">
              <w:rPr>
                <w:rFonts w:cs="Arial"/>
              </w:rPr>
              <w:t>Current</w:t>
            </w:r>
            <w:proofErr w:type="spellEnd"/>
            <w:r w:rsidRPr="004C5A7A">
              <w:rPr>
                <w:rFonts w:cs="Arial"/>
              </w:rPr>
              <w:t xml:space="preserve"> </w:t>
            </w:r>
            <w:proofErr w:type="spellStart"/>
            <w:r w:rsidRPr="004C5A7A">
              <w:rPr>
                <w:rFonts w:cs="Arial"/>
              </w:rPr>
              <w:t>Liabilities</w:t>
            </w:r>
            <w:proofErr w:type="spellEnd"/>
          </w:p>
        </w:tc>
        <w:tc>
          <w:tcPr>
            <w:tcW w:w="1913" w:type="dxa"/>
            <w:tcBorders>
              <w:top w:val="nil"/>
              <w:left w:val="nil"/>
              <w:bottom w:val="nil"/>
              <w:right w:val="nil"/>
            </w:tcBorders>
            <w:shd w:val="clear" w:color="auto" w:fill="auto"/>
            <w:vAlign w:val="center"/>
          </w:tcPr>
          <w:p w14:paraId="21F5B01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color w:val="000000"/>
                <w:szCs w:val="14"/>
              </w:rPr>
              <w:t>5,564,989</w:t>
            </w:r>
          </w:p>
        </w:tc>
        <w:tc>
          <w:tcPr>
            <w:tcW w:w="1914" w:type="dxa"/>
            <w:tcBorders>
              <w:top w:val="nil"/>
              <w:left w:val="nil"/>
              <w:bottom w:val="nil"/>
              <w:right w:val="nil"/>
            </w:tcBorders>
            <w:shd w:val="clear" w:color="auto" w:fill="auto"/>
            <w:vAlign w:val="center"/>
          </w:tcPr>
          <w:p w14:paraId="69710F63"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C5A7A">
              <w:rPr>
                <w:rFonts w:cs="Arial"/>
                <w:b/>
                <w:bCs/>
                <w:color w:val="000000"/>
                <w:szCs w:val="14"/>
              </w:rPr>
              <w:t>4,589,865</w:t>
            </w:r>
          </w:p>
        </w:tc>
      </w:tr>
      <w:tr w:rsidR="009E215C" w:rsidRPr="004C5A7A" w14:paraId="584C184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5B99BA1" w14:textId="77777777" w:rsidR="009E215C" w:rsidRPr="004C5A7A" w:rsidRDefault="009E215C">
            <w:pPr>
              <w:pStyle w:val="08-Tabelageral"/>
              <w:ind w:left="113"/>
              <w:jc w:val="left"/>
              <w:rPr>
                <w:rFonts w:cs="Arial"/>
                <w:b w:val="0"/>
              </w:rPr>
            </w:pPr>
            <w:proofErr w:type="spellStart"/>
            <w:r w:rsidRPr="004C5A7A">
              <w:rPr>
                <w:rFonts w:cs="Arial"/>
                <w:b w:val="0"/>
              </w:rPr>
              <w:t>Statutory</w:t>
            </w:r>
            <w:proofErr w:type="spellEnd"/>
            <w:r w:rsidRPr="004C5A7A">
              <w:rPr>
                <w:rFonts w:cs="Arial"/>
                <w:b w:val="0"/>
              </w:rPr>
              <w:t xml:space="preserve"> </w:t>
            </w:r>
            <w:proofErr w:type="spellStart"/>
            <w:r w:rsidRPr="004C5A7A">
              <w:rPr>
                <w:rFonts w:cs="Arial"/>
                <w:b w:val="0"/>
              </w:rPr>
              <w:t>obligation</w:t>
            </w:r>
            <w:proofErr w:type="spellEnd"/>
          </w:p>
        </w:tc>
        <w:tc>
          <w:tcPr>
            <w:tcW w:w="1913" w:type="dxa"/>
            <w:tcBorders>
              <w:top w:val="nil"/>
              <w:left w:val="nil"/>
              <w:bottom w:val="nil"/>
              <w:right w:val="nil"/>
            </w:tcBorders>
            <w:shd w:val="clear" w:color="auto" w:fill="auto"/>
            <w:vAlign w:val="center"/>
          </w:tcPr>
          <w:p w14:paraId="3C942D9B"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1,720,403</w:t>
            </w:r>
          </w:p>
        </w:tc>
        <w:tc>
          <w:tcPr>
            <w:tcW w:w="1914" w:type="dxa"/>
            <w:tcBorders>
              <w:top w:val="nil"/>
              <w:left w:val="nil"/>
              <w:bottom w:val="nil"/>
              <w:right w:val="nil"/>
            </w:tcBorders>
            <w:shd w:val="clear" w:color="auto" w:fill="auto"/>
            <w:vAlign w:val="center"/>
          </w:tcPr>
          <w:p w14:paraId="1BA65D0A"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1,573,893</w:t>
            </w:r>
          </w:p>
        </w:tc>
      </w:tr>
      <w:tr w:rsidR="009E215C" w:rsidRPr="004C5A7A" w14:paraId="368B982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A4C5F37" w14:textId="77777777" w:rsidR="009E215C" w:rsidRPr="004C5A7A" w:rsidRDefault="009E215C">
            <w:pPr>
              <w:pStyle w:val="08-Tabelageral"/>
              <w:ind w:left="113"/>
              <w:jc w:val="left"/>
              <w:rPr>
                <w:rFonts w:cs="Arial"/>
                <w:b w:val="0"/>
              </w:rPr>
            </w:pPr>
            <w:proofErr w:type="spellStart"/>
            <w:r w:rsidRPr="004C5A7A">
              <w:rPr>
                <w:rFonts w:cs="Arial"/>
                <w:b w:val="0"/>
              </w:rPr>
              <w:t>Contingent</w:t>
            </w:r>
            <w:proofErr w:type="spellEnd"/>
            <w:r w:rsidRPr="004C5A7A">
              <w:rPr>
                <w:rFonts w:cs="Arial"/>
                <w:b w:val="0"/>
              </w:rPr>
              <w:t xml:space="preserve"> </w:t>
            </w:r>
            <w:proofErr w:type="spellStart"/>
            <w:r w:rsidRPr="004C5A7A">
              <w:rPr>
                <w:rFonts w:cs="Arial"/>
                <w:b w:val="0"/>
              </w:rPr>
              <w:t>liabilities</w:t>
            </w:r>
            <w:proofErr w:type="spellEnd"/>
          </w:p>
        </w:tc>
        <w:tc>
          <w:tcPr>
            <w:tcW w:w="1913" w:type="dxa"/>
            <w:tcBorders>
              <w:top w:val="nil"/>
              <w:left w:val="nil"/>
              <w:bottom w:val="nil"/>
              <w:right w:val="nil"/>
            </w:tcBorders>
            <w:shd w:val="clear" w:color="auto" w:fill="auto"/>
            <w:vAlign w:val="center"/>
          </w:tcPr>
          <w:p w14:paraId="5EEDB1BF"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26,428</w:t>
            </w:r>
          </w:p>
        </w:tc>
        <w:tc>
          <w:tcPr>
            <w:tcW w:w="1914" w:type="dxa"/>
            <w:tcBorders>
              <w:top w:val="nil"/>
              <w:left w:val="nil"/>
              <w:bottom w:val="nil"/>
              <w:right w:val="nil"/>
            </w:tcBorders>
            <w:shd w:val="clear" w:color="auto" w:fill="auto"/>
            <w:vAlign w:val="center"/>
          </w:tcPr>
          <w:p w14:paraId="5FC8D476"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14,933</w:t>
            </w:r>
          </w:p>
        </w:tc>
      </w:tr>
      <w:tr w:rsidR="009E215C" w:rsidRPr="004C5A7A" w14:paraId="2D1FB8E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45999A4" w14:textId="77777777" w:rsidR="009E215C" w:rsidRPr="004C5A7A" w:rsidRDefault="009E215C">
            <w:pPr>
              <w:pStyle w:val="08-Tabelageral"/>
              <w:ind w:left="113"/>
              <w:jc w:val="left"/>
              <w:rPr>
                <w:rFonts w:cs="Arial"/>
                <w:b w:val="0"/>
              </w:rPr>
            </w:pPr>
            <w:proofErr w:type="spellStart"/>
            <w:r w:rsidRPr="004C5A7A">
              <w:rPr>
                <w:rFonts w:cs="Arial"/>
                <w:b w:val="0"/>
              </w:rPr>
              <w:t>Current</w:t>
            </w:r>
            <w:proofErr w:type="spellEnd"/>
            <w:r w:rsidRPr="004C5A7A">
              <w:rPr>
                <w:rFonts w:cs="Arial"/>
                <w:b w:val="0"/>
              </w:rPr>
              <w:t xml:space="preserve"> </w:t>
            </w:r>
            <w:proofErr w:type="spellStart"/>
            <w:r w:rsidRPr="004C5A7A">
              <w:rPr>
                <w:rFonts w:cs="Arial"/>
                <w:b w:val="0"/>
              </w:rPr>
              <w:t>tax</w:t>
            </w:r>
            <w:proofErr w:type="spellEnd"/>
            <w:r w:rsidRPr="004C5A7A">
              <w:rPr>
                <w:rFonts w:cs="Arial"/>
                <w:b w:val="0"/>
              </w:rPr>
              <w:t xml:space="preserve"> </w:t>
            </w:r>
            <w:proofErr w:type="spellStart"/>
            <w:r w:rsidRPr="004C5A7A">
              <w:rPr>
                <w:rFonts w:cs="Arial"/>
                <w:b w:val="0"/>
              </w:rPr>
              <w:t>liabilities</w:t>
            </w:r>
            <w:proofErr w:type="spellEnd"/>
          </w:p>
        </w:tc>
        <w:tc>
          <w:tcPr>
            <w:tcW w:w="1913" w:type="dxa"/>
            <w:tcBorders>
              <w:top w:val="nil"/>
              <w:left w:val="nil"/>
              <w:bottom w:val="nil"/>
              <w:right w:val="nil"/>
            </w:tcBorders>
            <w:shd w:val="clear" w:color="auto" w:fill="auto"/>
            <w:vAlign w:val="center"/>
          </w:tcPr>
          <w:p w14:paraId="1C67F14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1,101,598</w:t>
            </w:r>
          </w:p>
        </w:tc>
        <w:tc>
          <w:tcPr>
            <w:tcW w:w="1914" w:type="dxa"/>
            <w:tcBorders>
              <w:top w:val="nil"/>
              <w:left w:val="nil"/>
              <w:bottom w:val="nil"/>
              <w:right w:val="nil"/>
            </w:tcBorders>
            <w:shd w:val="clear" w:color="auto" w:fill="auto"/>
            <w:vAlign w:val="center"/>
          </w:tcPr>
          <w:p w14:paraId="5A9F522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949,072</w:t>
            </w:r>
          </w:p>
        </w:tc>
      </w:tr>
      <w:tr w:rsidR="009E215C" w:rsidRPr="004C5A7A" w14:paraId="5FF9515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5062142" w14:textId="77777777" w:rsidR="009E215C" w:rsidRPr="004C5A7A" w:rsidRDefault="009E215C">
            <w:pPr>
              <w:pStyle w:val="08-Tabelageral"/>
              <w:ind w:left="113"/>
              <w:jc w:val="left"/>
              <w:rPr>
                <w:rFonts w:cs="Arial"/>
                <w:b w:val="0"/>
              </w:rPr>
            </w:pPr>
            <w:proofErr w:type="spellStart"/>
            <w:r w:rsidRPr="004C5A7A">
              <w:rPr>
                <w:rFonts w:cs="Arial"/>
                <w:b w:val="0"/>
              </w:rPr>
              <w:t>Unearned</w:t>
            </w:r>
            <w:proofErr w:type="spellEnd"/>
            <w:r w:rsidRPr="004C5A7A">
              <w:rPr>
                <w:rFonts w:cs="Arial"/>
                <w:b w:val="0"/>
              </w:rPr>
              <w:t xml:space="preserve"> </w:t>
            </w:r>
            <w:proofErr w:type="spellStart"/>
            <w:r w:rsidRPr="004C5A7A">
              <w:rPr>
                <w:rFonts w:cs="Arial"/>
                <w:b w:val="0"/>
              </w:rPr>
              <w:t>commissions</w:t>
            </w:r>
            <w:proofErr w:type="spellEnd"/>
          </w:p>
        </w:tc>
        <w:tc>
          <w:tcPr>
            <w:tcW w:w="1913" w:type="dxa"/>
            <w:tcBorders>
              <w:top w:val="nil"/>
              <w:left w:val="nil"/>
              <w:bottom w:val="nil"/>
              <w:right w:val="nil"/>
            </w:tcBorders>
            <w:shd w:val="clear" w:color="auto" w:fill="auto"/>
            <w:vAlign w:val="center"/>
          </w:tcPr>
          <w:p w14:paraId="4736AD8E"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2,627,914</w:t>
            </w:r>
          </w:p>
        </w:tc>
        <w:tc>
          <w:tcPr>
            <w:tcW w:w="1914" w:type="dxa"/>
            <w:tcBorders>
              <w:top w:val="nil"/>
              <w:left w:val="nil"/>
              <w:bottom w:val="nil"/>
              <w:right w:val="nil"/>
            </w:tcBorders>
            <w:shd w:val="clear" w:color="auto" w:fill="auto"/>
            <w:vAlign w:val="center"/>
          </w:tcPr>
          <w:p w14:paraId="17ACEC7E"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1,952,798</w:t>
            </w:r>
          </w:p>
        </w:tc>
      </w:tr>
      <w:tr w:rsidR="009E215C" w:rsidRPr="004C5A7A" w14:paraId="1936FB1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AB1B5CA" w14:textId="77777777" w:rsidR="009E215C" w:rsidRPr="004C5A7A" w:rsidRDefault="009E215C">
            <w:pPr>
              <w:pStyle w:val="08-Tabelageral"/>
              <w:ind w:left="113"/>
              <w:jc w:val="left"/>
              <w:rPr>
                <w:rFonts w:cs="Arial"/>
                <w:b w:val="0"/>
              </w:rPr>
            </w:pPr>
            <w:r w:rsidRPr="004C5A7A">
              <w:rPr>
                <w:rFonts w:cs="Arial"/>
                <w:b w:val="0"/>
              </w:rPr>
              <w:t xml:space="preserve">Other </w:t>
            </w:r>
            <w:proofErr w:type="spellStart"/>
            <w:r w:rsidRPr="004C5A7A">
              <w:rPr>
                <w:rFonts w:cs="Arial"/>
                <w:b w:val="0"/>
              </w:rPr>
              <w:t>liabilities</w:t>
            </w:r>
            <w:proofErr w:type="spellEnd"/>
          </w:p>
        </w:tc>
        <w:tc>
          <w:tcPr>
            <w:tcW w:w="1913" w:type="dxa"/>
            <w:tcBorders>
              <w:top w:val="nil"/>
              <w:left w:val="nil"/>
              <w:bottom w:val="nil"/>
              <w:right w:val="nil"/>
            </w:tcBorders>
            <w:shd w:val="clear" w:color="auto" w:fill="auto"/>
            <w:vAlign w:val="center"/>
          </w:tcPr>
          <w:p w14:paraId="0E980205"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88,646</w:t>
            </w:r>
          </w:p>
        </w:tc>
        <w:tc>
          <w:tcPr>
            <w:tcW w:w="1914" w:type="dxa"/>
            <w:tcBorders>
              <w:top w:val="nil"/>
              <w:left w:val="nil"/>
              <w:bottom w:val="nil"/>
              <w:right w:val="nil"/>
            </w:tcBorders>
            <w:shd w:val="clear" w:color="auto" w:fill="auto"/>
            <w:vAlign w:val="center"/>
          </w:tcPr>
          <w:p w14:paraId="7892223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99,169</w:t>
            </w:r>
          </w:p>
        </w:tc>
      </w:tr>
      <w:tr w:rsidR="009E215C" w:rsidRPr="004C5A7A" w14:paraId="556CA96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D4A4417" w14:textId="77777777" w:rsidR="009E215C" w:rsidRPr="004C5A7A" w:rsidRDefault="009E215C">
            <w:pPr>
              <w:pStyle w:val="08-Tabelageral"/>
              <w:jc w:val="left"/>
              <w:rPr>
                <w:rFonts w:cs="Arial"/>
              </w:rPr>
            </w:pPr>
            <w:r w:rsidRPr="004C5A7A">
              <w:rPr>
                <w:rFonts w:cs="Arial"/>
              </w:rPr>
              <w:t>Non-</w:t>
            </w:r>
            <w:proofErr w:type="spellStart"/>
            <w:r w:rsidRPr="004C5A7A">
              <w:rPr>
                <w:rFonts w:cs="Arial"/>
              </w:rPr>
              <w:t>Current</w:t>
            </w:r>
            <w:proofErr w:type="spellEnd"/>
            <w:r w:rsidRPr="004C5A7A">
              <w:rPr>
                <w:rFonts w:cs="Arial"/>
              </w:rPr>
              <w:t xml:space="preserve"> </w:t>
            </w:r>
            <w:proofErr w:type="spellStart"/>
            <w:r w:rsidRPr="004C5A7A">
              <w:rPr>
                <w:rFonts w:cs="Arial"/>
              </w:rPr>
              <w:t>Liabilities</w:t>
            </w:r>
            <w:proofErr w:type="spellEnd"/>
          </w:p>
        </w:tc>
        <w:tc>
          <w:tcPr>
            <w:tcW w:w="1913" w:type="dxa"/>
            <w:tcBorders>
              <w:top w:val="nil"/>
              <w:bottom w:val="nil"/>
            </w:tcBorders>
            <w:shd w:val="clear" w:color="auto" w:fill="auto"/>
            <w:vAlign w:val="center"/>
          </w:tcPr>
          <w:p w14:paraId="552317C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color w:val="000000"/>
                <w:szCs w:val="14"/>
              </w:rPr>
              <w:t>3,412,583</w:t>
            </w:r>
          </w:p>
        </w:tc>
        <w:tc>
          <w:tcPr>
            <w:tcW w:w="1914" w:type="dxa"/>
            <w:tcBorders>
              <w:top w:val="nil"/>
              <w:bottom w:val="nil"/>
            </w:tcBorders>
            <w:shd w:val="clear" w:color="auto" w:fill="auto"/>
            <w:vAlign w:val="center"/>
          </w:tcPr>
          <w:p w14:paraId="3E54C740"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C5A7A">
              <w:rPr>
                <w:rFonts w:cs="Arial"/>
                <w:b/>
                <w:bCs/>
              </w:rPr>
              <w:t>2,748,860</w:t>
            </w:r>
          </w:p>
        </w:tc>
      </w:tr>
      <w:tr w:rsidR="009E215C" w:rsidRPr="004C5A7A" w14:paraId="61B5A39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4ACD03B" w14:textId="77777777" w:rsidR="009E215C" w:rsidRPr="004C5A7A" w:rsidRDefault="009E215C">
            <w:pPr>
              <w:pStyle w:val="08-Tabelageral"/>
              <w:ind w:left="113"/>
              <w:jc w:val="left"/>
              <w:rPr>
                <w:rFonts w:cs="Arial"/>
                <w:b w:val="0"/>
              </w:rPr>
            </w:pPr>
            <w:r w:rsidRPr="004C5A7A">
              <w:rPr>
                <w:rFonts w:cs="Arial"/>
                <w:b w:val="0"/>
              </w:rPr>
              <w:t xml:space="preserve">Other </w:t>
            </w:r>
            <w:proofErr w:type="spellStart"/>
            <w:r w:rsidRPr="004C5A7A">
              <w:rPr>
                <w:rFonts w:cs="Arial"/>
                <w:b w:val="0"/>
              </w:rPr>
              <w:t>provisions</w:t>
            </w:r>
            <w:proofErr w:type="spellEnd"/>
          </w:p>
        </w:tc>
        <w:tc>
          <w:tcPr>
            <w:tcW w:w="1913" w:type="dxa"/>
            <w:tcBorders>
              <w:top w:val="nil"/>
              <w:bottom w:val="nil"/>
            </w:tcBorders>
            <w:shd w:val="clear" w:color="auto" w:fill="auto"/>
            <w:vAlign w:val="center"/>
          </w:tcPr>
          <w:p w14:paraId="34BD3729"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C5A7A">
              <w:rPr>
                <w:rFonts w:cs="Arial"/>
                <w:color w:val="000000"/>
                <w:szCs w:val="14"/>
              </w:rPr>
              <w:t>21,257</w:t>
            </w:r>
          </w:p>
        </w:tc>
        <w:tc>
          <w:tcPr>
            <w:tcW w:w="1914" w:type="dxa"/>
            <w:tcBorders>
              <w:top w:val="nil"/>
              <w:bottom w:val="nil"/>
            </w:tcBorders>
            <w:shd w:val="clear" w:color="auto" w:fill="auto"/>
            <w:vAlign w:val="center"/>
          </w:tcPr>
          <w:p w14:paraId="59F9DD8F"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13,501</w:t>
            </w:r>
          </w:p>
        </w:tc>
      </w:tr>
      <w:tr w:rsidR="009E215C" w:rsidRPr="004C5A7A" w14:paraId="60C3F33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051E699" w14:textId="77777777" w:rsidR="009E215C" w:rsidRPr="004C5A7A" w:rsidRDefault="009E215C">
            <w:pPr>
              <w:pStyle w:val="08-Tabelageral"/>
              <w:ind w:left="113"/>
              <w:jc w:val="left"/>
              <w:rPr>
                <w:rFonts w:cs="Arial"/>
                <w:b w:val="0"/>
              </w:rPr>
            </w:pPr>
            <w:proofErr w:type="spellStart"/>
            <w:r w:rsidRPr="004C5A7A">
              <w:rPr>
                <w:rFonts w:cs="Arial"/>
                <w:b w:val="0"/>
              </w:rPr>
              <w:t>Commissions</w:t>
            </w:r>
            <w:proofErr w:type="spellEnd"/>
            <w:r w:rsidRPr="004C5A7A">
              <w:rPr>
                <w:rFonts w:cs="Arial"/>
                <w:b w:val="0"/>
              </w:rPr>
              <w:t xml:space="preserve"> </w:t>
            </w:r>
            <w:proofErr w:type="spellStart"/>
            <w:r w:rsidRPr="004C5A7A">
              <w:rPr>
                <w:rFonts w:cs="Arial"/>
                <w:b w:val="0"/>
              </w:rPr>
              <w:t>to</w:t>
            </w:r>
            <w:proofErr w:type="spellEnd"/>
            <w:r w:rsidRPr="004C5A7A">
              <w:rPr>
                <w:rFonts w:cs="Arial"/>
                <w:b w:val="0"/>
              </w:rPr>
              <w:t xml:space="preserve"> </w:t>
            </w:r>
            <w:proofErr w:type="spellStart"/>
            <w:r w:rsidRPr="004C5A7A">
              <w:rPr>
                <w:rFonts w:cs="Arial"/>
                <w:b w:val="0"/>
              </w:rPr>
              <w:t>be</w:t>
            </w:r>
            <w:proofErr w:type="spellEnd"/>
            <w:r w:rsidRPr="004C5A7A">
              <w:rPr>
                <w:rFonts w:cs="Arial"/>
                <w:b w:val="0"/>
              </w:rPr>
              <w:t xml:space="preserve"> </w:t>
            </w:r>
            <w:proofErr w:type="spellStart"/>
            <w:r w:rsidRPr="004C5A7A">
              <w:rPr>
                <w:rFonts w:cs="Arial"/>
                <w:b w:val="0"/>
              </w:rPr>
              <w:t>appropriated</w:t>
            </w:r>
            <w:proofErr w:type="spellEnd"/>
          </w:p>
        </w:tc>
        <w:tc>
          <w:tcPr>
            <w:tcW w:w="1913" w:type="dxa"/>
            <w:tcBorders>
              <w:top w:val="nil"/>
              <w:bottom w:val="nil"/>
            </w:tcBorders>
            <w:shd w:val="clear" w:color="auto" w:fill="auto"/>
            <w:vAlign w:val="center"/>
          </w:tcPr>
          <w:p w14:paraId="3108300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4C5A7A">
              <w:rPr>
                <w:rFonts w:cs="Arial"/>
                <w:color w:val="000000"/>
                <w:szCs w:val="14"/>
              </w:rPr>
              <w:t>3,391,326</w:t>
            </w:r>
          </w:p>
        </w:tc>
        <w:tc>
          <w:tcPr>
            <w:tcW w:w="1914" w:type="dxa"/>
            <w:tcBorders>
              <w:top w:val="nil"/>
              <w:bottom w:val="nil"/>
            </w:tcBorders>
            <w:shd w:val="clear" w:color="auto" w:fill="auto"/>
            <w:vAlign w:val="center"/>
          </w:tcPr>
          <w:p w14:paraId="22278271"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2,735,359</w:t>
            </w:r>
          </w:p>
        </w:tc>
      </w:tr>
      <w:tr w:rsidR="009E215C" w:rsidRPr="004C5A7A" w14:paraId="42B492B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856F187" w14:textId="77777777" w:rsidR="009E215C" w:rsidRPr="004C5A7A" w:rsidRDefault="009E215C">
            <w:pPr>
              <w:pStyle w:val="08-Tabelageral"/>
              <w:jc w:val="left"/>
              <w:rPr>
                <w:rFonts w:cs="Arial"/>
              </w:rPr>
            </w:pPr>
            <w:r w:rsidRPr="004C5A7A">
              <w:rPr>
                <w:rFonts w:cs="Arial"/>
              </w:rPr>
              <w:t xml:space="preserve">Total </w:t>
            </w:r>
            <w:proofErr w:type="spellStart"/>
            <w:r w:rsidRPr="004C5A7A">
              <w:rPr>
                <w:rFonts w:cs="Arial"/>
              </w:rPr>
              <w:t>Liabilities</w:t>
            </w:r>
            <w:proofErr w:type="spellEnd"/>
          </w:p>
        </w:tc>
        <w:tc>
          <w:tcPr>
            <w:tcW w:w="1913" w:type="dxa"/>
            <w:tcBorders>
              <w:top w:val="nil"/>
              <w:bottom w:val="nil"/>
            </w:tcBorders>
            <w:shd w:val="clear" w:color="auto" w:fill="auto"/>
            <w:vAlign w:val="center"/>
          </w:tcPr>
          <w:p w14:paraId="1A7CB2BE"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4C5A7A">
              <w:rPr>
                <w:rFonts w:cs="Arial"/>
                <w:b/>
                <w:bCs/>
                <w:color w:val="000000"/>
                <w:szCs w:val="14"/>
              </w:rPr>
              <w:t>8,977,572</w:t>
            </w:r>
          </w:p>
        </w:tc>
        <w:tc>
          <w:tcPr>
            <w:tcW w:w="1914" w:type="dxa"/>
            <w:tcBorders>
              <w:top w:val="nil"/>
              <w:bottom w:val="nil"/>
            </w:tcBorders>
            <w:shd w:val="clear" w:color="auto" w:fill="auto"/>
            <w:vAlign w:val="center"/>
          </w:tcPr>
          <w:p w14:paraId="3CE1EFAD"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C5A7A">
              <w:rPr>
                <w:rFonts w:cs="Arial"/>
                <w:b/>
                <w:bCs/>
                <w:color w:val="000000"/>
                <w:szCs w:val="14"/>
              </w:rPr>
              <w:t>7,338,725</w:t>
            </w:r>
          </w:p>
        </w:tc>
      </w:tr>
      <w:tr w:rsidR="009E215C" w:rsidRPr="004C5A7A" w14:paraId="652D5A1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46D72A3" w14:textId="77777777" w:rsidR="009E215C" w:rsidRPr="004C5A7A" w:rsidRDefault="009E215C">
            <w:pPr>
              <w:pStyle w:val="08-Tabelageral"/>
              <w:jc w:val="left"/>
              <w:rPr>
                <w:rFonts w:cs="Arial"/>
                <w:b w:val="0"/>
              </w:rPr>
            </w:pPr>
          </w:p>
        </w:tc>
        <w:tc>
          <w:tcPr>
            <w:tcW w:w="1913" w:type="dxa"/>
            <w:tcBorders>
              <w:top w:val="nil"/>
              <w:bottom w:val="nil"/>
            </w:tcBorders>
            <w:shd w:val="clear" w:color="auto" w:fill="auto"/>
            <w:vAlign w:val="center"/>
          </w:tcPr>
          <w:p w14:paraId="15D3B03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751C992D"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E215C" w:rsidRPr="004C5A7A" w14:paraId="2E55115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7E52ECC" w14:textId="77777777" w:rsidR="009E215C" w:rsidRPr="004C5A7A" w:rsidRDefault="009E215C">
            <w:pPr>
              <w:pStyle w:val="08-Tabelageral"/>
              <w:jc w:val="left"/>
              <w:rPr>
                <w:rFonts w:cs="Arial"/>
              </w:rPr>
            </w:pPr>
            <w:proofErr w:type="spellStart"/>
            <w:r w:rsidRPr="004C5A7A">
              <w:rPr>
                <w:rFonts w:cs="Arial"/>
              </w:rPr>
              <w:t>Equity</w:t>
            </w:r>
            <w:proofErr w:type="spellEnd"/>
          </w:p>
        </w:tc>
        <w:tc>
          <w:tcPr>
            <w:tcW w:w="1913" w:type="dxa"/>
            <w:tcBorders>
              <w:top w:val="nil"/>
              <w:left w:val="nil"/>
              <w:bottom w:val="nil"/>
              <w:right w:val="nil"/>
            </w:tcBorders>
            <w:shd w:val="clear" w:color="auto" w:fill="auto"/>
            <w:vAlign w:val="center"/>
          </w:tcPr>
          <w:p w14:paraId="4E40FBCF"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C5A7A">
              <w:rPr>
                <w:rFonts w:cs="Arial"/>
                <w:b/>
                <w:bCs/>
                <w:color w:val="000000"/>
                <w:szCs w:val="14"/>
              </w:rPr>
              <w:t>6,118</w:t>
            </w:r>
          </w:p>
        </w:tc>
        <w:tc>
          <w:tcPr>
            <w:tcW w:w="1914" w:type="dxa"/>
            <w:tcBorders>
              <w:top w:val="nil"/>
              <w:bottom w:val="nil"/>
            </w:tcBorders>
            <w:shd w:val="clear" w:color="auto" w:fill="auto"/>
            <w:vAlign w:val="center"/>
          </w:tcPr>
          <w:p w14:paraId="2E091AC7"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C5A7A">
              <w:rPr>
                <w:rFonts w:cs="Arial"/>
                <w:b/>
                <w:bCs/>
                <w:color w:val="000000"/>
                <w:szCs w:val="14"/>
              </w:rPr>
              <w:t>5,872</w:t>
            </w:r>
          </w:p>
        </w:tc>
      </w:tr>
      <w:tr w:rsidR="009E215C" w:rsidRPr="004C5A7A" w14:paraId="4AC1BA5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0864624" w14:textId="77777777" w:rsidR="009E215C" w:rsidRPr="004C5A7A" w:rsidRDefault="009E215C">
            <w:pPr>
              <w:pStyle w:val="08-Tabelageral"/>
              <w:ind w:left="113"/>
              <w:jc w:val="left"/>
              <w:rPr>
                <w:rFonts w:cs="Arial"/>
                <w:b w:val="0"/>
              </w:rPr>
            </w:pPr>
            <w:r w:rsidRPr="004C5A7A">
              <w:rPr>
                <w:rFonts w:cs="Arial"/>
                <w:b w:val="0"/>
              </w:rPr>
              <w:t>Capital</w:t>
            </w:r>
          </w:p>
        </w:tc>
        <w:tc>
          <w:tcPr>
            <w:tcW w:w="1913" w:type="dxa"/>
            <w:tcBorders>
              <w:top w:val="nil"/>
              <w:left w:val="nil"/>
              <w:bottom w:val="nil"/>
              <w:right w:val="nil"/>
            </w:tcBorders>
            <w:shd w:val="clear" w:color="auto" w:fill="auto"/>
            <w:vAlign w:val="center"/>
          </w:tcPr>
          <w:p w14:paraId="0A3D9445"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1,000</w:t>
            </w:r>
          </w:p>
        </w:tc>
        <w:tc>
          <w:tcPr>
            <w:tcW w:w="1914" w:type="dxa"/>
            <w:tcBorders>
              <w:top w:val="nil"/>
              <w:bottom w:val="nil"/>
            </w:tcBorders>
            <w:shd w:val="clear" w:color="auto" w:fill="auto"/>
            <w:vAlign w:val="center"/>
          </w:tcPr>
          <w:p w14:paraId="776DCF97"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1,000</w:t>
            </w:r>
          </w:p>
        </w:tc>
      </w:tr>
      <w:tr w:rsidR="009E215C" w:rsidRPr="004C5A7A" w14:paraId="34C3E86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517217C" w14:textId="77777777" w:rsidR="009E215C" w:rsidRPr="004C5A7A" w:rsidRDefault="009E215C">
            <w:pPr>
              <w:pStyle w:val="08-Tabelageral"/>
              <w:ind w:left="113"/>
              <w:jc w:val="left"/>
              <w:rPr>
                <w:rFonts w:cs="Arial"/>
                <w:b w:val="0"/>
              </w:rPr>
            </w:pPr>
            <w:r w:rsidRPr="004C5A7A">
              <w:rPr>
                <w:rFonts w:cs="Arial"/>
                <w:b w:val="0"/>
              </w:rPr>
              <w:t>Capital reserves</w:t>
            </w:r>
          </w:p>
        </w:tc>
        <w:tc>
          <w:tcPr>
            <w:tcW w:w="1913" w:type="dxa"/>
            <w:tcBorders>
              <w:top w:val="nil"/>
              <w:left w:val="nil"/>
              <w:bottom w:val="nil"/>
              <w:right w:val="nil"/>
            </w:tcBorders>
            <w:shd w:val="clear" w:color="auto" w:fill="auto"/>
            <w:vAlign w:val="center"/>
          </w:tcPr>
          <w:p w14:paraId="636C3F27"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4,975</w:t>
            </w:r>
          </w:p>
        </w:tc>
        <w:tc>
          <w:tcPr>
            <w:tcW w:w="1914" w:type="dxa"/>
            <w:tcBorders>
              <w:top w:val="nil"/>
              <w:bottom w:val="nil"/>
            </w:tcBorders>
            <w:shd w:val="clear" w:color="auto" w:fill="auto"/>
            <w:vAlign w:val="center"/>
          </w:tcPr>
          <w:p w14:paraId="4ABFA258"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4,975</w:t>
            </w:r>
          </w:p>
        </w:tc>
      </w:tr>
      <w:tr w:rsidR="009E215C" w:rsidRPr="004C5A7A" w14:paraId="629CE5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AB6A5FB" w14:textId="77777777" w:rsidR="009E215C" w:rsidRPr="004C5A7A" w:rsidRDefault="009E215C">
            <w:pPr>
              <w:pStyle w:val="08-Tabelageral"/>
              <w:ind w:left="113"/>
              <w:jc w:val="left"/>
              <w:rPr>
                <w:rFonts w:cs="Arial"/>
                <w:b w:val="0"/>
              </w:rPr>
            </w:pPr>
            <w:r w:rsidRPr="004C5A7A">
              <w:rPr>
                <w:rFonts w:cs="Arial"/>
                <w:b w:val="0"/>
              </w:rPr>
              <w:t>Income reserves</w:t>
            </w:r>
          </w:p>
        </w:tc>
        <w:tc>
          <w:tcPr>
            <w:tcW w:w="1913" w:type="dxa"/>
            <w:tcBorders>
              <w:top w:val="nil"/>
              <w:left w:val="nil"/>
              <w:bottom w:val="nil"/>
              <w:right w:val="nil"/>
            </w:tcBorders>
            <w:shd w:val="clear" w:color="auto" w:fill="auto"/>
            <w:vAlign w:val="center"/>
          </w:tcPr>
          <w:p w14:paraId="2C0A78B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200</w:t>
            </w:r>
          </w:p>
        </w:tc>
        <w:tc>
          <w:tcPr>
            <w:tcW w:w="1914" w:type="dxa"/>
            <w:tcBorders>
              <w:top w:val="nil"/>
              <w:bottom w:val="nil"/>
            </w:tcBorders>
            <w:shd w:val="clear" w:color="auto" w:fill="auto"/>
            <w:vAlign w:val="center"/>
          </w:tcPr>
          <w:p w14:paraId="28C68303"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C5A7A">
              <w:rPr>
                <w:rFonts w:cs="Arial"/>
                <w:color w:val="000000"/>
                <w:szCs w:val="14"/>
              </w:rPr>
              <w:t>200</w:t>
            </w:r>
          </w:p>
        </w:tc>
      </w:tr>
      <w:tr w:rsidR="009E215C" w:rsidRPr="004C5A7A" w14:paraId="778D734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811D0EF" w14:textId="77777777" w:rsidR="009E215C" w:rsidRPr="004C5A7A" w:rsidRDefault="009E215C">
            <w:pPr>
              <w:pStyle w:val="08-Tabelageral"/>
              <w:ind w:left="113"/>
              <w:jc w:val="left"/>
              <w:rPr>
                <w:rFonts w:cs="Arial"/>
                <w:b w:val="0"/>
              </w:rPr>
            </w:pPr>
            <w:r w:rsidRPr="004C5A7A">
              <w:rPr>
                <w:rFonts w:cs="Arial"/>
                <w:b w:val="0"/>
              </w:rPr>
              <w:t xml:space="preserve">Other </w:t>
            </w:r>
            <w:proofErr w:type="spellStart"/>
            <w:r w:rsidRPr="004C5A7A">
              <w:rPr>
                <w:rFonts w:cs="Arial"/>
                <w:b w:val="0"/>
              </w:rPr>
              <w:t>comprehensive</w:t>
            </w:r>
            <w:proofErr w:type="spellEnd"/>
            <w:r w:rsidRPr="004C5A7A">
              <w:rPr>
                <w:rFonts w:cs="Arial"/>
                <w:b w:val="0"/>
              </w:rPr>
              <w:t xml:space="preserve"> </w:t>
            </w:r>
            <w:proofErr w:type="spellStart"/>
            <w:r w:rsidRPr="004C5A7A">
              <w:rPr>
                <w:rFonts w:cs="Arial"/>
                <w:b w:val="0"/>
              </w:rPr>
              <w:t>results</w:t>
            </w:r>
            <w:proofErr w:type="spellEnd"/>
          </w:p>
        </w:tc>
        <w:tc>
          <w:tcPr>
            <w:tcW w:w="1913" w:type="dxa"/>
            <w:tcBorders>
              <w:top w:val="nil"/>
              <w:left w:val="nil"/>
              <w:bottom w:val="nil"/>
              <w:right w:val="nil"/>
            </w:tcBorders>
            <w:shd w:val="clear" w:color="auto" w:fill="auto"/>
            <w:vAlign w:val="center"/>
          </w:tcPr>
          <w:p w14:paraId="1E8940E2"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(57)</w:t>
            </w:r>
          </w:p>
        </w:tc>
        <w:tc>
          <w:tcPr>
            <w:tcW w:w="1914" w:type="dxa"/>
            <w:tcBorders>
              <w:top w:val="nil"/>
              <w:bottom w:val="nil"/>
            </w:tcBorders>
            <w:shd w:val="clear" w:color="auto" w:fill="auto"/>
            <w:vAlign w:val="center"/>
          </w:tcPr>
          <w:p w14:paraId="128AF2B3"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C5A7A">
              <w:rPr>
                <w:rFonts w:cs="Arial"/>
                <w:color w:val="000000"/>
                <w:szCs w:val="14"/>
              </w:rPr>
              <w:t>(303)</w:t>
            </w:r>
          </w:p>
        </w:tc>
      </w:tr>
      <w:tr w:rsidR="009E215C" w:rsidRPr="004C5A7A" w14:paraId="6F3699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88C31C1" w14:textId="77777777" w:rsidR="009E215C" w:rsidRPr="004C5A7A" w:rsidRDefault="009E215C">
            <w:pPr>
              <w:pStyle w:val="08-Tabelageral"/>
              <w:jc w:val="left"/>
              <w:rPr>
                <w:rFonts w:cs="Arial"/>
              </w:rPr>
            </w:pPr>
            <w:r w:rsidRPr="004C5A7A">
              <w:rPr>
                <w:rFonts w:cs="Arial"/>
              </w:rPr>
              <w:t xml:space="preserve">Total </w:t>
            </w:r>
            <w:proofErr w:type="spellStart"/>
            <w:r w:rsidRPr="004C5A7A">
              <w:rPr>
                <w:rFonts w:cs="Arial"/>
              </w:rPr>
              <w:t>Liabilities</w:t>
            </w:r>
            <w:proofErr w:type="spellEnd"/>
            <w:r w:rsidRPr="004C5A7A">
              <w:rPr>
                <w:rFonts w:cs="Arial"/>
              </w:rPr>
              <w:t xml:space="preserve"> </w:t>
            </w:r>
            <w:proofErr w:type="spellStart"/>
            <w:r w:rsidRPr="004C5A7A">
              <w:rPr>
                <w:rFonts w:cs="Arial"/>
              </w:rPr>
              <w:t>and</w:t>
            </w:r>
            <w:proofErr w:type="spellEnd"/>
            <w:r w:rsidRPr="004C5A7A">
              <w:rPr>
                <w:rFonts w:cs="Arial"/>
              </w:rPr>
              <w:t xml:space="preserve"> </w:t>
            </w:r>
            <w:proofErr w:type="spellStart"/>
            <w:r w:rsidRPr="004C5A7A">
              <w:rPr>
                <w:rFonts w:cs="Arial"/>
              </w:rPr>
              <w:t>Equity</w:t>
            </w:r>
            <w:proofErr w:type="spellEnd"/>
          </w:p>
        </w:tc>
        <w:tc>
          <w:tcPr>
            <w:tcW w:w="1913" w:type="dxa"/>
            <w:tcBorders>
              <w:top w:val="nil"/>
              <w:bottom w:val="nil"/>
            </w:tcBorders>
            <w:shd w:val="clear" w:color="auto" w:fill="auto"/>
            <w:vAlign w:val="center"/>
          </w:tcPr>
          <w:p w14:paraId="055D6D31"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color w:val="000000"/>
                <w:szCs w:val="14"/>
              </w:rPr>
              <w:t>8,983,690</w:t>
            </w:r>
          </w:p>
        </w:tc>
        <w:tc>
          <w:tcPr>
            <w:tcW w:w="1914" w:type="dxa"/>
            <w:tcBorders>
              <w:top w:val="nil"/>
              <w:bottom w:val="nil"/>
            </w:tcBorders>
            <w:shd w:val="clear" w:color="auto" w:fill="auto"/>
          </w:tcPr>
          <w:p w14:paraId="6C32AD7E"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C5A7A">
              <w:rPr>
                <w:rFonts w:cs="Arial"/>
                <w:b/>
                <w:bCs/>
              </w:rPr>
              <w:t>7,344,597</w:t>
            </w:r>
          </w:p>
        </w:tc>
      </w:tr>
      <w:tr w:rsidR="009E215C" w:rsidRPr="004C5A7A" w14:paraId="22D90E5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CADD440" w14:textId="77777777" w:rsidR="009E215C" w:rsidRPr="004C5A7A" w:rsidRDefault="009E215C">
            <w:pPr>
              <w:pStyle w:val="08-Tabelageral"/>
              <w:jc w:val="left"/>
              <w:rPr>
                <w:rFonts w:cs="Arial"/>
              </w:rPr>
            </w:pPr>
            <w:proofErr w:type="spellStart"/>
            <w:r w:rsidRPr="004C5A7A">
              <w:rPr>
                <w:rFonts w:cs="Arial"/>
              </w:rPr>
              <w:t>Attributable</w:t>
            </w:r>
            <w:proofErr w:type="spellEnd"/>
            <w:r w:rsidRPr="004C5A7A">
              <w:rPr>
                <w:rFonts w:cs="Arial"/>
              </w:rPr>
              <w:t xml:space="preserve"> </w:t>
            </w:r>
            <w:proofErr w:type="spellStart"/>
            <w:r w:rsidRPr="004C5A7A">
              <w:rPr>
                <w:rFonts w:cs="Arial"/>
              </w:rPr>
              <w:t>to</w:t>
            </w:r>
            <w:proofErr w:type="spellEnd"/>
            <w:r w:rsidRPr="004C5A7A">
              <w:rPr>
                <w:rFonts w:cs="Arial"/>
              </w:rPr>
              <w:t xml:space="preserve"> BB Seguridade</w:t>
            </w:r>
          </w:p>
        </w:tc>
        <w:tc>
          <w:tcPr>
            <w:tcW w:w="1913" w:type="dxa"/>
            <w:tcBorders>
              <w:top w:val="nil"/>
              <w:bottom w:val="nil"/>
            </w:tcBorders>
            <w:shd w:val="clear" w:color="auto" w:fill="auto"/>
            <w:vAlign w:val="center"/>
          </w:tcPr>
          <w:p w14:paraId="53B451DF"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4C5A7A">
              <w:rPr>
                <w:rFonts w:cs="Arial"/>
                <w:b/>
                <w:bCs/>
                <w:szCs w:val="14"/>
              </w:rPr>
              <w:t>6,118</w:t>
            </w:r>
          </w:p>
        </w:tc>
        <w:tc>
          <w:tcPr>
            <w:tcW w:w="1914" w:type="dxa"/>
            <w:tcBorders>
              <w:top w:val="nil"/>
              <w:bottom w:val="nil"/>
            </w:tcBorders>
            <w:shd w:val="clear" w:color="auto" w:fill="auto"/>
          </w:tcPr>
          <w:p w14:paraId="47B5C1CF" w14:textId="77777777" w:rsidR="009E215C" w:rsidRPr="004C5A7A" w:rsidRDefault="009E215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4C5A7A">
              <w:rPr>
                <w:rFonts w:cs="Arial"/>
                <w:b/>
                <w:bCs/>
                <w:color w:val="000000"/>
                <w:szCs w:val="14"/>
              </w:rPr>
              <w:t>5,872</w:t>
            </w:r>
          </w:p>
        </w:tc>
      </w:tr>
      <w:tr w:rsidR="009E215C" w:rsidRPr="004C5A7A" w14:paraId="28723EC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shd w:val="clear" w:color="auto" w:fill="auto"/>
            <w:vAlign w:val="center"/>
          </w:tcPr>
          <w:p w14:paraId="7C073DBF" w14:textId="77777777" w:rsidR="009E215C" w:rsidRPr="004C5A7A" w:rsidRDefault="009E215C">
            <w:pPr>
              <w:pStyle w:val="08-Tabelageral"/>
              <w:jc w:val="left"/>
              <w:rPr>
                <w:rFonts w:cs="Arial"/>
              </w:rPr>
            </w:pPr>
            <w:proofErr w:type="spellStart"/>
            <w:r w:rsidRPr="004C5A7A">
              <w:rPr>
                <w:rFonts w:cs="Arial"/>
              </w:rPr>
              <w:t>Investment</w:t>
            </w:r>
            <w:proofErr w:type="spellEnd"/>
            <w:r w:rsidRPr="004C5A7A">
              <w:rPr>
                <w:rFonts w:cs="Arial"/>
              </w:rPr>
              <w:t xml:space="preserve"> balance</w:t>
            </w:r>
          </w:p>
        </w:tc>
        <w:tc>
          <w:tcPr>
            <w:tcW w:w="1913" w:type="dxa"/>
            <w:tcBorders>
              <w:top w:val="nil"/>
              <w:bottom w:val="single" w:sz="2" w:space="0" w:color="1F3864" w:themeColor="accent1" w:themeShade="80"/>
            </w:tcBorders>
            <w:shd w:val="clear" w:color="auto" w:fill="auto"/>
            <w:vAlign w:val="center"/>
          </w:tcPr>
          <w:p w14:paraId="3CD8C00C"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szCs w:val="14"/>
              </w:rPr>
              <w:t>6,118</w:t>
            </w:r>
          </w:p>
        </w:tc>
        <w:tc>
          <w:tcPr>
            <w:tcW w:w="1914" w:type="dxa"/>
            <w:tcBorders>
              <w:top w:val="nil"/>
              <w:bottom w:val="single" w:sz="2" w:space="0" w:color="1F3864" w:themeColor="accent1" w:themeShade="80"/>
            </w:tcBorders>
            <w:shd w:val="clear" w:color="auto" w:fill="auto"/>
          </w:tcPr>
          <w:p w14:paraId="624C6958" w14:textId="77777777" w:rsidR="009E215C" w:rsidRPr="004C5A7A" w:rsidRDefault="009E215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4C5A7A">
              <w:rPr>
                <w:rFonts w:cs="Arial"/>
                <w:b/>
                <w:bCs/>
                <w:color w:val="000000"/>
                <w:szCs w:val="14"/>
              </w:rPr>
              <w:t>5,872</w:t>
            </w:r>
          </w:p>
        </w:tc>
      </w:tr>
      <w:bookmarkEnd w:id="43"/>
      <w:bookmarkEnd w:id="44"/>
    </w:tbl>
    <w:p w14:paraId="7C661B71" w14:textId="77777777" w:rsidR="009E215C" w:rsidRPr="004C5A7A" w:rsidRDefault="009E215C" w:rsidP="009E215C">
      <w:pPr>
        <w:rPr>
          <w:rFonts w:ascii="Arial" w:hAnsi="Arial" w:cs="Arial"/>
          <w:lang w:val="en-US"/>
        </w:rPr>
      </w:pPr>
    </w:p>
    <w:p w14:paraId="24BA405D" w14:textId="77777777" w:rsidR="00051395" w:rsidRPr="007B4BBE" w:rsidRDefault="00051395" w:rsidP="00A41F1F">
      <w:pPr>
        <w:pStyle w:val="Ttulo1"/>
        <w:pageBreakBefore/>
        <w:rPr>
          <w:rFonts w:ascii="Arial" w:hAnsi="Arial" w:cs="Arial"/>
          <w:b/>
          <w:color w:val="1F3864" w:themeColor="accent1" w:themeShade="80"/>
          <w:sz w:val="20"/>
          <w:szCs w:val="20"/>
          <w:lang w:val="en-US"/>
        </w:rPr>
      </w:pPr>
      <w:bookmarkStart w:id="55" w:name="_Hlk157446259"/>
      <w:bookmarkStart w:id="56" w:name="_Toc149573394"/>
      <w:bookmarkStart w:id="57" w:name="_Toc190680629"/>
      <w:r w:rsidRPr="007B4BBE">
        <w:rPr>
          <w:rFonts w:ascii="Arial" w:hAnsi="Arial" w:cs="Arial"/>
          <w:b/>
          <w:color w:val="1F3864" w:themeColor="accent1" w:themeShade="80"/>
          <w:sz w:val="20"/>
          <w:szCs w:val="20"/>
          <w:lang w:val="en-US"/>
        </w:rPr>
        <w:lastRenderedPageBreak/>
        <w:t>8 – COMMISSIONS INCOME</w:t>
      </w:r>
      <w:bookmarkEnd w:id="57"/>
    </w:p>
    <w:p w14:paraId="0A239E76" w14:textId="77777777" w:rsidR="002406E3" w:rsidRPr="002B575F" w:rsidRDefault="002406E3" w:rsidP="002406E3">
      <w:pPr>
        <w:spacing w:before="120" w:after="120"/>
        <w:jc w:val="both"/>
        <w:rPr>
          <w:rFonts w:ascii="Arial" w:hAnsi="Arial" w:cs="Arial"/>
          <w:sz w:val="18"/>
          <w:szCs w:val="18"/>
          <w:lang w:val="en-US"/>
        </w:rPr>
      </w:pPr>
      <w:r w:rsidRPr="00A7264D">
        <w:rPr>
          <w:rFonts w:ascii="Arial" w:hAnsi="Arial" w:cs="Arial"/>
          <w:sz w:val="18"/>
          <w:szCs w:val="18"/>
          <w:lang w:val="en-US"/>
        </w:rPr>
        <w:t xml:space="preserve">Commission income comes from the investee BB </w:t>
      </w:r>
      <w:proofErr w:type="spellStart"/>
      <w:r w:rsidRPr="00A7264D">
        <w:rPr>
          <w:rFonts w:ascii="Arial" w:hAnsi="Arial" w:cs="Arial"/>
          <w:sz w:val="18"/>
          <w:szCs w:val="18"/>
          <w:lang w:val="en-US"/>
        </w:rPr>
        <w:t>Corretora</w:t>
      </w:r>
      <w:proofErr w:type="spellEnd"/>
      <w:r w:rsidRPr="00A7264D">
        <w:rPr>
          <w:rFonts w:ascii="Arial" w:hAnsi="Arial" w:cs="Arial"/>
          <w:sz w:val="18"/>
          <w:szCs w:val="18"/>
          <w:lang w:val="en-US"/>
        </w:rPr>
        <w:t>, arising from brokerages related to the sale of insurance, open pension plans, capitalization bonds and dental assistance plans.</w:t>
      </w:r>
    </w:p>
    <w:p w14:paraId="1382BE75" w14:textId="77777777" w:rsidR="002406E3" w:rsidRPr="0004323A" w:rsidRDefault="002406E3" w:rsidP="002406E3">
      <w:pPr>
        <w:pStyle w:val="01-TtulodeNota"/>
        <w:spacing w:before="0" w:after="0"/>
        <w:jc w:val="right"/>
        <w:rPr>
          <w:sz w:val="12"/>
          <w:szCs w:val="12"/>
        </w:rPr>
      </w:pPr>
      <w:r>
        <w:rPr>
          <w:rFonts w:cs="Arial"/>
          <w:sz w:val="14"/>
          <w:szCs w:val="14"/>
          <w:lang w:val="en-US"/>
        </w:rPr>
        <w:t>R$ thousand</w:t>
      </w:r>
      <w:r w:rsidRPr="0004323A">
        <w:rPr>
          <w:sz w:val="12"/>
          <w:szCs w:val="12"/>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2406E3" w:rsidRPr="00A47279" w14:paraId="1567E453" w14:textId="77777777">
        <w:trPr>
          <w:trHeight w:val="238"/>
        </w:trPr>
        <w:tc>
          <w:tcPr>
            <w:tcW w:w="2467" w:type="dxa"/>
            <w:tcBorders>
              <w:top w:val="single" w:sz="2" w:space="0" w:color="1F3864" w:themeColor="accent1" w:themeShade="80"/>
              <w:bottom w:val="nil"/>
            </w:tcBorders>
            <w:shd w:val="clear" w:color="auto" w:fill="auto"/>
          </w:tcPr>
          <w:p w14:paraId="19D13AB7" w14:textId="77777777" w:rsidR="002406E3" w:rsidRPr="00890AEB" w:rsidRDefault="002406E3">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shd w:val="clear" w:color="auto" w:fill="auto"/>
          </w:tcPr>
          <w:p w14:paraId="0AC63867" w14:textId="77777777" w:rsidR="002406E3" w:rsidRPr="00890AEB" w:rsidRDefault="002406E3">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shd w:val="clear" w:color="auto" w:fill="auto"/>
            <w:vAlign w:val="center"/>
          </w:tcPr>
          <w:p w14:paraId="716E8A8D" w14:textId="77777777" w:rsidR="002406E3" w:rsidRPr="00890AEB" w:rsidRDefault="002406E3">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shd w:val="clear" w:color="auto" w:fill="auto"/>
            <w:vAlign w:val="center"/>
          </w:tcPr>
          <w:p w14:paraId="38C639D6" w14:textId="77777777" w:rsidR="002406E3" w:rsidRPr="00A47279" w:rsidRDefault="002406E3">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shd w:val="clear" w:color="auto" w:fill="auto"/>
            <w:vAlign w:val="center"/>
          </w:tcPr>
          <w:p w14:paraId="27A58EE6" w14:textId="77777777" w:rsidR="002406E3" w:rsidRPr="00A47279" w:rsidRDefault="002406E3">
            <w:pPr>
              <w:keepNext/>
              <w:keepLines/>
              <w:spacing w:before="40" w:after="40"/>
              <w:jc w:val="center"/>
              <w:rPr>
                <w:rFonts w:ascii="Arial" w:hAnsi="Arial" w:cs="Arial"/>
                <w:b/>
                <w:spacing w:val="-2"/>
                <w:sz w:val="14"/>
                <w:szCs w:val="14"/>
              </w:rPr>
            </w:pPr>
            <w:proofErr w:type="spellStart"/>
            <w:r w:rsidRPr="00A47279">
              <w:rPr>
                <w:rFonts w:ascii="Arial" w:hAnsi="Arial" w:cs="Arial"/>
                <w:b/>
                <w:spacing w:val="-2"/>
                <w:sz w:val="14"/>
                <w:szCs w:val="14"/>
              </w:rPr>
              <w:t>Consolid</w:t>
            </w:r>
            <w:r>
              <w:rPr>
                <w:rFonts w:ascii="Arial" w:hAnsi="Arial" w:cs="Arial"/>
                <w:b/>
                <w:spacing w:val="-2"/>
                <w:sz w:val="14"/>
                <w:szCs w:val="14"/>
              </w:rPr>
              <w:t>ated</w:t>
            </w:r>
            <w:proofErr w:type="spellEnd"/>
          </w:p>
        </w:tc>
      </w:tr>
      <w:tr w:rsidR="002406E3" w:rsidRPr="00A47279" w14:paraId="44231F20" w14:textId="77777777">
        <w:trPr>
          <w:trHeight w:val="238"/>
        </w:trPr>
        <w:tc>
          <w:tcPr>
            <w:tcW w:w="3050" w:type="dxa"/>
            <w:gridSpan w:val="2"/>
            <w:tcBorders>
              <w:top w:val="nil"/>
              <w:bottom w:val="single" w:sz="2" w:space="0" w:color="1F3864" w:themeColor="accent1" w:themeShade="80"/>
            </w:tcBorders>
            <w:shd w:val="clear" w:color="auto" w:fill="auto"/>
          </w:tcPr>
          <w:p w14:paraId="4DAF04AA" w14:textId="77777777" w:rsidR="002406E3" w:rsidRPr="00A47279" w:rsidRDefault="002406E3">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shd w:val="clear" w:color="auto" w:fill="auto"/>
          </w:tcPr>
          <w:p w14:paraId="4E52D6A8" w14:textId="77777777" w:rsidR="002406E3" w:rsidRPr="00890AEB" w:rsidRDefault="002406E3">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5B01D042" w14:textId="77777777" w:rsidR="002406E3" w:rsidRPr="00890AEB" w:rsidRDefault="002406E3">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shd w:val="clear" w:color="auto" w:fill="auto"/>
            <w:vAlign w:val="center"/>
          </w:tcPr>
          <w:p w14:paraId="6F9F5D06" w14:textId="77777777" w:rsidR="002406E3" w:rsidRPr="00890AEB" w:rsidRDefault="002406E3">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shd w:val="clear" w:color="auto" w:fill="auto"/>
            <w:vAlign w:val="center"/>
          </w:tcPr>
          <w:p w14:paraId="4FC0A258" w14:textId="77777777" w:rsidR="002406E3" w:rsidRPr="00A47279" w:rsidRDefault="002406E3">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shd w:val="clear" w:color="auto" w:fill="auto"/>
            <w:vAlign w:val="center"/>
          </w:tcPr>
          <w:p w14:paraId="2C20EADA" w14:textId="77777777" w:rsidR="002406E3" w:rsidRPr="00A47279" w:rsidRDefault="002406E3">
            <w:pPr>
              <w:keepNext/>
              <w:keepLines/>
              <w:spacing w:before="40" w:after="40"/>
              <w:jc w:val="right"/>
              <w:rPr>
                <w:rFonts w:ascii="Arial" w:hAnsi="Arial" w:cs="Arial"/>
                <w:b/>
                <w:spacing w:val="-2"/>
                <w:sz w:val="14"/>
                <w:szCs w:val="18"/>
              </w:rPr>
            </w:pPr>
            <w:r>
              <w:rPr>
                <w:rFonts w:ascii="Arial" w:hAnsi="Arial" w:cs="Arial"/>
                <w:b/>
                <w:spacing w:val="-2"/>
                <w:sz w:val="14"/>
                <w:szCs w:val="18"/>
              </w:rPr>
              <w:t>2024</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05DE81B8" w14:textId="77777777" w:rsidR="002406E3" w:rsidRPr="00A47279" w:rsidRDefault="002406E3">
            <w:pPr>
              <w:keepNext/>
              <w:keepLines/>
              <w:spacing w:before="40" w:after="40"/>
              <w:jc w:val="right"/>
              <w:rPr>
                <w:rFonts w:ascii="Arial" w:hAnsi="Arial" w:cs="Arial"/>
                <w:b/>
                <w:spacing w:val="-2"/>
                <w:sz w:val="14"/>
                <w:szCs w:val="18"/>
              </w:rPr>
            </w:pPr>
            <w:r w:rsidRPr="00C70F5B">
              <w:rPr>
                <w:rFonts w:ascii="Arial" w:hAnsi="Arial" w:cs="Arial"/>
                <w:b/>
                <w:spacing w:val="-2"/>
                <w:sz w:val="14"/>
                <w:szCs w:val="18"/>
              </w:rPr>
              <w:t>202</w:t>
            </w:r>
            <w:r>
              <w:rPr>
                <w:rFonts w:ascii="Arial" w:hAnsi="Arial" w:cs="Arial"/>
                <w:b/>
                <w:spacing w:val="-2"/>
                <w:sz w:val="14"/>
                <w:szCs w:val="18"/>
              </w:rPr>
              <w:t>3</w:t>
            </w:r>
          </w:p>
        </w:tc>
      </w:tr>
      <w:tr w:rsidR="002406E3" w:rsidRPr="00A47279" w14:paraId="4F20E651" w14:textId="77777777">
        <w:trPr>
          <w:trHeight w:val="238"/>
        </w:trPr>
        <w:tc>
          <w:tcPr>
            <w:tcW w:w="3050" w:type="dxa"/>
            <w:gridSpan w:val="2"/>
            <w:tcBorders>
              <w:top w:val="single" w:sz="2" w:space="0" w:color="1F3864" w:themeColor="accent1" w:themeShade="80"/>
              <w:bottom w:val="nil"/>
            </w:tcBorders>
            <w:shd w:val="clear" w:color="auto" w:fill="auto"/>
            <w:vAlign w:val="center"/>
          </w:tcPr>
          <w:p w14:paraId="126DD9B5" w14:textId="77777777" w:rsidR="002406E3" w:rsidRPr="00496EA7" w:rsidRDefault="002406E3">
            <w:pPr>
              <w:pStyle w:val="08-Tabelageral"/>
              <w:jc w:val="left"/>
              <w:rPr>
                <w:rFonts w:cs="Arial"/>
                <w:b/>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595" w:type="dxa"/>
            <w:tcBorders>
              <w:top w:val="single" w:sz="2" w:space="0" w:color="1F3864" w:themeColor="accent1" w:themeShade="80"/>
              <w:bottom w:val="nil"/>
            </w:tcBorders>
            <w:shd w:val="clear" w:color="auto" w:fill="auto"/>
          </w:tcPr>
          <w:p w14:paraId="1B45A862" w14:textId="77777777" w:rsidR="002406E3" w:rsidRPr="00890AEB" w:rsidRDefault="002406E3">
            <w:pPr>
              <w:pStyle w:val="08-Tabelageral"/>
              <w:rPr>
                <w:rFonts w:cs="Arial"/>
                <w:bCs/>
                <w:szCs w:val="14"/>
              </w:rPr>
            </w:pPr>
          </w:p>
        </w:tc>
        <w:tc>
          <w:tcPr>
            <w:tcW w:w="1397" w:type="dxa"/>
            <w:gridSpan w:val="2"/>
            <w:tcBorders>
              <w:top w:val="single" w:sz="2" w:space="0" w:color="1F3864" w:themeColor="accent1" w:themeShade="80"/>
              <w:bottom w:val="nil"/>
            </w:tcBorders>
            <w:shd w:val="clear" w:color="auto" w:fill="auto"/>
            <w:vAlign w:val="center"/>
          </w:tcPr>
          <w:p w14:paraId="5A5970D8" w14:textId="77777777" w:rsidR="002406E3" w:rsidRPr="00496EA7" w:rsidRDefault="002406E3">
            <w:pPr>
              <w:pStyle w:val="08-Tabelageral"/>
              <w:rPr>
                <w:rFonts w:cs="Arial"/>
              </w:rPr>
            </w:pPr>
          </w:p>
        </w:tc>
        <w:tc>
          <w:tcPr>
            <w:tcW w:w="1400" w:type="dxa"/>
            <w:tcBorders>
              <w:top w:val="single" w:sz="2" w:space="0" w:color="1F3864" w:themeColor="accent1" w:themeShade="80"/>
              <w:bottom w:val="nil"/>
            </w:tcBorders>
            <w:shd w:val="clear" w:color="auto" w:fill="auto"/>
            <w:vAlign w:val="center"/>
          </w:tcPr>
          <w:p w14:paraId="344B05FB" w14:textId="77777777" w:rsidR="002406E3" w:rsidRPr="00496EA7" w:rsidRDefault="002406E3">
            <w:pPr>
              <w:pStyle w:val="08-Tabelageral"/>
              <w:rPr>
                <w:rFonts w:cs="Arial"/>
              </w:rPr>
            </w:pPr>
          </w:p>
        </w:tc>
        <w:tc>
          <w:tcPr>
            <w:tcW w:w="282" w:type="dxa"/>
            <w:gridSpan w:val="2"/>
            <w:tcBorders>
              <w:top w:val="single" w:sz="2" w:space="0" w:color="1F3864" w:themeColor="accent1" w:themeShade="80"/>
              <w:bottom w:val="nil"/>
            </w:tcBorders>
            <w:shd w:val="clear" w:color="auto" w:fill="auto"/>
            <w:vAlign w:val="center"/>
          </w:tcPr>
          <w:p w14:paraId="3D313D29" w14:textId="77777777" w:rsidR="002406E3" w:rsidRPr="00496EA7" w:rsidRDefault="002406E3">
            <w:pPr>
              <w:pStyle w:val="08-Tabelageral"/>
              <w:rPr>
                <w:rFonts w:cs="Arial"/>
              </w:rPr>
            </w:pPr>
          </w:p>
        </w:tc>
        <w:tc>
          <w:tcPr>
            <w:tcW w:w="1404" w:type="dxa"/>
            <w:tcBorders>
              <w:top w:val="single" w:sz="2" w:space="0" w:color="1F3864" w:themeColor="accent1" w:themeShade="80"/>
              <w:bottom w:val="nil"/>
            </w:tcBorders>
            <w:shd w:val="clear" w:color="auto" w:fill="auto"/>
          </w:tcPr>
          <w:p w14:paraId="2504129B" w14:textId="77777777" w:rsidR="002406E3" w:rsidRPr="007C0ADC" w:rsidRDefault="002406E3">
            <w:pPr>
              <w:pStyle w:val="08-Tabelageral"/>
              <w:rPr>
                <w:rFonts w:cs="Arial"/>
                <w:b/>
                <w:bCs/>
              </w:rPr>
            </w:pPr>
            <w:r>
              <w:rPr>
                <w:rFonts w:cs="Arial"/>
                <w:b/>
                <w:bCs/>
              </w:rPr>
              <w:t>5,644,619</w:t>
            </w:r>
          </w:p>
        </w:tc>
        <w:tc>
          <w:tcPr>
            <w:tcW w:w="1511" w:type="dxa"/>
            <w:tcBorders>
              <w:top w:val="single" w:sz="2" w:space="0" w:color="1F3864" w:themeColor="accent1" w:themeShade="80"/>
              <w:bottom w:val="nil"/>
            </w:tcBorders>
            <w:shd w:val="clear" w:color="auto" w:fill="auto"/>
          </w:tcPr>
          <w:p w14:paraId="284A8D71" w14:textId="77777777" w:rsidR="002406E3" w:rsidRPr="007C0ADC" w:rsidRDefault="002406E3">
            <w:pPr>
              <w:pStyle w:val="08-Tabelageral"/>
              <w:rPr>
                <w:rFonts w:cs="Arial"/>
                <w:highlight w:val="yellow"/>
              </w:rPr>
            </w:pPr>
            <w:r>
              <w:rPr>
                <w:rFonts w:cs="Arial"/>
                <w:b/>
                <w:bCs/>
              </w:rPr>
              <w:t>5,145,597</w:t>
            </w:r>
          </w:p>
        </w:tc>
      </w:tr>
      <w:tr w:rsidR="002406E3" w:rsidRPr="00A47279" w14:paraId="4A21DF29" w14:textId="77777777">
        <w:trPr>
          <w:trHeight w:val="238"/>
        </w:trPr>
        <w:tc>
          <w:tcPr>
            <w:tcW w:w="3050" w:type="dxa"/>
            <w:gridSpan w:val="2"/>
            <w:tcBorders>
              <w:top w:val="nil"/>
              <w:bottom w:val="nil"/>
            </w:tcBorders>
            <w:shd w:val="clear" w:color="auto" w:fill="auto"/>
            <w:vAlign w:val="center"/>
          </w:tcPr>
          <w:p w14:paraId="3C308918" w14:textId="77777777" w:rsidR="002406E3" w:rsidRPr="00A47279" w:rsidRDefault="002406E3">
            <w:pPr>
              <w:pStyle w:val="08-Tabelageral"/>
              <w:ind w:left="113"/>
              <w:jc w:val="left"/>
              <w:rPr>
                <w:rFonts w:cs="Arial"/>
                <w:szCs w:val="14"/>
              </w:rPr>
            </w:pPr>
            <w:proofErr w:type="spellStart"/>
            <w:r w:rsidRPr="00BC5A4F">
              <w:t>B</w:t>
            </w:r>
            <w:r>
              <w:t>rasilseg</w:t>
            </w:r>
            <w:proofErr w:type="spellEnd"/>
            <w:r>
              <w:t>/ABS</w:t>
            </w:r>
          </w:p>
        </w:tc>
        <w:tc>
          <w:tcPr>
            <w:tcW w:w="595" w:type="dxa"/>
            <w:tcBorders>
              <w:top w:val="nil"/>
            </w:tcBorders>
            <w:shd w:val="clear" w:color="auto" w:fill="auto"/>
          </w:tcPr>
          <w:p w14:paraId="2D082520"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2C851A70"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0953FE0D"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7645F782" w14:textId="77777777" w:rsidR="002406E3" w:rsidRPr="00496EA7" w:rsidRDefault="002406E3">
            <w:pPr>
              <w:pStyle w:val="08-Tabelageral"/>
              <w:rPr>
                <w:rFonts w:cs="Arial"/>
              </w:rPr>
            </w:pPr>
          </w:p>
        </w:tc>
        <w:tc>
          <w:tcPr>
            <w:tcW w:w="1404" w:type="dxa"/>
            <w:tcBorders>
              <w:top w:val="nil"/>
              <w:bottom w:val="nil"/>
            </w:tcBorders>
            <w:shd w:val="clear" w:color="auto" w:fill="auto"/>
          </w:tcPr>
          <w:p w14:paraId="75353EAB" w14:textId="77777777" w:rsidR="002406E3" w:rsidRPr="007C0ADC" w:rsidRDefault="002406E3">
            <w:pPr>
              <w:pStyle w:val="08-Tabelageral"/>
              <w:rPr>
                <w:rFonts w:cs="Arial"/>
                <w:highlight w:val="yellow"/>
              </w:rPr>
            </w:pPr>
            <w:r w:rsidRPr="00244C22">
              <w:rPr>
                <w:rFonts w:cs="Arial"/>
              </w:rPr>
              <w:t>4</w:t>
            </w:r>
            <w:r>
              <w:rPr>
                <w:rFonts w:cs="Arial"/>
              </w:rPr>
              <w:t>,</w:t>
            </w:r>
            <w:r w:rsidRPr="00244C22">
              <w:rPr>
                <w:rFonts w:cs="Arial"/>
              </w:rPr>
              <w:t>272</w:t>
            </w:r>
            <w:r>
              <w:rPr>
                <w:rFonts w:cs="Arial"/>
              </w:rPr>
              <w:t>,</w:t>
            </w:r>
            <w:r w:rsidRPr="00244C22">
              <w:rPr>
                <w:rFonts w:cs="Arial"/>
              </w:rPr>
              <w:t>027</w:t>
            </w:r>
          </w:p>
        </w:tc>
        <w:tc>
          <w:tcPr>
            <w:tcW w:w="1511" w:type="dxa"/>
            <w:tcBorders>
              <w:top w:val="nil"/>
              <w:bottom w:val="nil"/>
            </w:tcBorders>
            <w:shd w:val="clear" w:color="auto" w:fill="auto"/>
          </w:tcPr>
          <w:p w14:paraId="16B21D7C" w14:textId="77777777" w:rsidR="002406E3" w:rsidRPr="007C0ADC" w:rsidRDefault="002406E3">
            <w:pPr>
              <w:pStyle w:val="08-Tabelageral"/>
              <w:rPr>
                <w:rFonts w:cs="Arial"/>
                <w:highlight w:val="yellow"/>
              </w:rPr>
            </w:pPr>
            <w:r>
              <w:rPr>
                <w:rFonts w:cs="Arial"/>
              </w:rPr>
              <w:t>3,818,525</w:t>
            </w:r>
          </w:p>
        </w:tc>
      </w:tr>
      <w:tr w:rsidR="002406E3" w:rsidRPr="00A47279" w14:paraId="79B9F8E6" w14:textId="77777777">
        <w:trPr>
          <w:trHeight w:val="238"/>
        </w:trPr>
        <w:tc>
          <w:tcPr>
            <w:tcW w:w="3050" w:type="dxa"/>
            <w:gridSpan w:val="2"/>
            <w:tcBorders>
              <w:top w:val="nil"/>
              <w:bottom w:val="nil"/>
            </w:tcBorders>
            <w:shd w:val="clear" w:color="auto" w:fill="auto"/>
            <w:vAlign w:val="center"/>
          </w:tcPr>
          <w:p w14:paraId="107AFBD1" w14:textId="77777777" w:rsidR="002406E3" w:rsidRPr="00A47279" w:rsidRDefault="002406E3">
            <w:pPr>
              <w:pStyle w:val="08-Tabelageral"/>
              <w:ind w:left="113"/>
              <w:jc w:val="left"/>
              <w:rPr>
                <w:rFonts w:cs="Arial"/>
                <w:szCs w:val="14"/>
              </w:rPr>
            </w:pPr>
            <w:r w:rsidRPr="00BC5A4F">
              <w:t>Brasilprev</w:t>
            </w:r>
            <w:r>
              <w:t xml:space="preserve"> </w:t>
            </w:r>
            <w:r w:rsidRPr="00BC5A4F">
              <w:rPr>
                <w:vertAlign w:val="superscript"/>
              </w:rPr>
              <w:t>(1)</w:t>
            </w:r>
          </w:p>
        </w:tc>
        <w:tc>
          <w:tcPr>
            <w:tcW w:w="595" w:type="dxa"/>
            <w:tcBorders>
              <w:top w:val="nil"/>
            </w:tcBorders>
            <w:shd w:val="clear" w:color="auto" w:fill="auto"/>
          </w:tcPr>
          <w:p w14:paraId="591B452F"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063A0820"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7B566440"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3C50E708" w14:textId="77777777" w:rsidR="002406E3" w:rsidRPr="00496EA7" w:rsidRDefault="002406E3">
            <w:pPr>
              <w:pStyle w:val="08-Tabelageral"/>
              <w:rPr>
                <w:rFonts w:cs="Arial"/>
              </w:rPr>
            </w:pPr>
          </w:p>
        </w:tc>
        <w:tc>
          <w:tcPr>
            <w:tcW w:w="1404" w:type="dxa"/>
            <w:tcBorders>
              <w:top w:val="nil"/>
              <w:bottom w:val="nil"/>
            </w:tcBorders>
            <w:shd w:val="clear" w:color="auto" w:fill="auto"/>
          </w:tcPr>
          <w:p w14:paraId="06BBFA72" w14:textId="77777777" w:rsidR="002406E3" w:rsidRPr="007C0ADC" w:rsidRDefault="002406E3">
            <w:pPr>
              <w:pStyle w:val="08-Tabelageral"/>
              <w:rPr>
                <w:rFonts w:cs="Arial"/>
                <w:highlight w:val="yellow"/>
              </w:rPr>
            </w:pPr>
            <w:r w:rsidRPr="00244C22">
              <w:rPr>
                <w:rFonts w:cs="Arial"/>
              </w:rPr>
              <w:t>689</w:t>
            </w:r>
            <w:r>
              <w:rPr>
                <w:rFonts w:cs="Arial"/>
              </w:rPr>
              <w:t>,</w:t>
            </w:r>
            <w:r w:rsidRPr="00244C22">
              <w:rPr>
                <w:rFonts w:cs="Arial"/>
              </w:rPr>
              <w:t>174</w:t>
            </w:r>
          </w:p>
        </w:tc>
        <w:tc>
          <w:tcPr>
            <w:tcW w:w="1511" w:type="dxa"/>
            <w:tcBorders>
              <w:top w:val="nil"/>
              <w:bottom w:val="nil"/>
            </w:tcBorders>
            <w:shd w:val="clear" w:color="auto" w:fill="auto"/>
          </w:tcPr>
          <w:p w14:paraId="7483A766" w14:textId="77777777" w:rsidR="002406E3" w:rsidRPr="007C0ADC" w:rsidRDefault="002406E3">
            <w:pPr>
              <w:pStyle w:val="08-Tabelageral"/>
              <w:rPr>
                <w:rFonts w:cs="Arial"/>
                <w:highlight w:val="yellow"/>
              </w:rPr>
            </w:pPr>
            <w:r>
              <w:rPr>
                <w:rFonts w:cs="Arial"/>
              </w:rPr>
              <w:t>649,701</w:t>
            </w:r>
          </w:p>
        </w:tc>
      </w:tr>
      <w:tr w:rsidR="002406E3" w:rsidRPr="00A47279" w14:paraId="46B240C0" w14:textId="77777777">
        <w:trPr>
          <w:trHeight w:val="238"/>
        </w:trPr>
        <w:tc>
          <w:tcPr>
            <w:tcW w:w="3050" w:type="dxa"/>
            <w:gridSpan w:val="2"/>
            <w:tcBorders>
              <w:top w:val="nil"/>
              <w:bottom w:val="nil"/>
            </w:tcBorders>
            <w:shd w:val="clear" w:color="auto" w:fill="auto"/>
            <w:vAlign w:val="center"/>
          </w:tcPr>
          <w:p w14:paraId="6E8E91B4" w14:textId="77777777" w:rsidR="002406E3" w:rsidRPr="00A47279" w:rsidRDefault="002406E3">
            <w:pPr>
              <w:pStyle w:val="08-Tabelageral"/>
              <w:ind w:left="113"/>
              <w:jc w:val="left"/>
              <w:rPr>
                <w:rFonts w:cs="Arial"/>
                <w:szCs w:val="14"/>
              </w:rPr>
            </w:pPr>
            <w:proofErr w:type="spellStart"/>
            <w:r>
              <w:rPr>
                <w:rFonts w:cs="Arial"/>
                <w:szCs w:val="14"/>
              </w:rPr>
              <w:t>Brasilcap</w:t>
            </w:r>
            <w:proofErr w:type="spellEnd"/>
          </w:p>
        </w:tc>
        <w:tc>
          <w:tcPr>
            <w:tcW w:w="595" w:type="dxa"/>
            <w:tcBorders>
              <w:top w:val="nil"/>
            </w:tcBorders>
            <w:shd w:val="clear" w:color="auto" w:fill="auto"/>
          </w:tcPr>
          <w:p w14:paraId="6E7893DC"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tcPr>
          <w:p w14:paraId="22CD474D" w14:textId="77777777" w:rsidR="002406E3" w:rsidRPr="00496EA7" w:rsidRDefault="002406E3">
            <w:pPr>
              <w:pStyle w:val="08-Tabelageral"/>
              <w:rPr>
                <w:rFonts w:cs="Arial"/>
              </w:rPr>
            </w:pPr>
          </w:p>
        </w:tc>
        <w:tc>
          <w:tcPr>
            <w:tcW w:w="1400" w:type="dxa"/>
            <w:tcBorders>
              <w:top w:val="nil"/>
              <w:bottom w:val="nil"/>
            </w:tcBorders>
            <w:shd w:val="clear" w:color="auto" w:fill="auto"/>
          </w:tcPr>
          <w:p w14:paraId="38350980"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65BA33A3" w14:textId="77777777" w:rsidR="002406E3" w:rsidRPr="00496EA7" w:rsidRDefault="002406E3">
            <w:pPr>
              <w:pStyle w:val="08-Tabelageral"/>
              <w:rPr>
                <w:rFonts w:cs="Arial"/>
              </w:rPr>
            </w:pPr>
          </w:p>
        </w:tc>
        <w:tc>
          <w:tcPr>
            <w:tcW w:w="1404" w:type="dxa"/>
            <w:tcBorders>
              <w:top w:val="nil"/>
              <w:bottom w:val="nil"/>
            </w:tcBorders>
            <w:shd w:val="clear" w:color="auto" w:fill="auto"/>
          </w:tcPr>
          <w:p w14:paraId="335BE0A3" w14:textId="7098CA42" w:rsidR="002406E3" w:rsidRPr="007C0ADC" w:rsidRDefault="002406E3">
            <w:pPr>
              <w:pStyle w:val="08-Tabelageral"/>
              <w:rPr>
                <w:rFonts w:cs="Arial"/>
                <w:highlight w:val="yellow"/>
              </w:rPr>
            </w:pPr>
            <w:r w:rsidRPr="00244C22">
              <w:rPr>
                <w:rFonts w:cs="Arial"/>
              </w:rPr>
              <w:t>5</w:t>
            </w:r>
            <w:r w:rsidR="00734C87">
              <w:rPr>
                <w:rFonts w:cs="Arial"/>
              </w:rPr>
              <w:t>16</w:t>
            </w:r>
            <w:r>
              <w:rPr>
                <w:rFonts w:cs="Arial"/>
              </w:rPr>
              <w:t>,</w:t>
            </w:r>
            <w:r w:rsidR="00734C87">
              <w:rPr>
                <w:rFonts w:cs="Arial"/>
              </w:rPr>
              <w:t>088</w:t>
            </w:r>
          </w:p>
        </w:tc>
        <w:tc>
          <w:tcPr>
            <w:tcW w:w="1511" w:type="dxa"/>
            <w:tcBorders>
              <w:top w:val="nil"/>
              <w:bottom w:val="nil"/>
            </w:tcBorders>
            <w:shd w:val="clear" w:color="auto" w:fill="auto"/>
          </w:tcPr>
          <w:p w14:paraId="66C5A0AF" w14:textId="77777777" w:rsidR="002406E3" w:rsidRPr="007C0ADC" w:rsidRDefault="002406E3">
            <w:pPr>
              <w:pStyle w:val="08-Tabelageral"/>
              <w:rPr>
                <w:rFonts w:cs="Arial"/>
                <w:highlight w:val="yellow"/>
              </w:rPr>
            </w:pPr>
            <w:r>
              <w:rPr>
                <w:rFonts w:cs="Arial"/>
              </w:rPr>
              <w:t>487,593</w:t>
            </w:r>
          </w:p>
        </w:tc>
      </w:tr>
      <w:tr w:rsidR="002406E3" w:rsidRPr="00A47279" w14:paraId="5A74805A" w14:textId="77777777">
        <w:trPr>
          <w:trHeight w:val="238"/>
        </w:trPr>
        <w:tc>
          <w:tcPr>
            <w:tcW w:w="3050" w:type="dxa"/>
            <w:gridSpan w:val="2"/>
            <w:tcBorders>
              <w:top w:val="nil"/>
              <w:bottom w:val="nil"/>
            </w:tcBorders>
            <w:shd w:val="clear" w:color="auto" w:fill="auto"/>
            <w:vAlign w:val="center"/>
          </w:tcPr>
          <w:p w14:paraId="3F6AE429" w14:textId="77777777" w:rsidR="002406E3" w:rsidRPr="00A47279" w:rsidRDefault="002406E3">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95" w:type="dxa"/>
            <w:tcBorders>
              <w:top w:val="nil"/>
            </w:tcBorders>
            <w:shd w:val="clear" w:color="auto" w:fill="auto"/>
          </w:tcPr>
          <w:p w14:paraId="02BFCDA4"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1340D0C4"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3895ADEC"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613E027C" w14:textId="77777777" w:rsidR="002406E3" w:rsidRPr="00496EA7" w:rsidRDefault="002406E3">
            <w:pPr>
              <w:pStyle w:val="08-Tabelageral"/>
              <w:rPr>
                <w:rFonts w:cs="Arial"/>
              </w:rPr>
            </w:pPr>
          </w:p>
        </w:tc>
        <w:tc>
          <w:tcPr>
            <w:tcW w:w="1404" w:type="dxa"/>
            <w:tcBorders>
              <w:top w:val="nil"/>
              <w:bottom w:val="nil"/>
            </w:tcBorders>
            <w:shd w:val="clear" w:color="auto" w:fill="auto"/>
          </w:tcPr>
          <w:p w14:paraId="22F24164" w14:textId="6B5316CB" w:rsidR="002406E3" w:rsidRPr="007C0ADC" w:rsidRDefault="002406E3">
            <w:pPr>
              <w:pStyle w:val="08-Tabelageral"/>
              <w:rPr>
                <w:rFonts w:cs="Arial"/>
                <w:highlight w:val="yellow"/>
              </w:rPr>
            </w:pPr>
            <w:r w:rsidRPr="00244C22">
              <w:rPr>
                <w:rFonts w:cs="Arial"/>
              </w:rPr>
              <w:t>1</w:t>
            </w:r>
            <w:r w:rsidR="00FA5BFD">
              <w:rPr>
                <w:rFonts w:cs="Arial"/>
              </w:rPr>
              <w:t>57</w:t>
            </w:r>
            <w:r>
              <w:rPr>
                <w:rFonts w:cs="Arial"/>
              </w:rPr>
              <w:t>,</w:t>
            </w:r>
            <w:r w:rsidR="00FA5BFD">
              <w:rPr>
                <w:rFonts w:cs="Arial"/>
              </w:rPr>
              <w:t>019</w:t>
            </w:r>
          </w:p>
        </w:tc>
        <w:tc>
          <w:tcPr>
            <w:tcW w:w="1511" w:type="dxa"/>
            <w:tcBorders>
              <w:top w:val="nil"/>
              <w:bottom w:val="nil"/>
            </w:tcBorders>
            <w:shd w:val="clear" w:color="auto" w:fill="auto"/>
          </w:tcPr>
          <w:p w14:paraId="42C353D9" w14:textId="77777777" w:rsidR="002406E3" w:rsidRPr="007C0ADC" w:rsidRDefault="002406E3">
            <w:pPr>
              <w:pStyle w:val="08-Tabelageral"/>
              <w:rPr>
                <w:rFonts w:cs="Arial"/>
                <w:highlight w:val="yellow"/>
              </w:rPr>
            </w:pPr>
            <w:r>
              <w:rPr>
                <w:rFonts w:cs="Arial"/>
              </w:rPr>
              <w:t>180,936</w:t>
            </w:r>
          </w:p>
        </w:tc>
      </w:tr>
      <w:tr w:rsidR="002406E3" w:rsidRPr="00A47279" w14:paraId="2D2439F4" w14:textId="77777777">
        <w:trPr>
          <w:trHeight w:val="238"/>
        </w:trPr>
        <w:tc>
          <w:tcPr>
            <w:tcW w:w="3050" w:type="dxa"/>
            <w:gridSpan w:val="2"/>
            <w:tcBorders>
              <w:top w:val="nil"/>
              <w:bottom w:val="nil"/>
            </w:tcBorders>
            <w:shd w:val="clear" w:color="auto" w:fill="auto"/>
            <w:vAlign w:val="center"/>
          </w:tcPr>
          <w:p w14:paraId="426CD257" w14:textId="77777777" w:rsidR="002406E3" w:rsidRPr="00A47279" w:rsidRDefault="002406E3">
            <w:pPr>
              <w:pStyle w:val="08-Tabelageral"/>
              <w:ind w:left="113"/>
              <w:jc w:val="left"/>
              <w:rPr>
                <w:rFonts w:cs="Arial"/>
                <w:szCs w:val="14"/>
              </w:rPr>
            </w:pPr>
            <w:proofErr w:type="spellStart"/>
            <w:r>
              <w:t>Others</w:t>
            </w:r>
            <w:proofErr w:type="spellEnd"/>
          </w:p>
        </w:tc>
        <w:tc>
          <w:tcPr>
            <w:tcW w:w="595" w:type="dxa"/>
            <w:tcBorders>
              <w:top w:val="nil"/>
            </w:tcBorders>
            <w:shd w:val="clear" w:color="auto" w:fill="auto"/>
          </w:tcPr>
          <w:p w14:paraId="63CE1EAF"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757BF98F"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3021E8EC"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1FF176E2" w14:textId="77777777" w:rsidR="002406E3" w:rsidRPr="00496EA7" w:rsidRDefault="002406E3">
            <w:pPr>
              <w:pStyle w:val="08-Tabelageral"/>
              <w:rPr>
                <w:rFonts w:cs="Arial"/>
              </w:rPr>
            </w:pPr>
          </w:p>
        </w:tc>
        <w:tc>
          <w:tcPr>
            <w:tcW w:w="1404" w:type="dxa"/>
            <w:tcBorders>
              <w:top w:val="nil"/>
              <w:bottom w:val="nil"/>
            </w:tcBorders>
            <w:shd w:val="clear" w:color="auto" w:fill="auto"/>
          </w:tcPr>
          <w:p w14:paraId="0D6A8B14" w14:textId="77777777" w:rsidR="002406E3" w:rsidRPr="007C0ADC" w:rsidRDefault="002406E3">
            <w:pPr>
              <w:pStyle w:val="08-Tabelageral"/>
              <w:rPr>
                <w:rFonts w:cs="Arial"/>
                <w:highlight w:val="yellow"/>
              </w:rPr>
            </w:pPr>
            <w:r w:rsidRPr="00244C22">
              <w:rPr>
                <w:rFonts w:cs="Arial"/>
              </w:rPr>
              <w:t>10</w:t>
            </w:r>
            <w:r>
              <w:rPr>
                <w:rFonts w:cs="Arial"/>
              </w:rPr>
              <w:t>,</w:t>
            </w:r>
            <w:r w:rsidRPr="00244C22">
              <w:rPr>
                <w:rFonts w:cs="Arial"/>
              </w:rPr>
              <w:t>311</w:t>
            </w:r>
          </w:p>
        </w:tc>
        <w:tc>
          <w:tcPr>
            <w:tcW w:w="1511" w:type="dxa"/>
            <w:tcBorders>
              <w:top w:val="nil"/>
              <w:bottom w:val="nil"/>
            </w:tcBorders>
            <w:shd w:val="clear" w:color="auto" w:fill="auto"/>
          </w:tcPr>
          <w:p w14:paraId="4B6642F9" w14:textId="77777777" w:rsidR="002406E3" w:rsidRPr="007C0ADC" w:rsidRDefault="002406E3">
            <w:pPr>
              <w:pStyle w:val="08-Tabelageral"/>
              <w:rPr>
                <w:rFonts w:cs="Arial"/>
                <w:highlight w:val="yellow"/>
              </w:rPr>
            </w:pPr>
            <w:r>
              <w:rPr>
                <w:rFonts w:cs="Arial"/>
              </w:rPr>
              <w:t>8,842</w:t>
            </w:r>
          </w:p>
        </w:tc>
      </w:tr>
      <w:tr w:rsidR="002406E3" w:rsidRPr="00A47279" w14:paraId="23B123CC" w14:textId="77777777">
        <w:trPr>
          <w:trHeight w:val="238"/>
        </w:trPr>
        <w:tc>
          <w:tcPr>
            <w:tcW w:w="3050" w:type="dxa"/>
            <w:gridSpan w:val="2"/>
            <w:tcBorders>
              <w:top w:val="nil"/>
              <w:bottom w:val="nil"/>
            </w:tcBorders>
            <w:shd w:val="clear" w:color="auto" w:fill="auto"/>
            <w:vAlign w:val="center"/>
          </w:tcPr>
          <w:p w14:paraId="61D003E8" w14:textId="77777777" w:rsidR="002406E3" w:rsidRPr="00BC5A4F" w:rsidRDefault="002406E3">
            <w:pPr>
              <w:pStyle w:val="08-Tabelageral"/>
              <w:jc w:val="left"/>
            </w:pPr>
            <w:proofErr w:type="spellStart"/>
            <w:r w:rsidRPr="00C70F5B">
              <w:rPr>
                <w:b/>
              </w:rPr>
              <w:t>Cancellations</w:t>
            </w:r>
            <w:proofErr w:type="spellEnd"/>
          </w:p>
        </w:tc>
        <w:tc>
          <w:tcPr>
            <w:tcW w:w="595" w:type="dxa"/>
            <w:tcBorders>
              <w:top w:val="nil"/>
            </w:tcBorders>
            <w:shd w:val="clear" w:color="auto" w:fill="auto"/>
          </w:tcPr>
          <w:p w14:paraId="0432B2F4"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2807DBB0"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5083A662"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6592E753" w14:textId="77777777" w:rsidR="002406E3" w:rsidRPr="00496EA7" w:rsidRDefault="002406E3">
            <w:pPr>
              <w:pStyle w:val="08-Tabelageral"/>
              <w:rPr>
                <w:rFonts w:cs="Arial"/>
              </w:rPr>
            </w:pPr>
          </w:p>
        </w:tc>
        <w:tc>
          <w:tcPr>
            <w:tcW w:w="1404" w:type="dxa"/>
            <w:tcBorders>
              <w:top w:val="nil"/>
              <w:bottom w:val="nil"/>
            </w:tcBorders>
            <w:shd w:val="clear" w:color="auto" w:fill="auto"/>
          </w:tcPr>
          <w:p w14:paraId="4FC1404E" w14:textId="77777777" w:rsidR="002406E3" w:rsidRPr="007C0ADC" w:rsidRDefault="002406E3">
            <w:pPr>
              <w:pStyle w:val="08-Tabelageral"/>
              <w:rPr>
                <w:rFonts w:cs="Arial"/>
                <w:highlight w:val="yellow"/>
              </w:rPr>
            </w:pPr>
            <w:r w:rsidRPr="005A1D4C">
              <w:rPr>
                <w:rFonts w:cs="Arial"/>
                <w:b/>
                <w:bCs/>
              </w:rPr>
              <w:t>(138</w:t>
            </w:r>
            <w:r>
              <w:rPr>
                <w:rFonts w:cs="Arial"/>
                <w:b/>
                <w:bCs/>
              </w:rPr>
              <w:t>,</w:t>
            </w:r>
            <w:r w:rsidRPr="005A1D4C">
              <w:rPr>
                <w:rFonts w:cs="Arial"/>
                <w:b/>
                <w:bCs/>
              </w:rPr>
              <w:t>897)</w:t>
            </w:r>
          </w:p>
        </w:tc>
        <w:tc>
          <w:tcPr>
            <w:tcW w:w="1511" w:type="dxa"/>
            <w:tcBorders>
              <w:top w:val="nil"/>
              <w:bottom w:val="nil"/>
            </w:tcBorders>
            <w:shd w:val="clear" w:color="auto" w:fill="auto"/>
          </w:tcPr>
          <w:p w14:paraId="43CCD26B" w14:textId="77777777" w:rsidR="002406E3" w:rsidRPr="007C0ADC" w:rsidRDefault="002406E3">
            <w:pPr>
              <w:pStyle w:val="08-Tabelageral"/>
              <w:rPr>
                <w:rFonts w:cs="Arial"/>
                <w:b/>
                <w:bCs/>
                <w:highlight w:val="yellow"/>
              </w:rPr>
            </w:pPr>
            <w:r w:rsidRPr="00A91B43">
              <w:rPr>
                <w:rFonts w:cs="Arial"/>
                <w:b/>
                <w:bCs/>
              </w:rPr>
              <w:t>(</w:t>
            </w:r>
            <w:r>
              <w:rPr>
                <w:rFonts w:cs="Arial"/>
                <w:b/>
                <w:bCs/>
              </w:rPr>
              <w:t>143,911</w:t>
            </w:r>
            <w:r w:rsidRPr="00A91B43">
              <w:rPr>
                <w:rFonts w:cs="Arial"/>
                <w:b/>
                <w:bCs/>
              </w:rPr>
              <w:t>)</w:t>
            </w:r>
          </w:p>
        </w:tc>
      </w:tr>
      <w:tr w:rsidR="002406E3" w:rsidRPr="00A47279" w14:paraId="0E91EAB5" w14:textId="77777777">
        <w:trPr>
          <w:trHeight w:val="238"/>
        </w:trPr>
        <w:tc>
          <w:tcPr>
            <w:tcW w:w="3050" w:type="dxa"/>
            <w:gridSpan w:val="2"/>
            <w:tcBorders>
              <w:top w:val="nil"/>
              <w:bottom w:val="nil"/>
            </w:tcBorders>
            <w:shd w:val="clear" w:color="auto" w:fill="auto"/>
            <w:vAlign w:val="center"/>
          </w:tcPr>
          <w:p w14:paraId="5DB7032D" w14:textId="77777777" w:rsidR="002406E3" w:rsidRPr="00BC5A4F" w:rsidRDefault="002406E3">
            <w:pPr>
              <w:pStyle w:val="08-Tabelageral"/>
              <w:ind w:left="113"/>
              <w:jc w:val="left"/>
            </w:pPr>
            <w:proofErr w:type="spellStart"/>
            <w:r w:rsidRPr="00BC5A4F">
              <w:t>B</w:t>
            </w:r>
            <w:r>
              <w:t>rasilseg</w:t>
            </w:r>
            <w:proofErr w:type="spellEnd"/>
            <w:r>
              <w:t>/ABS</w:t>
            </w:r>
          </w:p>
        </w:tc>
        <w:tc>
          <w:tcPr>
            <w:tcW w:w="595" w:type="dxa"/>
            <w:tcBorders>
              <w:top w:val="nil"/>
            </w:tcBorders>
            <w:shd w:val="clear" w:color="auto" w:fill="auto"/>
          </w:tcPr>
          <w:p w14:paraId="5101CCC8"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4D1A0306"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79F2EC5F"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7762E7A1" w14:textId="77777777" w:rsidR="002406E3" w:rsidRPr="00496EA7" w:rsidRDefault="002406E3">
            <w:pPr>
              <w:pStyle w:val="08-Tabelageral"/>
              <w:rPr>
                <w:rFonts w:cs="Arial"/>
              </w:rPr>
            </w:pPr>
          </w:p>
        </w:tc>
        <w:tc>
          <w:tcPr>
            <w:tcW w:w="1404" w:type="dxa"/>
            <w:tcBorders>
              <w:top w:val="nil"/>
              <w:bottom w:val="nil"/>
            </w:tcBorders>
            <w:shd w:val="clear" w:color="auto" w:fill="auto"/>
          </w:tcPr>
          <w:p w14:paraId="285CF3B7" w14:textId="77777777" w:rsidR="002406E3" w:rsidRPr="007C0ADC" w:rsidRDefault="002406E3">
            <w:pPr>
              <w:pStyle w:val="08-Tabelageral"/>
              <w:rPr>
                <w:rFonts w:cs="Arial"/>
                <w:highlight w:val="yellow"/>
              </w:rPr>
            </w:pPr>
            <w:r>
              <w:rPr>
                <w:rFonts w:cs="Arial"/>
              </w:rPr>
              <w:t>(82,710)</w:t>
            </w:r>
          </w:p>
        </w:tc>
        <w:tc>
          <w:tcPr>
            <w:tcW w:w="1511" w:type="dxa"/>
            <w:tcBorders>
              <w:top w:val="nil"/>
              <w:bottom w:val="nil"/>
            </w:tcBorders>
            <w:shd w:val="clear" w:color="auto" w:fill="auto"/>
          </w:tcPr>
          <w:p w14:paraId="10FE806F" w14:textId="77777777" w:rsidR="002406E3" w:rsidRPr="007C0ADC" w:rsidRDefault="002406E3">
            <w:pPr>
              <w:pStyle w:val="08-Tabelageral"/>
              <w:rPr>
                <w:rFonts w:cs="Arial"/>
                <w:highlight w:val="yellow"/>
              </w:rPr>
            </w:pPr>
            <w:r>
              <w:rPr>
                <w:rFonts w:cs="Arial"/>
              </w:rPr>
              <w:t>(66,166)</w:t>
            </w:r>
          </w:p>
        </w:tc>
      </w:tr>
      <w:tr w:rsidR="002406E3" w:rsidRPr="00A47279" w14:paraId="5F434459" w14:textId="77777777">
        <w:trPr>
          <w:trHeight w:val="238"/>
        </w:trPr>
        <w:tc>
          <w:tcPr>
            <w:tcW w:w="3050" w:type="dxa"/>
            <w:gridSpan w:val="2"/>
            <w:tcBorders>
              <w:top w:val="nil"/>
              <w:bottom w:val="nil"/>
            </w:tcBorders>
            <w:shd w:val="clear" w:color="auto" w:fill="auto"/>
            <w:vAlign w:val="center"/>
          </w:tcPr>
          <w:p w14:paraId="0EE5E711" w14:textId="77777777" w:rsidR="002406E3" w:rsidRPr="00BC5A4F" w:rsidRDefault="002406E3">
            <w:pPr>
              <w:pStyle w:val="08-Tabelageral"/>
              <w:ind w:left="113"/>
              <w:jc w:val="left"/>
            </w:pPr>
            <w:r w:rsidRPr="00BC5A4F">
              <w:t>Brasilprev</w:t>
            </w:r>
          </w:p>
        </w:tc>
        <w:tc>
          <w:tcPr>
            <w:tcW w:w="595" w:type="dxa"/>
            <w:tcBorders>
              <w:top w:val="nil"/>
            </w:tcBorders>
            <w:shd w:val="clear" w:color="auto" w:fill="auto"/>
          </w:tcPr>
          <w:p w14:paraId="24DE2B54"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7A30F92C"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43D40E03"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392A5AD6" w14:textId="77777777" w:rsidR="002406E3" w:rsidRPr="00496EA7" w:rsidRDefault="002406E3">
            <w:pPr>
              <w:pStyle w:val="08-Tabelageral"/>
              <w:rPr>
                <w:rFonts w:cs="Arial"/>
              </w:rPr>
            </w:pPr>
          </w:p>
        </w:tc>
        <w:tc>
          <w:tcPr>
            <w:tcW w:w="1404" w:type="dxa"/>
            <w:tcBorders>
              <w:top w:val="nil"/>
              <w:bottom w:val="nil"/>
            </w:tcBorders>
            <w:shd w:val="clear" w:color="auto" w:fill="auto"/>
          </w:tcPr>
          <w:p w14:paraId="28EBA41A" w14:textId="77777777" w:rsidR="002406E3" w:rsidRPr="007C0ADC" w:rsidRDefault="002406E3">
            <w:pPr>
              <w:pStyle w:val="08-Tabelageral"/>
              <w:rPr>
                <w:rFonts w:cs="Arial"/>
                <w:highlight w:val="yellow"/>
              </w:rPr>
            </w:pPr>
            <w:r>
              <w:rPr>
                <w:rFonts w:cs="Arial"/>
              </w:rPr>
              <w:t>(48,399)</w:t>
            </w:r>
          </w:p>
        </w:tc>
        <w:tc>
          <w:tcPr>
            <w:tcW w:w="1511" w:type="dxa"/>
            <w:tcBorders>
              <w:top w:val="nil"/>
              <w:bottom w:val="nil"/>
            </w:tcBorders>
            <w:shd w:val="clear" w:color="auto" w:fill="auto"/>
          </w:tcPr>
          <w:p w14:paraId="7303438C" w14:textId="77777777" w:rsidR="002406E3" w:rsidRPr="007C0ADC" w:rsidRDefault="002406E3">
            <w:pPr>
              <w:pStyle w:val="08-Tabelageral"/>
              <w:rPr>
                <w:rFonts w:cs="Arial"/>
                <w:highlight w:val="yellow"/>
              </w:rPr>
            </w:pPr>
            <w:r>
              <w:rPr>
                <w:rFonts w:cs="Arial"/>
              </w:rPr>
              <w:t>(50,832)</w:t>
            </w:r>
          </w:p>
        </w:tc>
      </w:tr>
      <w:tr w:rsidR="002406E3" w:rsidRPr="00A47279" w14:paraId="31C69B7C" w14:textId="77777777">
        <w:trPr>
          <w:trHeight w:val="238"/>
        </w:trPr>
        <w:tc>
          <w:tcPr>
            <w:tcW w:w="3050" w:type="dxa"/>
            <w:gridSpan w:val="2"/>
            <w:tcBorders>
              <w:top w:val="nil"/>
              <w:bottom w:val="nil"/>
            </w:tcBorders>
            <w:shd w:val="clear" w:color="auto" w:fill="auto"/>
            <w:vAlign w:val="center"/>
          </w:tcPr>
          <w:p w14:paraId="32A1F927" w14:textId="77777777" w:rsidR="002406E3" w:rsidRPr="00BC5A4F" w:rsidRDefault="002406E3">
            <w:pPr>
              <w:pStyle w:val="08-Tabelageral"/>
              <w:ind w:left="113"/>
              <w:jc w:val="left"/>
            </w:pPr>
            <w:proofErr w:type="spellStart"/>
            <w:r>
              <w:rPr>
                <w:rFonts w:cs="Arial"/>
                <w:szCs w:val="14"/>
              </w:rPr>
              <w:t>Brasilcap</w:t>
            </w:r>
            <w:proofErr w:type="spellEnd"/>
          </w:p>
        </w:tc>
        <w:tc>
          <w:tcPr>
            <w:tcW w:w="595" w:type="dxa"/>
            <w:tcBorders>
              <w:top w:val="nil"/>
            </w:tcBorders>
            <w:shd w:val="clear" w:color="auto" w:fill="auto"/>
          </w:tcPr>
          <w:p w14:paraId="0AE01973"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523D00CE"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0954C93D"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14B8D9F1" w14:textId="77777777" w:rsidR="002406E3" w:rsidRPr="00496EA7" w:rsidRDefault="002406E3">
            <w:pPr>
              <w:pStyle w:val="08-Tabelageral"/>
              <w:rPr>
                <w:rFonts w:cs="Arial"/>
              </w:rPr>
            </w:pPr>
          </w:p>
        </w:tc>
        <w:tc>
          <w:tcPr>
            <w:tcW w:w="1404" w:type="dxa"/>
            <w:tcBorders>
              <w:top w:val="nil"/>
              <w:bottom w:val="nil"/>
            </w:tcBorders>
            <w:shd w:val="clear" w:color="auto" w:fill="auto"/>
          </w:tcPr>
          <w:p w14:paraId="128DAF8C" w14:textId="77777777" w:rsidR="002406E3" w:rsidRPr="007C0ADC" w:rsidRDefault="002406E3">
            <w:pPr>
              <w:pStyle w:val="08-Tabelageral"/>
              <w:rPr>
                <w:rFonts w:cs="Arial"/>
                <w:highlight w:val="yellow"/>
              </w:rPr>
            </w:pPr>
            <w:r>
              <w:rPr>
                <w:rFonts w:cs="Arial"/>
              </w:rPr>
              <w:t>(6,021)</w:t>
            </w:r>
          </w:p>
        </w:tc>
        <w:tc>
          <w:tcPr>
            <w:tcW w:w="1511" w:type="dxa"/>
            <w:tcBorders>
              <w:top w:val="nil"/>
              <w:bottom w:val="nil"/>
            </w:tcBorders>
            <w:shd w:val="clear" w:color="auto" w:fill="auto"/>
          </w:tcPr>
          <w:p w14:paraId="60943BCA" w14:textId="77777777" w:rsidR="002406E3" w:rsidRPr="007C0ADC" w:rsidRDefault="002406E3">
            <w:pPr>
              <w:pStyle w:val="08-Tabelageral"/>
              <w:rPr>
                <w:rFonts w:cs="Arial"/>
                <w:highlight w:val="yellow"/>
              </w:rPr>
            </w:pPr>
            <w:r>
              <w:rPr>
                <w:rFonts w:cs="Arial"/>
              </w:rPr>
              <w:t>(5,855)</w:t>
            </w:r>
          </w:p>
        </w:tc>
      </w:tr>
      <w:tr w:rsidR="002406E3" w:rsidRPr="00A47279" w14:paraId="7B99E7B9" w14:textId="77777777">
        <w:trPr>
          <w:trHeight w:val="238"/>
        </w:trPr>
        <w:tc>
          <w:tcPr>
            <w:tcW w:w="3050" w:type="dxa"/>
            <w:gridSpan w:val="2"/>
            <w:tcBorders>
              <w:top w:val="nil"/>
              <w:bottom w:val="nil"/>
            </w:tcBorders>
            <w:shd w:val="clear" w:color="auto" w:fill="auto"/>
            <w:vAlign w:val="center"/>
          </w:tcPr>
          <w:p w14:paraId="2B47BB7D" w14:textId="77777777" w:rsidR="002406E3" w:rsidRPr="00BC5A4F" w:rsidRDefault="002406E3">
            <w:pPr>
              <w:pStyle w:val="08-Tabelageral"/>
              <w:ind w:left="113"/>
              <w:jc w:val="left"/>
            </w:pPr>
            <w:r w:rsidRPr="00BC5A4F">
              <w:t>M</w:t>
            </w:r>
            <w:r>
              <w:t xml:space="preserve">APFRE Seguros Gerais </w:t>
            </w:r>
            <w:r w:rsidRPr="00BC5A4F">
              <w:rPr>
                <w:vertAlign w:val="superscript"/>
              </w:rPr>
              <w:t>(</w:t>
            </w:r>
            <w:r>
              <w:rPr>
                <w:vertAlign w:val="superscript"/>
              </w:rPr>
              <w:t>3</w:t>
            </w:r>
            <w:r w:rsidRPr="00BC5A4F">
              <w:rPr>
                <w:vertAlign w:val="superscript"/>
              </w:rPr>
              <w:t>)</w:t>
            </w:r>
          </w:p>
        </w:tc>
        <w:tc>
          <w:tcPr>
            <w:tcW w:w="595" w:type="dxa"/>
            <w:tcBorders>
              <w:top w:val="nil"/>
            </w:tcBorders>
            <w:shd w:val="clear" w:color="auto" w:fill="auto"/>
          </w:tcPr>
          <w:p w14:paraId="79F08346"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1AE8FE9B"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777C429E"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75149E15" w14:textId="77777777" w:rsidR="002406E3" w:rsidRPr="00496EA7" w:rsidRDefault="002406E3">
            <w:pPr>
              <w:pStyle w:val="08-Tabelageral"/>
              <w:rPr>
                <w:rFonts w:cs="Arial"/>
              </w:rPr>
            </w:pPr>
          </w:p>
        </w:tc>
        <w:tc>
          <w:tcPr>
            <w:tcW w:w="1404" w:type="dxa"/>
            <w:tcBorders>
              <w:top w:val="nil"/>
              <w:bottom w:val="nil"/>
            </w:tcBorders>
            <w:shd w:val="clear" w:color="auto" w:fill="auto"/>
          </w:tcPr>
          <w:p w14:paraId="3301810B" w14:textId="77777777" w:rsidR="002406E3" w:rsidRPr="007C0ADC" w:rsidRDefault="002406E3">
            <w:pPr>
              <w:pStyle w:val="08-Tabelageral"/>
              <w:rPr>
                <w:rFonts w:cs="Arial"/>
                <w:highlight w:val="yellow"/>
              </w:rPr>
            </w:pPr>
            <w:r>
              <w:rPr>
                <w:rFonts w:cs="Arial"/>
              </w:rPr>
              <w:t>(1,766)</w:t>
            </w:r>
          </w:p>
        </w:tc>
        <w:tc>
          <w:tcPr>
            <w:tcW w:w="1511" w:type="dxa"/>
            <w:tcBorders>
              <w:top w:val="nil"/>
              <w:bottom w:val="nil"/>
            </w:tcBorders>
            <w:shd w:val="clear" w:color="auto" w:fill="auto"/>
          </w:tcPr>
          <w:p w14:paraId="5BC04EBF" w14:textId="77777777" w:rsidR="002406E3" w:rsidRPr="007C0ADC" w:rsidRDefault="002406E3">
            <w:pPr>
              <w:pStyle w:val="08-Tabelageral"/>
              <w:rPr>
                <w:rFonts w:cs="Arial"/>
                <w:highlight w:val="yellow"/>
              </w:rPr>
            </w:pPr>
            <w:r>
              <w:rPr>
                <w:rFonts w:cs="Arial"/>
              </w:rPr>
              <w:t>(21,057)</w:t>
            </w:r>
          </w:p>
        </w:tc>
      </w:tr>
      <w:tr w:rsidR="002406E3" w:rsidRPr="00A47279" w14:paraId="1B874FF3" w14:textId="77777777">
        <w:trPr>
          <w:trHeight w:val="238"/>
        </w:trPr>
        <w:tc>
          <w:tcPr>
            <w:tcW w:w="3050" w:type="dxa"/>
            <w:gridSpan w:val="2"/>
            <w:tcBorders>
              <w:top w:val="nil"/>
              <w:bottom w:val="nil"/>
            </w:tcBorders>
            <w:shd w:val="clear" w:color="auto" w:fill="auto"/>
            <w:vAlign w:val="center"/>
          </w:tcPr>
          <w:p w14:paraId="5A5BAB74" w14:textId="77777777" w:rsidR="002406E3" w:rsidRPr="00BC5A4F" w:rsidRDefault="002406E3">
            <w:pPr>
              <w:pStyle w:val="08-Tabelageral"/>
              <w:ind w:left="113"/>
              <w:jc w:val="left"/>
            </w:pPr>
            <w:proofErr w:type="spellStart"/>
            <w:r>
              <w:t>Others</w:t>
            </w:r>
            <w:proofErr w:type="spellEnd"/>
          </w:p>
        </w:tc>
        <w:tc>
          <w:tcPr>
            <w:tcW w:w="595" w:type="dxa"/>
            <w:tcBorders>
              <w:top w:val="nil"/>
            </w:tcBorders>
            <w:shd w:val="clear" w:color="auto" w:fill="auto"/>
          </w:tcPr>
          <w:p w14:paraId="09CD55BD"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255EE9E9"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4540569A"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50472C4F" w14:textId="77777777" w:rsidR="002406E3" w:rsidRPr="00496EA7" w:rsidRDefault="002406E3">
            <w:pPr>
              <w:pStyle w:val="08-Tabelageral"/>
              <w:rPr>
                <w:rFonts w:cs="Arial"/>
              </w:rPr>
            </w:pPr>
          </w:p>
        </w:tc>
        <w:tc>
          <w:tcPr>
            <w:tcW w:w="1404" w:type="dxa"/>
            <w:tcBorders>
              <w:top w:val="nil"/>
              <w:bottom w:val="nil"/>
            </w:tcBorders>
            <w:shd w:val="clear" w:color="auto" w:fill="auto"/>
          </w:tcPr>
          <w:p w14:paraId="557BAEC9" w14:textId="77777777" w:rsidR="002406E3" w:rsidRPr="007C0ADC" w:rsidRDefault="002406E3">
            <w:pPr>
              <w:pStyle w:val="08-Tabelageral"/>
              <w:rPr>
                <w:rFonts w:cs="Arial"/>
                <w:highlight w:val="yellow"/>
              </w:rPr>
            </w:pPr>
            <w:r>
              <w:rPr>
                <w:rFonts w:cs="Arial"/>
              </w:rPr>
              <w:t>(1)</w:t>
            </w:r>
          </w:p>
        </w:tc>
        <w:tc>
          <w:tcPr>
            <w:tcW w:w="1511" w:type="dxa"/>
            <w:tcBorders>
              <w:top w:val="nil"/>
              <w:bottom w:val="nil"/>
            </w:tcBorders>
            <w:shd w:val="clear" w:color="auto" w:fill="auto"/>
          </w:tcPr>
          <w:p w14:paraId="04ED37EE" w14:textId="77777777" w:rsidR="002406E3" w:rsidRPr="007C0ADC" w:rsidRDefault="002406E3">
            <w:pPr>
              <w:pStyle w:val="08-Tabelageral"/>
              <w:rPr>
                <w:rFonts w:cs="Arial"/>
                <w:highlight w:val="yellow"/>
              </w:rPr>
            </w:pPr>
            <w:r>
              <w:rPr>
                <w:rFonts w:cs="Arial"/>
              </w:rPr>
              <w:t>(1)</w:t>
            </w:r>
          </w:p>
        </w:tc>
      </w:tr>
      <w:tr w:rsidR="002406E3" w:rsidRPr="00A47279" w14:paraId="01187BA0" w14:textId="77777777">
        <w:trPr>
          <w:trHeight w:val="238"/>
        </w:trPr>
        <w:tc>
          <w:tcPr>
            <w:tcW w:w="3050" w:type="dxa"/>
            <w:gridSpan w:val="2"/>
            <w:tcBorders>
              <w:top w:val="nil"/>
              <w:bottom w:val="nil"/>
            </w:tcBorders>
            <w:shd w:val="clear" w:color="auto" w:fill="auto"/>
            <w:vAlign w:val="center"/>
          </w:tcPr>
          <w:p w14:paraId="3112D061" w14:textId="77777777" w:rsidR="002406E3" w:rsidRPr="00496EA7" w:rsidRDefault="002406E3">
            <w:pPr>
              <w:pStyle w:val="08-Tabelageral"/>
              <w:jc w:val="left"/>
              <w:rPr>
                <w:rFonts w:cs="Arial"/>
                <w:b/>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595" w:type="dxa"/>
            <w:tcBorders>
              <w:top w:val="nil"/>
            </w:tcBorders>
            <w:shd w:val="clear" w:color="auto" w:fill="auto"/>
          </w:tcPr>
          <w:p w14:paraId="39D0EE6F"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1F57DFF5"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0937865C"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322A2E6C" w14:textId="77777777" w:rsidR="002406E3" w:rsidRPr="00496EA7" w:rsidRDefault="002406E3">
            <w:pPr>
              <w:pStyle w:val="08-Tabelageral"/>
              <w:rPr>
                <w:rFonts w:cs="Arial"/>
              </w:rPr>
            </w:pPr>
          </w:p>
        </w:tc>
        <w:tc>
          <w:tcPr>
            <w:tcW w:w="1404" w:type="dxa"/>
            <w:tcBorders>
              <w:top w:val="nil"/>
              <w:bottom w:val="nil"/>
            </w:tcBorders>
            <w:shd w:val="clear" w:color="auto" w:fill="auto"/>
          </w:tcPr>
          <w:p w14:paraId="1743A527" w14:textId="77777777" w:rsidR="002406E3" w:rsidRPr="002857F3" w:rsidRDefault="002406E3">
            <w:pPr>
              <w:pStyle w:val="08-Tabelageral"/>
              <w:rPr>
                <w:rFonts w:cs="Arial"/>
                <w:b/>
                <w:bCs/>
              </w:rPr>
            </w:pPr>
            <w:r>
              <w:rPr>
                <w:rFonts w:cs="Arial"/>
                <w:b/>
                <w:bCs/>
              </w:rPr>
              <w:t>(637,670)</w:t>
            </w:r>
          </w:p>
        </w:tc>
        <w:tc>
          <w:tcPr>
            <w:tcW w:w="1511" w:type="dxa"/>
            <w:tcBorders>
              <w:top w:val="nil"/>
              <w:bottom w:val="nil"/>
            </w:tcBorders>
            <w:shd w:val="clear" w:color="auto" w:fill="auto"/>
          </w:tcPr>
          <w:p w14:paraId="19237A53" w14:textId="77777777" w:rsidR="002406E3" w:rsidRPr="00DE2960" w:rsidRDefault="002406E3">
            <w:pPr>
              <w:pStyle w:val="08-Tabelageral"/>
              <w:rPr>
                <w:rFonts w:cs="Arial"/>
              </w:rPr>
            </w:pPr>
            <w:r>
              <w:rPr>
                <w:rFonts w:cs="Arial"/>
                <w:b/>
                <w:bCs/>
              </w:rPr>
              <w:t>(577,284)</w:t>
            </w:r>
          </w:p>
        </w:tc>
      </w:tr>
      <w:tr w:rsidR="002406E3" w:rsidRPr="00A47279" w14:paraId="70F0FCF2" w14:textId="77777777">
        <w:trPr>
          <w:trHeight w:val="238"/>
        </w:trPr>
        <w:tc>
          <w:tcPr>
            <w:tcW w:w="3050" w:type="dxa"/>
            <w:gridSpan w:val="2"/>
            <w:tcBorders>
              <w:top w:val="nil"/>
              <w:bottom w:val="nil"/>
            </w:tcBorders>
            <w:shd w:val="clear" w:color="auto" w:fill="auto"/>
            <w:vAlign w:val="center"/>
          </w:tcPr>
          <w:p w14:paraId="234B68D1" w14:textId="77777777" w:rsidR="002406E3" w:rsidRPr="00A47279" w:rsidRDefault="002406E3">
            <w:pPr>
              <w:pStyle w:val="08-Tabelageral"/>
              <w:ind w:left="113"/>
              <w:jc w:val="left"/>
              <w:rPr>
                <w:rFonts w:cs="Arial"/>
                <w:szCs w:val="14"/>
              </w:rPr>
            </w:pPr>
            <w:proofErr w:type="spellStart"/>
            <w:r>
              <w:t>Cofins</w:t>
            </w:r>
            <w:proofErr w:type="spellEnd"/>
          </w:p>
        </w:tc>
        <w:tc>
          <w:tcPr>
            <w:tcW w:w="595" w:type="dxa"/>
            <w:tcBorders>
              <w:top w:val="nil"/>
            </w:tcBorders>
            <w:shd w:val="clear" w:color="auto" w:fill="auto"/>
          </w:tcPr>
          <w:p w14:paraId="1F00DC8A"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tcPr>
          <w:p w14:paraId="7F196B77" w14:textId="77777777" w:rsidR="002406E3" w:rsidRPr="00496EA7" w:rsidRDefault="002406E3">
            <w:pPr>
              <w:pStyle w:val="08-Tabelageral"/>
              <w:rPr>
                <w:rFonts w:cs="Arial"/>
              </w:rPr>
            </w:pPr>
          </w:p>
        </w:tc>
        <w:tc>
          <w:tcPr>
            <w:tcW w:w="1400" w:type="dxa"/>
            <w:tcBorders>
              <w:top w:val="nil"/>
              <w:bottom w:val="nil"/>
            </w:tcBorders>
            <w:shd w:val="clear" w:color="auto" w:fill="auto"/>
          </w:tcPr>
          <w:p w14:paraId="0D3CA7D0"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6AFE7DE6" w14:textId="77777777" w:rsidR="002406E3" w:rsidRPr="00496EA7" w:rsidRDefault="002406E3">
            <w:pPr>
              <w:pStyle w:val="08-Tabelageral"/>
              <w:rPr>
                <w:rFonts w:cs="Arial"/>
              </w:rPr>
            </w:pPr>
          </w:p>
        </w:tc>
        <w:tc>
          <w:tcPr>
            <w:tcW w:w="1404" w:type="dxa"/>
            <w:tcBorders>
              <w:top w:val="nil"/>
              <w:bottom w:val="nil"/>
            </w:tcBorders>
            <w:shd w:val="clear" w:color="auto" w:fill="auto"/>
          </w:tcPr>
          <w:p w14:paraId="4030C841" w14:textId="77777777" w:rsidR="002406E3" w:rsidRPr="00496EA7" w:rsidRDefault="002406E3">
            <w:pPr>
              <w:pStyle w:val="08-Tabelageral"/>
              <w:rPr>
                <w:rFonts w:cs="Arial"/>
              </w:rPr>
            </w:pPr>
            <w:r>
              <w:rPr>
                <w:rFonts w:cs="Arial"/>
              </w:rPr>
              <w:t>(419,643)</w:t>
            </w:r>
          </w:p>
        </w:tc>
        <w:tc>
          <w:tcPr>
            <w:tcW w:w="1511" w:type="dxa"/>
            <w:tcBorders>
              <w:top w:val="nil"/>
              <w:bottom w:val="nil"/>
            </w:tcBorders>
            <w:shd w:val="clear" w:color="auto" w:fill="auto"/>
          </w:tcPr>
          <w:p w14:paraId="2A7F4E71" w14:textId="77777777" w:rsidR="002406E3" w:rsidRPr="00DE2960" w:rsidRDefault="002406E3">
            <w:pPr>
              <w:pStyle w:val="08-Tabelageral"/>
              <w:rPr>
                <w:rFonts w:cs="Arial"/>
              </w:rPr>
            </w:pPr>
            <w:r>
              <w:rPr>
                <w:rFonts w:cs="Arial"/>
              </w:rPr>
              <w:t>(379,349)</w:t>
            </w:r>
          </w:p>
        </w:tc>
      </w:tr>
      <w:tr w:rsidR="002406E3" w:rsidRPr="00A47279" w14:paraId="1FB5AF8E" w14:textId="77777777">
        <w:trPr>
          <w:trHeight w:val="238"/>
        </w:trPr>
        <w:tc>
          <w:tcPr>
            <w:tcW w:w="3050" w:type="dxa"/>
            <w:gridSpan w:val="2"/>
            <w:tcBorders>
              <w:top w:val="nil"/>
              <w:bottom w:val="nil"/>
            </w:tcBorders>
            <w:shd w:val="clear" w:color="auto" w:fill="auto"/>
            <w:vAlign w:val="center"/>
          </w:tcPr>
          <w:p w14:paraId="6824BD15" w14:textId="77777777" w:rsidR="002406E3" w:rsidRPr="00A47279" w:rsidRDefault="002406E3">
            <w:pPr>
              <w:pStyle w:val="08-Tabelageral"/>
              <w:ind w:left="113"/>
              <w:jc w:val="left"/>
              <w:rPr>
                <w:rFonts w:cs="Arial"/>
                <w:szCs w:val="14"/>
              </w:rPr>
            </w:pPr>
            <w:r>
              <w:t>ISS</w:t>
            </w:r>
          </w:p>
        </w:tc>
        <w:tc>
          <w:tcPr>
            <w:tcW w:w="595" w:type="dxa"/>
            <w:tcBorders>
              <w:top w:val="nil"/>
            </w:tcBorders>
            <w:shd w:val="clear" w:color="auto" w:fill="auto"/>
          </w:tcPr>
          <w:p w14:paraId="6476C17E"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vAlign w:val="center"/>
          </w:tcPr>
          <w:p w14:paraId="3AE9EA12" w14:textId="77777777" w:rsidR="002406E3" w:rsidRPr="00496EA7" w:rsidRDefault="002406E3">
            <w:pPr>
              <w:pStyle w:val="08-Tabelageral"/>
              <w:rPr>
                <w:rFonts w:cs="Arial"/>
              </w:rPr>
            </w:pPr>
          </w:p>
        </w:tc>
        <w:tc>
          <w:tcPr>
            <w:tcW w:w="1400" w:type="dxa"/>
            <w:tcBorders>
              <w:top w:val="nil"/>
              <w:bottom w:val="nil"/>
            </w:tcBorders>
            <w:shd w:val="clear" w:color="auto" w:fill="auto"/>
            <w:vAlign w:val="center"/>
          </w:tcPr>
          <w:p w14:paraId="3AC59293"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4894E9AB" w14:textId="77777777" w:rsidR="002406E3" w:rsidRPr="00496EA7" w:rsidRDefault="002406E3">
            <w:pPr>
              <w:pStyle w:val="08-Tabelageral"/>
              <w:rPr>
                <w:rFonts w:cs="Arial"/>
              </w:rPr>
            </w:pPr>
          </w:p>
        </w:tc>
        <w:tc>
          <w:tcPr>
            <w:tcW w:w="1404" w:type="dxa"/>
            <w:tcBorders>
              <w:top w:val="nil"/>
              <w:bottom w:val="nil"/>
            </w:tcBorders>
            <w:shd w:val="clear" w:color="auto" w:fill="auto"/>
          </w:tcPr>
          <w:p w14:paraId="13D51DEA" w14:textId="77777777" w:rsidR="002406E3" w:rsidRPr="00496EA7" w:rsidRDefault="002406E3">
            <w:pPr>
              <w:pStyle w:val="08-Tabelageral"/>
              <w:rPr>
                <w:rFonts w:cs="Arial"/>
              </w:rPr>
            </w:pPr>
            <w:r>
              <w:rPr>
                <w:rFonts w:cs="Arial"/>
              </w:rPr>
              <w:t>(126,920)</w:t>
            </w:r>
          </w:p>
        </w:tc>
        <w:tc>
          <w:tcPr>
            <w:tcW w:w="1511" w:type="dxa"/>
            <w:tcBorders>
              <w:top w:val="nil"/>
              <w:bottom w:val="nil"/>
            </w:tcBorders>
            <w:shd w:val="clear" w:color="auto" w:fill="auto"/>
          </w:tcPr>
          <w:p w14:paraId="71E956D9" w14:textId="77777777" w:rsidR="002406E3" w:rsidRPr="00DE2960" w:rsidRDefault="002406E3">
            <w:pPr>
              <w:pStyle w:val="08-Tabelageral"/>
              <w:rPr>
                <w:rFonts w:cs="Arial"/>
              </w:rPr>
            </w:pPr>
            <w:r>
              <w:rPr>
                <w:rFonts w:cs="Arial"/>
              </w:rPr>
              <w:t>(115,576)</w:t>
            </w:r>
          </w:p>
        </w:tc>
      </w:tr>
      <w:tr w:rsidR="002406E3" w:rsidRPr="00A47279" w14:paraId="2DC14E93" w14:textId="77777777">
        <w:trPr>
          <w:trHeight w:val="238"/>
        </w:trPr>
        <w:tc>
          <w:tcPr>
            <w:tcW w:w="3050" w:type="dxa"/>
            <w:gridSpan w:val="2"/>
            <w:tcBorders>
              <w:top w:val="nil"/>
              <w:bottom w:val="nil"/>
            </w:tcBorders>
            <w:shd w:val="clear" w:color="auto" w:fill="auto"/>
            <w:vAlign w:val="center"/>
          </w:tcPr>
          <w:p w14:paraId="181CA3A5" w14:textId="77777777" w:rsidR="002406E3" w:rsidRPr="00A47279" w:rsidRDefault="002406E3">
            <w:pPr>
              <w:pStyle w:val="08-Tabelageral"/>
              <w:ind w:left="113"/>
              <w:jc w:val="left"/>
              <w:rPr>
                <w:rFonts w:cs="Arial"/>
                <w:szCs w:val="14"/>
              </w:rPr>
            </w:pPr>
            <w:r>
              <w:t>PIS</w:t>
            </w:r>
          </w:p>
        </w:tc>
        <w:tc>
          <w:tcPr>
            <w:tcW w:w="595" w:type="dxa"/>
            <w:tcBorders>
              <w:bottom w:val="nil"/>
            </w:tcBorders>
            <w:shd w:val="clear" w:color="auto" w:fill="auto"/>
          </w:tcPr>
          <w:p w14:paraId="1DBEA83E" w14:textId="77777777" w:rsidR="002406E3" w:rsidRPr="00890AEB" w:rsidRDefault="002406E3">
            <w:pPr>
              <w:pStyle w:val="08-Tabelageral"/>
              <w:rPr>
                <w:rFonts w:cs="Arial"/>
                <w:bCs/>
                <w:szCs w:val="14"/>
              </w:rPr>
            </w:pPr>
          </w:p>
        </w:tc>
        <w:tc>
          <w:tcPr>
            <w:tcW w:w="1397" w:type="dxa"/>
            <w:gridSpan w:val="2"/>
            <w:tcBorders>
              <w:top w:val="nil"/>
              <w:bottom w:val="nil"/>
            </w:tcBorders>
            <w:shd w:val="clear" w:color="auto" w:fill="auto"/>
          </w:tcPr>
          <w:p w14:paraId="364907F3" w14:textId="77777777" w:rsidR="002406E3" w:rsidRPr="00496EA7" w:rsidRDefault="002406E3">
            <w:pPr>
              <w:pStyle w:val="08-Tabelageral"/>
              <w:rPr>
                <w:rFonts w:cs="Arial"/>
              </w:rPr>
            </w:pPr>
          </w:p>
        </w:tc>
        <w:tc>
          <w:tcPr>
            <w:tcW w:w="1400" w:type="dxa"/>
            <w:tcBorders>
              <w:top w:val="nil"/>
              <w:bottom w:val="nil"/>
            </w:tcBorders>
            <w:shd w:val="clear" w:color="auto" w:fill="auto"/>
          </w:tcPr>
          <w:p w14:paraId="2AC2BC50" w14:textId="77777777" w:rsidR="002406E3" w:rsidRPr="00496EA7" w:rsidRDefault="002406E3">
            <w:pPr>
              <w:pStyle w:val="08-Tabelageral"/>
              <w:rPr>
                <w:rFonts w:cs="Arial"/>
              </w:rPr>
            </w:pPr>
          </w:p>
        </w:tc>
        <w:tc>
          <w:tcPr>
            <w:tcW w:w="282" w:type="dxa"/>
            <w:gridSpan w:val="2"/>
            <w:tcBorders>
              <w:top w:val="nil"/>
              <w:bottom w:val="nil"/>
            </w:tcBorders>
            <w:shd w:val="clear" w:color="auto" w:fill="auto"/>
            <w:vAlign w:val="center"/>
          </w:tcPr>
          <w:p w14:paraId="0BBF0409" w14:textId="77777777" w:rsidR="002406E3" w:rsidRPr="00496EA7" w:rsidRDefault="002406E3">
            <w:pPr>
              <w:pStyle w:val="08-Tabelageral"/>
              <w:rPr>
                <w:rFonts w:cs="Arial"/>
              </w:rPr>
            </w:pPr>
          </w:p>
        </w:tc>
        <w:tc>
          <w:tcPr>
            <w:tcW w:w="1404" w:type="dxa"/>
            <w:tcBorders>
              <w:top w:val="nil"/>
              <w:bottom w:val="nil"/>
            </w:tcBorders>
            <w:shd w:val="clear" w:color="auto" w:fill="auto"/>
          </w:tcPr>
          <w:p w14:paraId="3A0A7EDF" w14:textId="77777777" w:rsidR="002406E3" w:rsidRPr="00496EA7" w:rsidRDefault="002406E3">
            <w:pPr>
              <w:pStyle w:val="08-Tabelageral"/>
              <w:rPr>
                <w:rFonts w:cs="Arial"/>
              </w:rPr>
            </w:pPr>
            <w:r>
              <w:rPr>
                <w:rFonts w:cs="Arial"/>
              </w:rPr>
              <w:t>(91,107)</w:t>
            </w:r>
          </w:p>
        </w:tc>
        <w:tc>
          <w:tcPr>
            <w:tcW w:w="1511" w:type="dxa"/>
            <w:tcBorders>
              <w:top w:val="nil"/>
              <w:bottom w:val="nil"/>
            </w:tcBorders>
            <w:shd w:val="clear" w:color="auto" w:fill="auto"/>
          </w:tcPr>
          <w:p w14:paraId="3FB2144B" w14:textId="77777777" w:rsidR="002406E3" w:rsidRPr="00DE2960" w:rsidRDefault="002406E3">
            <w:pPr>
              <w:pStyle w:val="08-Tabelageral"/>
              <w:rPr>
                <w:rFonts w:cs="Arial"/>
              </w:rPr>
            </w:pPr>
            <w:r>
              <w:rPr>
                <w:rFonts w:cs="Arial"/>
              </w:rPr>
              <w:t>(82,359)</w:t>
            </w:r>
          </w:p>
        </w:tc>
      </w:tr>
      <w:tr w:rsidR="002406E3" w:rsidRPr="00A47279" w14:paraId="3D85E5FD" w14:textId="77777777">
        <w:trPr>
          <w:trHeight w:val="238"/>
        </w:trPr>
        <w:tc>
          <w:tcPr>
            <w:tcW w:w="3050" w:type="dxa"/>
            <w:gridSpan w:val="2"/>
            <w:tcBorders>
              <w:top w:val="nil"/>
              <w:bottom w:val="single" w:sz="2" w:space="0" w:color="1F3864" w:themeColor="accent1" w:themeShade="80"/>
            </w:tcBorders>
            <w:shd w:val="clear" w:color="auto" w:fill="auto"/>
            <w:vAlign w:val="center"/>
          </w:tcPr>
          <w:p w14:paraId="6BF02242" w14:textId="77777777" w:rsidR="002406E3" w:rsidRPr="00496EA7" w:rsidRDefault="002406E3">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595" w:type="dxa"/>
            <w:tcBorders>
              <w:top w:val="nil"/>
              <w:bottom w:val="single" w:sz="2" w:space="0" w:color="1F3864" w:themeColor="accent1" w:themeShade="80"/>
            </w:tcBorders>
            <w:shd w:val="clear" w:color="auto" w:fill="auto"/>
          </w:tcPr>
          <w:p w14:paraId="765F3B67" w14:textId="77777777" w:rsidR="002406E3" w:rsidRPr="00890AEB" w:rsidRDefault="002406E3">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3E76E151" w14:textId="77777777" w:rsidR="002406E3" w:rsidRPr="00496EA7" w:rsidRDefault="002406E3">
            <w:pPr>
              <w:pStyle w:val="08-Tabelageral"/>
              <w:rPr>
                <w:rFonts w:cs="Arial"/>
                <w:b/>
              </w:rPr>
            </w:pPr>
          </w:p>
        </w:tc>
        <w:tc>
          <w:tcPr>
            <w:tcW w:w="1400" w:type="dxa"/>
            <w:tcBorders>
              <w:top w:val="nil"/>
              <w:bottom w:val="single" w:sz="2" w:space="0" w:color="1F3864" w:themeColor="accent1" w:themeShade="80"/>
            </w:tcBorders>
            <w:shd w:val="clear" w:color="auto" w:fill="auto"/>
            <w:vAlign w:val="center"/>
          </w:tcPr>
          <w:p w14:paraId="71AEC6DA" w14:textId="77777777" w:rsidR="002406E3" w:rsidRPr="00496EA7" w:rsidRDefault="002406E3">
            <w:pPr>
              <w:pStyle w:val="08-Tabelageral"/>
              <w:rPr>
                <w:rFonts w:cs="Arial"/>
                <w:b/>
              </w:rPr>
            </w:pPr>
          </w:p>
        </w:tc>
        <w:tc>
          <w:tcPr>
            <w:tcW w:w="282" w:type="dxa"/>
            <w:gridSpan w:val="2"/>
            <w:tcBorders>
              <w:top w:val="nil"/>
              <w:bottom w:val="single" w:sz="2" w:space="0" w:color="1F3864" w:themeColor="accent1" w:themeShade="80"/>
            </w:tcBorders>
            <w:shd w:val="clear" w:color="auto" w:fill="auto"/>
            <w:vAlign w:val="center"/>
          </w:tcPr>
          <w:p w14:paraId="590F7EA6" w14:textId="77777777" w:rsidR="002406E3" w:rsidRPr="00496EA7" w:rsidRDefault="002406E3">
            <w:pPr>
              <w:pStyle w:val="08-Tabelageral"/>
              <w:rPr>
                <w:rFonts w:cs="Arial"/>
                <w:b/>
              </w:rPr>
            </w:pPr>
          </w:p>
        </w:tc>
        <w:tc>
          <w:tcPr>
            <w:tcW w:w="1404" w:type="dxa"/>
            <w:tcBorders>
              <w:top w:val="nil"/>
              <w:bottom w:val="single" w:sz="2" w:space="0" w:color="1F3864" w:themeColor="accent1" w:themeShade="80"/>
            </w:tcBorders>
            <w:shd w:val="clear" w:color="auto" w:fill="auto"/>
          </w:tcPr>
          <w:p w14:paraId="427A7E0C" w14:textId="77777777" w:rsidR="002406E3" w:rsidRPr="00496EA7" w:rsidRDefault="002406E3">
            <w:pPr>
              <w:pStyle w:val="08-Tabelageral"/>
              <w:rPr>
                <w:rFonts w:cs="Arial"/>
                <w:b/>
              </w:rPr>
            </w:pPr>
            <w:r>
              <w:rPr>
                <w:rFonts w:cs="Arial"/>
                <w:b/>
              </w:rPr>
              <w:t>4,868,052</w:t>
            </w:r>
          </w:p>
        </w:tc>
        <w:tc>
          <w:tcPr>
            <w:tcW w:w="1511" w:type="dxa"/>
            <w:tcBorders>
              <w:top w:val="nil"/>
              <w:bottom w:val="single" w:sz="2" w:space="0" w:color="1F3864" w:themeColor="accent1" w:themeShade="80"/>
            </w:tcBorders>
            <w:shd w:val="clear" w:color="auto" w:fill="auto"/>
          </w:tcPr>
          <w:p w14:paraId="704260BB" w14:textId="77777777" w:rsidR="002406E3" w:rsidRPr="00DE2960" w:rsidRDefault="002406E3">
            <w:pPr>
              <w:pStyle w:val="08-Tabelageral"/>
              <w:rPr>
                <w:rFonts w:cs="Arial"/>
                <w:b/>
              </w:rPr>
            </w:pPr>
            <w:r>
              <w:rPr>
                <w:rFonts w:cs="Arial"/>
                <w:b/>
              </w:rPr>
              <w:t>4,424,402</w:t>
            </w:r>
          </w:p>
        </w:tc>
      </w:tr>
    </w:tbl>
    <w:p w14:paraId="54D4DEB8" w14:textId="77777777" w:rsidR="002406E3" w:rsidRDefault="002406E3" w:rsidP="005F2CF4">
      <w:pPr>
        <w:pStyle w:val="07-Legenda"/>
        <w:numPr>
          <w:ilvl w:val="0"/>
          <w:numId w:val="41"/>
        </w:numPr>
        <w:tabs>
          <w:tab w:val="clear" w:pos="284"/>
          <w:tab w:val="left" w:pos="0"/>
        </w:tabs>
        <w:ind w:left="284" w:hanging="284"/>
        <w:rPr>
          <w:lang w:val="en-US"/>
        </w:rPr>
      </w:pPr>
      <w:r w:rsidRPr="002B575F">
        <w:rPr>
          <w:lang w:val="en-US"/>
        </w:rPr>
        <w:t>In the 2024 financial year, there was a reduction of R$</w:t>
      </w:r>
      <w:r>
        <w:rPr>
          <w:lang w:val="en-US"/>
        </w:rPr>
        <w:t xml:space="preserve"> </w:t>
      </w:r>
      <w:r w:rsidRPr="002B575F">
        <w:rPr>
          <w:lang w:val="en-US"/>
        </w:rPr>
        <w:t xml:space="preserve">25,741 thousand referring to the constitution of a provision for the return of brokerage fees to </w:t>
      </w:r>
      <w:proofErr w:type="spellStart"/>
      <w:r w:rsidRPr="002B575F">
        <w:rPr>
          <w:lang w:val="en-US"/>
        </w:rPr>
        <w:t>Brasilprev</w:t>
      </w:r>
      <w:proofErr w:type="spellEnd"/>
      <w:r w:rsidRPr="002B575F">
        <w:rPr>
          <w:lang w:val="en-US"/>
        </w:rPr>
        <w:t xml:space="preserve"> </w:t>
      </w:r>
      <w:proofErr w:type="gramStart"/>
      <w:r w:rsidRPr="002B575F">
        <w:rPr>
          <w:lang w:val="en-US"/>
        </w:rPr>
        <w:t>as a result of</w:t>
      </w:r>
      <w:proofErr w:type="gramEnd"/>
      <w:r w:rsidRPr="002B575F">
        <w:rPr>
          <w:lang w:val="en-US"/>
        </w:rPr>
        <w:t xml:space="preserve"> plan cancellations, within the scope of the new commissioning model implemented in March 2024. The expense was recognized in December, against a liability relating to the estimated amounts to be returned.</w:t>
      </w:r>
    </w:p>
    <w:p w14:paraId="05712173" w14:textId="77777777" w:rsidR="002406E3" w:rsidRDefault="002406E3" w:rsidP="005F2CF4">
      <w:pPr>
        <w:pStyle w:val="07-Legenda"/>
        <w:numPr>
          <w:ilvl w:val="0"/>
          <w:numId w:val="41"/>
        </w:numPr>
        <w:tabs>
          <w:tab w:val="clear" w:pos="284"/>
          <w:tab w:val="left" w:pos="0"/>
        </w:tabs>
        <w:ind w:left="284" w:hanging="284"/>
        <w:rPr>
          <w:lang w:val="en-US"/>
        </w:rPr>
      </w:pPr>
      <w:r>
        <w:rPr>
          <w:lang w:val="en-US"/>
        </w:rPr>
        <w:t>Auto and Major Risk Insurance.</w:t>
      </w:r>
    </w:p>
    <w:p w14:paraId="601CDBC4" w14:textId="77777777" w:rsidR="002406E3" w:rsidRPr="00854E24" w:rsidRDefault="002406E3" w:rsidP="005F2CF4">
      <w:pPr>
        <w:pStyle w:val="07-Legenda"/>
        <w:numPr>
          <w:ilvl w:val="0"/>
          <w:numId w:val="41"/>
        </w:numPr>
        <w:tabs>
          <w:tab w:val="clear" w:pos="284"/>
          <w:tab w:val="left" w:pos="0"/>
        </w:tabs>
        <w:ind w:left="284" w:hanging="284"/>
        <w:rPr>
          <w:lang w:val="en-US"/>
        </w:rPr>
      </w:pPr>
      <w:r w:rsidRPr="002B575F">
        <w:rPr>
          <w:lang w:val="en-US"/>
        </w:rPr>
        <w:t xml:space="preserve">In </w:t>
      </w:r>
      <w:r>
        <w:rPr>
          <w:lang w:val="en-US"/>
        </w:rPr>
        <w:t xml:space="preserve">2023, </w:t>
      </w:r>
      <w:r w:rsidRPr="00C70F5B">
        <w:rPr>
          <w:lang w:val="en-US"/>
        </w:rPr>
        <w:t xml:space="preserve">R$ 12,129 thousand refers to the return of brokerage commission for products related to the automobile sector to MAPFRE </w:t>
      </w:r>
      <w:proofErr w:type="spellStart"/>
      <w:r w:rsidRPr="00C70F5B">
        <w:rPr>
          <w:lang w:val="en-US"/>
        </w:rPr>
        <w:t>Seguros</w:t>
      </w:r>
      <w:proofErr w:type="spellEnd"/>
      <w:r w:rsidRPr="00C70F5B">
        <w:rPr>
          <w:lang w:val="en-US"/>
        </w:rPr>
        <w:t xml:space="preserve"> Gerais, due to the change in the commission percentage from 17.3% to 14.3%, in the period covered between 01/2023 and 06/2023.</w:t>
      </w:r>
    </w:p>
    <w:p w14:paraId="5356B9B1" w14:textId="06A86700" w:rsidR="00D2751B" w:rsidRPr="002406E3" w:rsidRDefault="002406E3" w:rsidP="002406E3">
      <w:pPr>
        <w:pStyle w:val="07-Legenda"/>
        <w:spacing w:before="120" w:after="120" w:line="276" w:lineRule="auto"/>
        <w:ind w:left="0" w:firstLine="0"/>
        <w:rPr>
          <w:sz w:val="18"/>
          <w:lang w:val="en-US"/>
        </w:rPr>
      </w:pPr>
      <w:r w:rsidRPr="00C670B2">
        <w:rPr>
          <w:sz w:val="18"/>
          <w:lang w:val="en-US"/>
        </w:rPr>
        <w:t xml:space="preserve">There </w:t>
      </w:r>
      <w:proofErr w:type="gramStart"/>
      <w:r w:rsidRPr="00C670B2">
        <w:rPr>
          <w:sz w:val="18"/>
          <w:lang w:val="en-US"/>
        </w:rPr>
        <w:t>are</w:t>
      </w:r>
      <w:proofErr w:type="gramEnd"/>
      <w:r w:rsidRPr="00C670B2">
        <w:rPr>
          <w:sz w:val="18"/>
          <w:lang w:val="en-US"/>
        </w:rPr>
        <w:t xml:space="preserve"> n</w:t>
      </w:r>
      <w:r>
        <w:rPr>
          <w:sz w:val="18"/>
          <w:lang w:val="en-US"/>
        </w:rPr>
        <w:t>o amount of commissions income i</w:t>
      </w:r>
      <w:r w:rsidRPr="00C670B2">
        <w:rPr>
          <w:sz w:val="18"/>
          <w:lang w:val="en-US"/>
        </w:rPr>
        <w:t>n parent.</w:t>
      </w:r>
    </w:p>
    <w:p w14:paraId="72C7C272" w14:textId="0860E288" w:rsidR="007D4AB0" w:rsidRDefault="004725AE" w:rsidP="008E63BC">
      <w:pPr>
        <w:pStyle w:val="Ttulo1"/>
        <w:spacing w:line="259" w:lineRule="auto"/>
        <w:jc w:val="both"/>
        <w:rPr>
          <w:rFonts w:ascii="Arial" w:hAnsi="Arial" w:cs="Arial"/>
          <w:b/>
          <w:color w:val="1F3864" w:themeColor="accent1" w:themeShade="80"/>
          <w:sz w:val="20"/>
          <w:lang w:val="en-US"/>
        </w:rPr>
      </w:pPr>
      <w:bookmarkStart w:id="58" w:name="_Toc157446722"/>
      <w:bookmarkStart w:id="59" w:name="_Toc190680630"/>
      <w:bookmarkEnd w:id="55"/>
      <w:r w:rsidRPr="00432934">
        <w:rPr>
          <w:rFonts w:ascii="Arial" w:hAnsi="Arial" w:cs="Arial"/>
          <w:b/>
          <w:color w:val="1F3864" w:themeColor="accent1" w:themeShade="80"/>
          <w:sz w:val="20"/>
          <w:lang w:val="en-US"/>
        </w:rPr>
        <w:t>9 – COSTS OF SERVICES PROVIDED</w:t>
      </w:r>
      <w:bookmarkEnd w:id="56"/>
      <w:bookmarkEnd w:id="58"/>
      <w:bookmarkEnd w:id="59"/>
    </w:p>
    <w:p w14:paraId="5E98036A" w14:textId="77777777" w:rsidR="0018155D" w:rsidRPr="00654762" w:rsidRDefault="0018155D" w:rsidP="0018155D">
      <w:pPr>
        <w:pStyle w:val="06-Rmil"/>
        <w:rPr>
          <w:rFonts w:cs="Arial"/>
          <w:szCs w:val="14"/>
          <w:lang w:val="en-US"/>
        </w:rPr>
      </w:pPr>
      <w:r w:rsidRPr="00432934">
        <w:rPr>
          <w:rFonts w:cs="Arial"/>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50"/>
        <w:gridCol w:w="488"/>
        <w:gridCol w:w="344"/>
        <w:gridCol w:w="1053"/>
        <w:gridCol w:w="1507"/>
        <w:gridCol w:w="238"/>
        <w:gridCol w:w="1401"/>
        <w:gridCol w:w="1558"/>
      </w:tblGrid>
      <w:tr w:rsidR="0018155D" w:rsidRPr="00303CA5" w14:paraId="3C36D831" w14:textId="77777777">
        <w:trPr>
          <w:trHeight w:val="238"/>
          <w:jc w:val="center"/>
        </w:trPr>
        <w:tc>
          <w:tcPr>
            <w:tcW w:w="3882" w:type="dxa"/>
            <w:gridSpan w:val="3"/>
            <w:tcBorders>
              <w:top w:val="single" w:sz="2" w:space="0" w:color="1F3864" w:themeColor="accent1" w:themeShade="80"/>
              <w:bottom w:val="nil"/>
            </w:tcBorders>
            <w:shd w:val="clear" w:color="auto" w:fill="auto"/>
          </w:tcPr>
          <w:p w14:paraId="08C7D4C6" w14:textId="77777777" w:rsidR="0018155D" w:rsidRPr="00303CA5" w:rsidRDefault="0018155D">
            <w:pPr>
              <w:keepNext/>
              <w:keepLines/>
              <w:tabs>
                <w:tab w:val="left" w:pos="2244"/>
                <w:tab w:val="center" w:pos="3294"/>
                <w:tab w:val="left" w:pos="4208"/>
                <w:tab w:val="left" w:pos="5816"/>
                <w:tab w:val="left" w:pos="5872"/>
              </w:tabs>
              <w:spacing w:before="40" w:after="40"/>
              <w:rPr>
                <w:rFonts w:ascii="Arial" w:hAnsi="Arial" w:cs="Arial"/>
                <w:b/>
                <w:spacing w:val="-2"/>
                <w:sz w:val="14"/>
                <w:szCs w:val="14"/>
                <w:lang w:val="en-US"/>
              </w:rPr>
            </w:pPr>
          </w:p>
        </w:tc>
        <w:tc>
          <w:tcPr>
            <w:tcW w:w="2798" w:type="dxa"/>
            <w:gridSpan w:val="3"/>
            <w:tcBorders>
              <w:top w:val="single" w:sz="2" w:space="0" w:color="1F3864" w:themeColor="accent1" w:themeShade="80"/>
              <w:bottom w:val="nil"/>
            </w:tcBorders>
            <w:shd w:val="clear" w:color="auto" w:fill="auto"/>
            <w:vAlign w:val="center"/>
          </w:tcPr>
          <w:p w14:paraId="753A6C8B" w14:textId="77777777" w:rsidR="0018155D" w:rsidRPr="00303CA5" w:rsidRDefault="0018155D">
            <w:pPr>
              <w:keepNext/>
              <w:keepLines/>
              <w:spacing w:before="40" w:after="40"/>
              <w:jc w:val="center"/>
              <w:rPr>
                <w:rFonts w:ascii="Arial" w:hAnsi="Arial" w:cs="Arial"/>
                <w:b/>
                <w:spacing w:val="-2"/>
                <w:sz w:val="14"/>
                <w:szCs w:val="14"/>
                <w:lang w:val="en-US"/>
              </w:rPr>
            </w:pPr>
          </w:p>
        </w:tc>
        <w:tc>
          <w:tcPr>
            <w:tcW w:w="2959" w:type="dxa"/>
            <w:gridSpan w:val="2"/>
            <w:tcBorders>
              <w:top w:val="single" w:sz="2" w:space="0" w:color="1F3864" w:themeColor="accent1" w:themeShade="80"/>
              <w:bottom w:val="single" w:sz="4" w:space="0" w:color="1F3864" w:themeColor="accent1" w:themeShade="80"/>
            </w:tcBorders>
            <w:shd w:val="clear" w:color="auto" w:fill="auto"/>
            <w:vAlign w:val="center"/>
          </w:tcPr>
          <w:p w14:paraId="5D630EAD" w14:textId="77777777" w:rsidR="0018155D" w:rsidRPr="00303CA5" w:rsidRDefault="0018155D">
            <w:pPr>
              <w:keepNext/>
              <w:keepLines/>
              <w:spacing w:before="40" w:after="40"/>
              <w:jc w:val="center"/>
              <w:rPr>
                <w:rFonts w:ascii="Arial" w:hAnsi="Arial" w:cs="Arial"/>
                <w:b/>
                <w:bCs/>
                <w:spacing w:val="-2"/>
                <w:sz w:val="14"/>
                <w:szCs w:val="14"/>
              </w:rPr>
            </w:pPr>
            <w:proofErr w:type="spellStart"/>
            <w:r w:rsidRPr="00303CA5">
              <w:rPr>
                <w:rFonts w:ascii="Arial" w:hAnsi="Arial" w:cs="Arial"/>
                <w:b/>
                <w:bCs/>
                <w:spacing w:val="-2"/>
                <w:sz w:val="14"/>
                <w:szCs w:val="14"/>
              </w:rPr>
              <w:t>Consolidated</w:t>
            </w:r>
            <w:proofErr w:type="spellEnd"/>
          </w:p>
        </w:tc>
      </w:tr>
      <w:tr w:rsidR="0018155D" w:rsidRPr="00303CA5" w14:paraId="6A2A333D" w14:textId="77777777">
        <w:trPr>
          <w:trHeight w:val="238"/>
          <w:jc w:val="center"/>
        </w:trPr>
        <w:tc>
          <w:tcPr>
            <w:tcW w:w="3050" w:type="dxa"/>
            <w:tcBorders>
              <w:top w:val="nil"/>
              <w:bottom w:val="single" w:sz="2" w:space="0" w:color="1F3864" w:themeColor="accent1" w:themeShade="80"/>
            </w:tcBorders>
            <w:shd w:val="clear" w:color="auto" w:fill="auto"/>
          </w:tcPr>
          <w:p w14:paraId="1F10A55F" w14:textId="77777777" w:rsidR="0018155D" w:rsidRPr="00303CA5" w:rsidRDefault="0018155D">
            <w:pPr>
              <w:keepNext/>
              <w:keepLines/>
              <w:tabs>
                <w:tab w:val="left" w:pos="2244"/>
                <w:tab w:val="center" w:pos="3294"/>
                <w:tab w:val="left" w:pos="4208"/>
                <w:tab w:val="left" w:pos="5816"/>
                <w:tab w:val="left" w:pos="5872"/>
              </w:tabs>
              <w:spacing w:before="40" w:after="40"/>
              <w:jc w:val="right"/>
              <w:rPr>
                <w:rFonts w:ascii="Arial" w:hAnsi="Arial" w:cs="Arial"/>
                <w:b/>
                <w:spacing w:val="-2"/>
                <w:sz w:val="14"/>
                <w:szCs w:val="14"/>
              </w:rPr>
            </w:pPr>
          </w:p>
        </w:tc>
        <w:tc>
          <w:tcPr>
            <w:tcW w:w="488" w:type="dxa"/>
            <w:tcBorders>
              <w:top w:val="nil"/>
              <w:bottom w:val="single" w:sz="2" w:space="0" w:color="1F3864" w:themeColor="accent1" w:themeShade="80"/>
            </w:tcBorders>
            <w:shd w:val="clear" w:color="auto" w:fill="auto"/>
          </w:tcPr>
          <w:p w14:paraId="5CA4F19F" w14:textId="77777777" w:rsidR="0018155D" w:rsidRPr="00303CA5" w:rsidRDefault="0018155D">
            <w:pPr>
              <w:keepNext/>
              <w:keepLines/>
              <w:spacing w:before="40" w:after="40"/>
              <w:rPr>
                <w:rFonts w:ascii="Arial" w:hAnsi="Arial" w:cs="Arial"/>
                <w:b/>
                <w:spacing w:val="-2"/>
                <w:sz w:val="14"/>
                <w:szCs w:val="14"/>
              </w:rPr>
            </w:pPr>
          </w:p>
        </w:tc>
        <w:tc>
          <w:tcPr>
            <w:tcW w:w="1397" w:type="dxa"/>
            <w:gridSpan w:val="2"/>
            <w:tcBorders>
              <w:top w:val="nil"/>
              <w:bottom w:val="single" w:sz="4" w:space="0" w:color="auto"/>
            </w:tcBorders>
            <w:shd w:val="clear" w:color="auto" w:fill="auto"/>
          </w:tcPr>
          <w:p w14:paraId="3ED63EDF" w14:textId="77777777" w:rsidR="0018155D" w:rsidRPr="00303CA5" w:rsidRDefault="0018155D">
            <w:pPr>
              <w:keepNext/>
              <w:keepLines/>
              <w:spacing w:before="40" w:after="40"/>
              <w:jc w:val="right"/>
              <w:rPr>
                <w:rFonts w:ascii="Arial" w:hAnsi="Arial" w:cs="Arial"/>
                <w:b/>
                <w:spacing w:val="-2"/>
                <w:sz w:val="14"/>
                <w:szCs w:val="14"/>
              </w:rPr>
            </w:pPr>
          </w:p>
        </w:tc>
        <w:tc>
          <w:tcPr>
            <w:tcW w:w="1507" w:type="dxa"/>
            <w:tcBorders>
              <w:top w:val="nil"/>
              <w:bottom w:val="single" w:sz="4" w:space="0" w:color="auto"/>
            </w:tcBorders>
            <w:shd w:val="clear" w:color="auto" w:fill="auto"/>
          </w:tcPr>
          <w:p w14:paraId="3C36D03F" w14:textId="77777777" w:rsidR="0018155D" w:rsidRPr="00303CA5" w:rsidRDefault="0018155D">
            <w:pPr>
              <w:keepNext/>
              <w:keepLines/>
              <w:spacing w:before="40" w:after="40"/>
              <w:jc w:val="right"/>
              <w:rPr>
                <w:rFonts w:ascii="Arial" w:hAnsi="Arial" w:cs="Arial"/>
                <w:b/>
                <w:spacing w:val="-2"/>
                <w:sz w:val="14"/>
                <w:szCs w:val="14"/>
              </w:rPr>
            </w:pPr>
          </w:p>
        </w:tc>
        <w:tc>
          <w:tcPr>
            <w:tcW w:w="238" w:type="dxa"/>
            <w:tcBorders>
              <w:top w:val="nil"/>
              <w:bottom w:val="single" w:sz="2" w:space="0" w:color="1F3864" w:themeColor="accent1" w:themeShade="80"/>
            </w:tcBorders>
            <w:shd w:val="clear" w:color="auto" w:fill="auto"/>
            <w:vAlign w:val="center"/>
          </w:tcPr>
          <w:p w14:paraId="1DDFD58F" w14:textId="77777777" w:rsidR="0018155D" w:rsidRPr="00303CA5" w:rsidRDefault="0018155D">
            <w:pPr>
              <w:keepNext/>
              <w:keepLines/>
              <w:spacing w:before="40" w:after="40"/>
              <w:jc w:val="right"/>
              <w:rPr>
                <w:rFonts w:ascii="Arial" w:hAnsi="Arial" w:cs="Arial"/>
                <w:b/>
                <w:spacing w:val="-2"/>
                <w:sz w:val="14"/>
                <w:szCs w:val="14"/>
              </w:rPr>
            </w:pPr>
          </w:p>
        </w:tc>
        <w:tc>
          <w:tcPr>
            <w:tcW w:w="1401" w:type="dxa"/>
            <w:tcBorders>
              <w:top w:val="single" w:sz="4" w:space="0" w:color="1F3864" w:themeColor="accent1" w:themeShade="80"/>
              <w:bottom w:val="single" w:sz="2" w:space="0" w:color="1F3864" w:themeColor="accent1" w:themeShade="80"/>
            </w:tcBorders>
            <w:shd w:val="clear" w:color="auto" w:fill="auto"/>
            <w:vAlign w:val="center"/>
          </w:tcPr>
          <w:p w14:paraId="2F108C2B" w14:textId="653B50A0" w:rsidR="0018155D" w:rsidRPr="00303CA5" w:rsidRDefault="0018155D">
            <w:pPr>
              <w:keepNext/>
              <w:keepLines/>
              <w:spacing w:before="40" w:after="40"/>
              <w:jc w:val="right"/>
              <w:rPr>
                <w:rFonts w:ascii="Arial" w:hAnsi="Arial" w:cs="Arial"/>
                <w:b/>
                <w:spacing w:val="-2"/>
                <w:sz w:val="14"/>
                <w:szCs w:val="14"/>
              </w:rPr>
            </w:pPr>
            <w:r w:rsidRPr="00303CA5">
              <w:rPr>
                <w:rFonts w:ascii="Arial" w:hAnsi="Arial" w:cs="Arial"/>
                <w:b/>
                <w:spacing w:val="-2"/>
                <w:sz w:val="14"/>
                <w:szCs w:val="14"/>
              </w:rPr>
              <w:t>202</w:t>
            </w:r>
            <w:r w:rsidR="00AA758D">
              <w:rPr>
                <w:rFonts w:ascii="Arial" w:hAnsi="Arial" w:cs="Arial"/>
                <w:b/>
                <w:spacing w:val="-2"/>
                <w:sz w:val="14"/>
                <w:szCs w:val="14"/>
              </w:rPr>
              <w:t>4</w:t>
            </w:r>
          </w:p>
        </w:tc>
        <w:tc>
          <w:tcPr>
            <w:tcW w:w="1558" w:type="dxa"/>
            <w:tcBorders>
              <w:top w:val="single" w:sz="4" w:space="0" w:color="1F3864" w:themeColor="accent1" w:themeShade="80"/>
              <w:bottom w:val="single" w:sz="2" w:space="0" w:color="1F3864" w:themeColor="accent1" w:themeShade="80"/>
            </w:tcBorders>
            <w:shd w:val="clear" w:color="auto" w:fill="auto"/>
            <w:vAlign w:val="center"/>
          </w:tcPr>
          <w:p w14:paraId="28DE1075" w14:textId="5B2226F2" w:rsidR="0018155D" w:rsidRPr="00303CA5" w:rsidRDefault="00AA758D">
            <w:pPr>
              <w:keepNext/>
              <w:keepLines/>
              <w:spacing w:before="40" w:after="40"/>
              <w:jc w:val="right"/>
              <w:rPr>
                <w:rFonts w:ascii="Arial" w:hAnsi="Arial" w:cs="Arial"/>
                <w:b/>
                <w:spacing w:val="-2"/>
                <w:sz w:val="14"/>
                <w:szCs w:val="14"/>
              </w:rPr>
            </w:pPr>
            <w:r w:rsidRPr="00AA758D">
              <w:rPr>
                <w:rFonts w:ascii="Arial" w:hAnsi="Arial" w:cs="Arial"/>
                <w:b/>
                <w:spacing w:val="-2"/>
                <w:sz w:val="14"/>
                <w:szCs w:val="14"/>
              </w:rPr>
              <w:t>2023</w:t>
            </w:r>
          </w:p>
        </w:tc>
      </w:tr>
      <w:tr w:rsidR="004B00F4" w:rsidRPr="00303CA5" w14:paraId="6267B63F" w14:textId="77777777">
        <w:trPr>
          <w:trHeight w:val="238"/>
          <w:jc w:val="center"/>
        </w:trPr>
        <w:tc>
          <w:tcPr>
            <w:tcW w:w="3050" w:type="dxa"/>
            <w:tcBorders>
              <w:top w:val="single" w:sz="2" w:space="0" w:color="1F3864" w:themeColor="accent1" w:themeShade="80"/>
              <w:bottom w:val="nil"/>
            </w:tcBorders>
            <w:shd w:val="clear" w:color="auto" w:fill="auto"/>
            <w:vAlign w:val="center"/>
          </w:tcPr>
          <w:p w14:paraId="6FFCAA16" w14:textId="77777777" w:rsidR="004B00F4" w:rsidRPr="00303CA5" w:rsidRDefault="004B00F4" w:rsidP="004B00F4">
            <w:pPr>
              <w:pStyle w:val="08-Tabelageral"/>
              <w:jc w:val="left"/>
              <w:rPr>
                <w:rFonts w:cs="Arial"/>
                <w:szCs w:val="14"/>
                <w:vertAlign w:val="superscript"/>
              </w:rPr>
            </w:pPr>
            <w:proofErr w:type="spellStart"/>
            <w:r w:rsidRPr="00303CA5">
              <w:rPr>
                <w:rFonts w:cs="Arial"/>
                <w:szCs w:val="14"/>
              </w:rPr>
              <w:t>Administrative</w:t>
            </w:r>
            <w:proofErr w:type="spellEnd"/>
            <w:r w:rsidRPr="00303CA5">
              <w:rPr>
                <w:rFonts w:cs="Arial"/>
                <w:szCs w:val="14"/>
              </w:rPr>
              <w:t xml:space="preserve"> </w:t>
            </w:r>
            <w:proofErr w:type="spellStart"/>
            <w:r w:rsidRPr="00303CA5">
              <w:rPr>
                <w:rFonts w:cs="Arial"/>
                <w:szCs w:val="14"/>
              </w:rPr>
              <w:t>cost</w:t>
            </w:r>
            <w:proofErr w:type="spellEnd"/>
            <w:r w:rsidRPr="00303CA5">
              <w:rPr>
                <w:rFonts w:cs="Arial"/>
                <w:szCs w:val="14"/>
              </w:rPr>
              <w:t xml:space="preserve"> </w:t>
            </w:r>
            <w:proofErr w:type="spellStart"/>
            <w:r w:rsidRPr="00303CA5">
              <w:rPr>
                <w:rFonts w:cs="Arial"/>
                <w:szCs w:val="14"/>
              </w:rPr>
              <w:t>products</w:t>
            </w:r>
            <w:proofErr w:type="spellEnd"/>
          </w:p>
        </w:tc>
        <w:tc>
          <w:tcPr>
            <w:tcW w:w="488" w:type="dxa"/>
            <w:tcBorders>
              <w:top w:val="single" w:sz="2" w:space="0" w:color="1F3864" w:themeColor="accent1" w:themeShade="80"/>
              <w:bottom w:val="nil"/>
            </w:tcBorders>
            <w:shd w:val="clear" w:color="auto" w:fill="auto"/>
          </w:tcPr>
          <w:p w14:paraId="4B1602A8" w14:textId="77777777" w:rsidR="004B00F4" w:rsidRPr="00303CA5" w:rsidRDefault="004B00F4" w:rsidP="004B00F4">
            <w:pPr>
              <w:pStyle w:val="08-Tabelageral"/>
              <w:rPr>
                <w:rFonts w:cs="Arial"/>
                <w:szCs w:val="14"/>
              </w:rPr>
            </w:pPr>
          </w:p>
        </w:tc>
        <w:tc>
          <w:tcPr>
            <w:tcW w:w="1397" w:type="dxa"/>
            <w:gridSpan w:val="2"/>
            <w:tcBorders>
              <w:top w:val="single" w:sz="2" w:space="0" w:color="1F3864" w:themeColor="accent1" w:themeShade="80"/>
            </w:tcBorders>
            <w:shd w:val="clear" w:color="auto" w:fill="auto"/>
            <w:vAlign w:val="center"/>
          </w:tcPr>
          <w:p w14:paraId="2670B9D4" w14:textId="77777777" w:rsidR="004B00F4" w:rsidRPr="00303CA5" w:rsidRDefault="004B00F4" w:rsidP="004B00F4">
            <w:pPr>
              <w:pStyle w:val="08-Tabelageral"/>
              <w:rPr>
                <w:rFonts w:cs="Arial"/>
              </w:rPr>
            </w:pPr>
          </w:p>
        </w:tc>
        <w:tc>
          <w:tcPr>
            <w:tcW w:w="1507" w:type="dxa"/>
            <w:tcBorders>
              <w:top w:val="single" w:sz="2" w:space="0" w:color="1F3864" w:themeColor="accent1" w:themeShade="80"/>
            </w:tcBorders>
            <w:shd w:val="clear" w:color="auto" w:fill="auto"/>
            <w:vAlign w:val="center"/>
          </w:tcPr>
          <w:p w14:paraId="4D95C8D7" w14:textId="77777777" w:rsidR="004B00F4" w:rsidRPr="00303CA5" w:rsidRDefault="004B00F4" w:rsidP="004B00F4">
            <w:pPr>
              <w:pStyle w:val="08-Tabelageral"/>
              <w:rPr>
                <w:rFonts w:cs="Arial"/>
              </w:rPr>
            </w:pPr>
          </w:p>
        </w:tc>
        <w:tc>
          <w:tcPr>
            <w:tcW w:w="238" w:type="dxa"/>
            <w:tcBorders>
              <w:top w:val="single" w:sz="2" w:space="0" w:color="1F3864" w:themeColor="accent1" w:themeShade="80"/>
              <w:bottom w:val="nil"/>
            </w:tcBorders>
            <w:shd w:val="clear" w:color="auto" w:fill="auto"/>
            <w:vAlign w:val="center"/>
          </w:tcPr>
          <w:p w14:paraId="0646BD3F" w14:textId="77777777" w:rsidR="004B00F4" w:rsidRPr="00303CA5" w:rsidRDefault="004B00F4" w:rsidP="004B00F4">
            <w:pPr>
              <w:pStyle w:val="08-Tabelageral"/>
              <w:rPr>
                <w:rFonts w:cs="Arial"/>
                <w:szCs w:val="14"/>
              </w:rPr>
            </w:pPr>
          </w:p>
        </w:tc>
        <w:tc>
          <w:tcPr>
            <w:tcW w:w="1401" w:type="dxa"/>
            <w:tcBorders>
              <w:top w:val="single" w:sz="2" w:space="0" w:color="1F3864" w:themeColor="accent1" w:themeShade="80"/>
            </w:tcBorders>
            <w:shd w:val="clear" w:color="auto" w:fill="auto"/>
            <w:vAlign w:val="bottom"/>
          </w:tcPr>
          <w:p w14:paraId="62D6C4E5" w14:textId="2AEC328B" w:rsidR="004B00F4" w:rsidRPr="00303CA5" w:rsidRDefault="004B00F4" w:rsidP="004B00F4">
            <w:pPr>
              <w:pStyle w:val="08-Tabelageral"/>
              <w:rPr>
                <w:rFonts w:cs="Arial"/>
              </w:rPr>
            </w:pPr>
            <w:r w:rsidRPr="008106C0">
              <w:rPr>
                <w:rFonts w:cs="Arial"/>
              </w:rPr>
              <w:t xml:space="preserve">          (101</w:t>
            </w:r>
            <w:r w:rsidR="008C7A61">
              <w:rPr>
                <w:rFonts w:cs="Arial"/>
              </w:rPr>
              <w:t>,</w:t>
            </w:r>
            <w:r w:rsidRPr="008106C0">
              <w:rPr>
                <w:rFonts w:cs="Arial"/>
              </w:rPr>
              <w:t xml:space="preserve">861) </w:t>
            </w:r>
          </w:p>
        </w:tc>
        <w:tc>
          <w:tcPr>
            <w:tcW w:w="1558" w:type="dxa"/>
            <w:tcBorders>
              <w:top w:val="single" w:sz="2" w:space="0" w:color="1F3864" w:themeColor="accent1" w:themeShade="80"/>
            </w:tcBorders>
            <w:shd w:val="clear" w:color="auto" w:fill="auto"/>
            <w:vAlign w:val="center"/>
          </w:tcPr>
          <w:p w14:paraId="644C6912" w14:textId="3C4BA5E2" w:rsidR="004B00F4" w:rsidRPr="00303CA5" w:rsidRDefault="004B00F4" w:rsidP="004B00F4">
            <w:pPr>
              <w:pStyle w:val="08-Tabelageral"/>
              <w:rPr>
                <w:rFonts w:cs="Arial"/>
              </w:rPr>
            </w:pPr>
            <w:r w:rsidRPr="00432934">
              <w:rPr>
                <w:rFonts w:cs="Arial"/>
              </w:rPr>
              <w:t>(116,634)</w:t>
            </w:r>
          </w:p>
        </w:tc>
      </w:tr>
      <w:tr w:rsidR="004B00F4" w:rsidRPr="00303CA5" w14:paraId="683A8349" w14:textId="77777777">
        <w:trPr>
          <w:trHeight w:val="238"/>
          <w:jc w:val="center"/>
        </w:trPr>
        <w:tc>
          <w:tcPr>
            <w:tcW w:w="3050" w:type="dxa"/>
            <w:tcBorders>
              <w:top w:val="nil"/>
            </w:tcBorders>
            <w:shd w:val="clear" w:color="auto" w:fill="auto"/>
            <w:vAlign w:val="center"/>
          </w:tcPr>
          <w:p w14:paraId="3FC77F81" w14:textId="77777777" w:rsidR="004B00F4" w:rsidRPr="00303CA5" w:rsidRDefault="004B00F4" w:rsidP="004B00F4">
            <w:pPr>
              <w:pStyle w:val="08-Tabelageral"/>
              <w:jc w:val="left"/>
              <w:rPr>
                <w:rFonts w:cs="Arial"/>
                <w:szCs w:val="14"/>
              </w:rPr>
            </w:pPr>
            <w:proofErr w:type="spellStart"/>
            <w:r w:rsidRPr="00303CA5">
              <w:rPr>
                <w:rFonts w:cs="Arial"/>
                <w:szCs w:val="14"/>
              </w:rPr>
              <w:t>Operational</w:t>
            </w:r>
            <w:proofErr w:type="spellEnd"/>
            <w:r w:rsidRPr="00303CA5">
              <w:rPr>
                <w:rFonts w:cs="Arial"/>
                <w:szCs w:val="14"/>
              </w:rPr>
              <w:t xml:space="preserve"> </w:t>
            </w:r>
            <w:proofErr w:type="spellStart"/>
            <w:r w:rsidRPr="00303CA5">
              <w:rPr>
                <w:rFonts w:cs="Arial"/>
                <w:szCs w:val="14"/>
              </w:rPr>
              <w:t>support</w:t>
            </w:r>
            <w:proofErr w:type="spellEnd"/>
            <w:r w:rsidRPr="00303CA5">
              <w:rPr>
                <w:rFonts w:cs="Arial"/>
                <w:szCs w:val="14"/>
              </w:rPr>
              <w:t xml:space="preserve"> </w:t>
            </w:r>
            <w:proofErr w:type="spellStart"/>
            <w:r w:rsidRPr="00303CA5">
              <w:rPr>
                <w:rFonts w:cs="Arial"/>
                <w:szCs w:val="14"/>
              </w:rPr>
              <w:t>cost</w:t>
            </w:r>
            <w:proofErr w:type="spellEnd"/>
          </w:p>
        </w:tc>
        <w:tc>
          <w:tcPr>
            <w:tcW w:w="488" w:type="dxa"/>
            <w:tcBorders>
              <w:top w:val="nil"/>
            </w:tcBorders>
            <w:shd w:val="clear" w:color="auto" w:fill="auto"/>
          </w:tcPr>
          <w:p w14:paraId="637351ED" w14:textId="77777777" w:rsidR="004B00F4" w:rsidRPr="00303CA5" w:rsidRDefault="004B00F4" w:rsidP="004B00F4">
            <w:pPr>
              <w:pStyle w:val="08-Tabelageral"/>
              <w:rPr>
                <w:rFonts w:cs="Arial"/>
                <w:szCs w:val="14"/>
              </w:rPr>
            </w:pPr>
          </w:p>
        </w:tc>
        <w:tc>
          <w:tcPr>
            <w:tcW w:w="1397" w:type="dxa"/>
            <w:gridSpan w:val="2"/>
            <w:shd w:val="clear" w:color="auto" w:fill="auto"/>
            <w:vAlign w:val="center"/>
          </w:tcPr>
          <w:p w14:paraId="5A1AD7AC" w14:textId="77777777" w:rsidR="004B00F4" w:rsidRPr="00303CA5" w:rsidRDefault="004B00F4" w:rsidP="004B00F4">
            <w:pPr>
              <w:pStyle w:val="08-Tabelageral"/>
              <w:rPr>
                <w:rFonts w:cs="Arial"/>
              </w:rPr>
            </w:pPr>
          </w:p>
        </w:tc>
        <w:tc>
          <w:tcPr>
            <w:tcW w:w="1507" w:type="dxa"/>
            <w:shd w:val="clear" w:color="auto" w:fill="auto"/>
            <w:vAlign w:val="center"/>
          </w:tcPr>
          <w:p w14:paraId="52D0D4E0" w14:textId="77777777" w:rsidR="004B00F4" w:rsidRPr="00303CA5" w:rsidRDefault="004B00F4" w:rsidP="004B00F4">
            <w:pPr>
              <w:pStyle w:val="08-Tabelageral"/>
              <w:rPr>
                <w:rFonts w:cs="Arial"/>
              </w:rPr>
            </w:pPr>
          </w:p>
        </w:tc>
        <w:tc>
          <w:tcPr>
            <w:tcW w:w="238" w:type="dxa"/>
            <w:tcBorders>
              <w:top w:val="nil"/>
            </w:tcBorders>
            <w:shd w:val="clear" w:color="auto" w:fill="auto"/>
            <w:vAlign w:val="center"/>
          </w:tcPr>
          <w:p w14:paraId="308364BA" w14:textId="77777777" w:rsidR="004B00F4" w:rsidRPr="00303CA5" w:rsidRDefault="004B00F4" w:rsidP="004B00F4">
            <w:pPr>
              <w:pStyle w:val="08-Tabelageral"/>
              <w:rPr>
                <w:rFonts w:cs="Arial"/>
                <w:szCs w:val="14"/>
              </w:rPr>
            </w:pPr>
          </w:p>
        </w:tc>
        <w:tc>
          <w:tcPr>
            <w:tcW w:w="1401" w:type="dxa"/>
            <w:shd w:val="clear" w:color="auto" w:fill="auto"/>
            <w:vAlign w:val="bottom"/>
          </w:tcPr>
          <w:p w14:paraId="3BBBF4C2" w14:textId="58F747DE" w:rsidR="004B00F4" w:rsidRPr="00303CA5" w:rsidRDefault="004B00F4" w:rsidP="004B00F4">
            <w:pPr>
              <w:pStyle w:val="08-Tabelageral"/>
              <w:rPr>
                <w:rFonts w:cs="Arial"/>
              </w:rPr>
            </w:pPr>
            <w:r w:rsidRPr="008106C0">
              <w:rPr>
                <w:rFonts w:cs="Arial"/>
              </w:rPr>
              <w:t xml:space="preserve">            (42</w:t>
            </w:r>
            <w:r w:rsidR="008C7A61">
              <w:rPr>
                <w:rFonts w:cs="Arial"/>
              </w:rPr>
              <w:t>,</w:t>
            </w:r>
            <w:r w:rsidRPr="008106C0">
              <w:rPr>
                <w:rFonts w:cs="Arial"/>
              </w:rPr>
              <w:t xml:space="preserve">275) </w:t>
            </w:r>
          </w:p>
        </w:tc>
        <w:tc>
          <w:tcPr>
            <w:tcW w:w="1558" w:type="dxa"/>
            <w:shd w:val="clear" w:color="auto" w:fill="auto"/>
            <w:vAlign w:val="center"/>
          </w:tcPr>
          <w:p w14:paraId="34A9915E" w14:textId="33D40AE2" w:rsidR="004B00F4" w:rsidRPr="00303CA5" w:rsidRDefault="004B00F4" w:rsidP="004B00F4">
            <w:pPr>
              <w:pStyle w:val="08-Tabelageral"/>
              <w:rPr>
                <w:rFonts w:cs="Arial"/>
              </w:rPr>
            </w:pPr>
            <w:r w:rsidRPr="00432934">
              <w:rPr>
                <w:rFonts w:cs="Arial"/>
              </w:rPr>
              <w:t>(49,692)</w:t>
            </w:r>
          </w:p>
        </w:tc>
      </w:tr>
      <w:tr w:rsidR="004B00F4" w:rsidRPr="00303CA5" w14:paraId="01DA12E3" w14:textId="77777777">
        <w:trPr>
          <w:trHeight w:val="238"/>
          <w:jc w:val="center"/>
        </w:trPr>
        <w:tc>
          <w:tcPr>
            <w:tcW w:w="3050" w:type="dxa"/>
            <w:tcBorders>
              <w:bottom w:val="nil"/>
            </w:tcBorders>
            <w:shd w:val="clear" w:color="auto" w:fill="auto"/>
            <w:vAlign w:val="center"/>
          </w:tcPr>
          <w:p w14:paraId="27CB73F1" w14:textId="77777777" w:rsidR="004B00F4" w:rsidRPr="00303CA5" w:rsidRDefault="004B00F4" w:rsidP="004B00F4">
            <w:pPr>
              <w:pStyle w:val="08-Tabelageral"/>
              <w:jc w:val="left"/>
              <w:rPr>
                <w:rFonts w:cs="Arial"/>
                <w:szCs w:val="14"/>
              </w:rPr>
            </w:pPr>
            <w:r>
              <w:rPr>
                <w:rFonts w:cs="Arial"/>
                <w:szCs w:val="14"/>
              </w:rPr>
              <w:t>D</w:t>
            </w:r>
            <w:r w:rsidRPr="00303CA5">
              <w:rPr>
                <w:rFonts w:cs="Arial"/>
                <w:szCs w:val="14"/>
              </w:rPr>
              <w:t xml:space="preserve">ata </w:t>
            </w:r>
            <w:proofErr w:type="spellStart"/>
            <w:r w:rsidRPr="00303CA5">
              <w:rPr>
                <w:rFonts w:cs="Arial"/>
                <w:szCs w:val="14"/>
              </w:rPr>
              <w:t>processing</w:t>
            </w:r>
            <w:proofErr w:type="spellEnd"/>
            <w:r>
              <w:rPr>
                <w:rFonts w:cs="Arial"/>
                <w:szCs w:val="14"/>
              </w:rPr>
              <w:t xml:space="preserve"> cost</w:t>
            </w:r>
          </w:p>
        </w:tc>
        <w:tc>
          <w:tcPr>
            <w:tcW w:w="488" w:type="dxa"/>
            <w:tcBorders>
              <w:bottom w:val="nil"/>
            </w:tcBorders>
            <w:shd w:val="clear" w:color="auto" w:fill="auto"/>
          </w:tcPr>
          <w:p w14:paraId="432BB805" w14:textId="77777777" w:rsidR="004B00F4" w:rsidRPr="00303CA5" w:rsidRDefault="004B00F4" w:rsidP="004B00F4">
            <w:pPr>
              <w:pStyle w:val="08-Tabelageral"/>
              <w:rPr>
                <w:rFonts w:cs="Arial"/>
                <w:szCs w:val="14"/>
              </w:rPr>
            </w:pPr>
          </w:p>
        </w:tc>
        <w:tc>
          <w:tcPr>
            <w:tcW w:w="1397" w:type="dxa"/>
            <w:gridSpan w:val="2"/>
            <w:tcBorders>
              <w:bottom w:val="nil"/>
            </w:tcBorders>
            <w:shd w:val="clear" w:color="auto" w:fill="auto"/>
            <w:vAlign w:val="center"/>
          </w:tcPr>
          <w:p w14:paraId="7F3F7EFD" w14:textId="77777777" w:rsidR="004B00F4" w:rsidRPr="00303CA5" w:rsidRDefault="004B00F4" w:rsidP="004B00F4">
            <w:pPr>
              <w:pStyle w:val="08-Tabelageral"/>
              <w:rPr>
                <w:rFonts w:cs="Arial"/>
              </w:rPr>
            </w:pPr>
          </w:p>
        </w:tc>
        <w:tc>
          <w:tcPr>
            <w:tcW w:w="1507" w:type="dxa"/>
            <w:tcBorders>
              <w:bottom w:val="nil"/>
            </w:tcBorders>
            <w:shd w:val="clear" w:color="auto" w:fill="auto"/>
            <w:vAlign w:val="center"/>
          </w:tcPr>
          <w:p w14:paraId="41F7B4AF" w14:textId="77777777" w:rsidR="004B00F4" w:rsidRPr="00303CA5" w:rsidRDefault="004B00F4" w:rsidP="004B00F4">
            <w:pPr>
              <w:pStyle w:val="08-Tabelageral"/>
              <w:rPr>
                <w:rFonts w:cs="Arial"/>
              </w:rPr>
            </w:pPr>
          </w:p>
        </w:tc>
        <w:tc>
          <w:tcPr>
            <w:tcW w:w="238" w:type="dxa"/>
            <w:tcBorders>
              <w:bottom w:val="nil"/>
            </w:tcBorders>
            <w:shd w:val="clear" w:color="auto" w:fill="auto"/>
            <w:vAlign w:val="center"/>
          </w:tcPr>
          <w:p w14:paraId="56DB7251" w14:textId="77777777" w:rsidR="004B00F4" w:rsidRPr="00303CA5" w:rsidRDefault="004B00F4" w:rsidP="004B00F4">
            <w:pPr>
              <w:pStyle w:val="08-Tabelageral"/>
              <w:rPr>
                <w:rFonts w:cs="Arial"/>
                <w:szCs w:val="14"/>
              </w:rPr>
            </w:pPr>
          </w:p>
        </w:tc>
        <w:tc>
          <w:tcPr>
            <w:tcW w:w="1401" w:type="dxa"/>
            <w:tcBorders>
              <w:bottom w:val="nil"/>
            </w:tcBorders>
            <w:shd w:val="clear" w:color="auto" w:fill="auto"/>
            <w:vAlign w:val="center"/>
          </w:tcPr>
          <w:p w14:paraId="3BBD77F9" w14:textId="3A7DDD30" w:rsidR="004B00F4" w:rsidRPr="00303CA5" w:rsidRDefault="004B00F4" w:rsidP="004B00F4">
            <w:pPr>
              <w:pStyle w:val="08-Tabelageral"/>
              <w:rPr>
                <w:rFonts w:cs="Arial"/>
              </w:rPr>
            </w:pPr>
            <w:r w:rsidRPr="008106C0">
              <w:rPr>
                <w:rFonts w:cs="Arial"/>
              </w:rPr>
              <w:t xml:space="preserve">          (28</w:t>
            </w:r>
            <w:r w:rsidR="008C7A61">
              <w:rPr>
                <w:rFonts w:cs="Arial"/>
              </w:rPr>
              <w:t>,</w:t>
            </w:r>
            <w:r w:rsidRPr="008106C0">
              <w:rPr>
                <w:rFonts w:cs="Arial"/>
              </w:rPr>
              <w:t>062)</w:t>
            </w:r>
          </w:p>
        </w:tc>
        <w:tc>
          <w:tcPr>
            <w:tcW w:w="1558" w:type="dxa"/>
            <w:tcBorders>
              <w:bottom w:val="nil"/>
            </w:tcBorders>
            <w:shd w:val="clear" w:color="auto" w:fill="auto"/>
            <w:vAlign w:val="center"/>
          </w:tcPr>
          <w:p w14:paraId="6EB07088" w14:textId="1943317D" w:rsidR="004B00F4" w:rsidRPr="00303CA5" w:rsidRDefault="004B00F4" w:rsidP="004B00F4">
            <w:pPr>
              <w:pStyle w:val="08-Tabelageral"/>
              <w:rPr>
                <w:rFonts w:cs="Arial"/>
              </w:rPr>
            </w:pPr>
            <w:r w:rsidRPr="00432934">
              <w:rPr>
                <w:rFonts w:cs="Arial"/>
              </w:rPr>
              <w:t>(22,466)</w:t>
            </w:r>
          </w:p>
        </w:tc>
      </w:tr>
      <w:tr w:rsidR="004B00F4" w:rsidRPr="00303CA5" w14:paraId="67A1CA27" w14:textId="77777777">
        <w:trPr>
          <w:trHeight w:val="238"/>
          <w:jc w:val="center"/>
        </w:trPr>
        <w:tc>
          <w:tcPr>
            <w:tcW w:w="3050" w:type="dxa"/>
            <w:tcBorders>
              <w:top w:val="nil"/>
              <w:bottom w:val="single" w:sz="2" w:space="0" w:color="1F3864" w:themeColor="accent1" w:themeShade="80"/>
            </w:tcBorders>
            <w:shd w:val="clear" w:color="auto" w:fill="auto"/>
            <w:vAlign w:val="center"/>
          </w:tcPr>
          <w:p w14:paraId="26133D26" w14:textId="77777777" w:rsidR="004B00F4" w:rsidRPr="00303CA5" w:rsidRDefault="004B00F4" w:rsidP="004B00F4">
            <w:pPr>
              <w:keepNext/>
              <w:keepLines/>
              <w:spacing w:before="40" w:after="40"/>
              <w:rPr>
                <w:rFonts w:ascii="Arial" w:hAnsi="Arial" w:cs="Arial"/>
                <w:b/>
                <w:bCs/>
                <w:spacing w:val="-2"/>
                <w:sz w:val="14"/>
                <w:szCs w:val="14"/>
              </w:rPr>
            </w:pPr>
            <w:r w:rsidRPr="00303CA5">
              <w:rPr>
                <w:rFonts w:ascii="Arial" w:hAnsi="Arial" w:cs="Arial"/>
                <w:b/>
                <w:bCs/>
                <w:spacing w:val="-2"/>
                <w:sz w:val="14"/>
                <w:szCs w:val="14"/>
              </w:rPr>
              <w:t>Total</w:t>
            </w:r>
          </w:p>
        </w:tc>
        <w:tc>
          <w:tcPr>
            <w:tcW w:w="488" w:type="dxa"/>
            <w:tcBorders>
              <w:top w:val="nil"/>
              <w:bottom w:val="single" w:sz="2" w:space="0" w:color="1F3864" w:themeColor="accent1" w:themeShade="80"/>
            </w:tcBorders>
            <w:shd w:val="clear" w:color="auto" w:fill="auto"/>
          </w:tcPr>
          <w:p w14:paraId="4B1D9480" w14:textId="77777777" w:rsidR="004B00F4" w:rsidRPr="00303CA5" w:rsidRDefault="004B00F4" w:rsidP="004B00F4">
            <w:pPr>
              <w:keepNext/>
              <w:keepLines/>
              <w:spacing w:before="40" w:after="40"/>
              <w:jc w:val="center"/>
              <w:rPr>
                <w:rFonts w:ascii="Arial" w:hAnsi="Arial" w:cs="Arial"/>
                <w:b/>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48D6DE19" w14:textId="77777777" w:rsidR="004B00F4" w:rsidRPr="00303CA5" w:rsidRDefault="004B00F4" w:rsidP="004B00F4">
            <w:pPr>
              <w:pStyle w:val="08-Tabelageral"/>
              <w:rPr>
                <w:rFonts w:cs="Arial"/>
                <w:b/>
                <w:bCs/>
              </w:rPr>
            </w:pPr>
          </w:p>
        </w:tc>
        <w:tc>
          <w:tcPr>
            <w:tcW w:w="1507" w:type="dxa"/>
            <w:tcBorders>
              <w:top w:val="nil"/>
              <w:bottom w:val="single" w:sz="2" w:space="0" w:color="1F3864" w:themeColor="accent1" w:themeShade="80"/>
            </w:tcBorders>
            <w:shd w:val="clear" w:color="auto" w:fill="auto"/>
            <w:vAlign w:val="center"/>
          </w:tcPr>
          <w:p w14:paraId="761338A0" w14:textId="77777777" w:rsidR="004B00F4" w:rsidRPr="00303CA5" w:rsidRDefault="004B00F4" w:rsidP="004B00F4">
            <w:pPr>
              <w:pStyle w:val="08-Tabelageral"/>
              <w:rPr>
                <w:rFonts w:cs="Arial"/>
                <w:b/>
                <w:bCs/>
              </w:rPr>
            </w:pPr>
          </w:p>
        </w:tc>
        <w:tc>
          <w:tcPr>
            <w:tcW w:w="238" w:type="dxa"/>
            <w:tcBorders>
              <w:top w:val="nil"/>
              <w:bottom w:val="single" w:sz="2" w:space="0" w:color="1F3864" w:themeColor="accent1" w:themeShade="80"/>
            </w:tcBorders>
            <w:shd w:val="clear" w:color="auto" w:fill="auto"/>
            <w:vAlign w:val="center"/>
          </w:tcPr>
          <w:p w14:paraId="5A704045" w14:textId="77777777" w:rsidR="004B00F4" w:rsidRPr="00303CA5" w:rsidRDefault="004B00F4" w:rsidP="004B00F4">
            <w:pPr>
              <w:keepNext/>
              <w:keepLines/>
              <w:spacing w:before="40" w:after="40"/>
              <w:jc w:val="right"/>
              <w:rPr>
                <w:rFonts w:ascii="Arial" w:hAnsi="Arial" w:cs="Arial"/>
                <w:b/>
                <w:bCs/>
                <w:spacing w:val="-2"/>
                <w:sz w:val="14"/>
                <w:szCs w:val="14"/>
              </w:rPr>
            </w:pPr>
          </w:p>
        </w:tc>
        <w:tc>
          <w:tcPr>
            <w:tcW w:w="1401" w:type="dxa"/>
            <w:tcBorders>
              <w:top w:val="nil"/>
              <w:bottom w:val="single" w:sz="2" w:space="0" w:color="1F3864" w:themeColor="accent1" w:themeShade="80"/>
            </w:tcBorders>
            <w:shd w:val="clear" w:color="auto" w:fill="auto"/>
            <w:vAlign w:val="center"/>
          </w:tcPr>
          <w:p w14:paraId="1F5E7182" w14:textId="274A95FA" w:rsidR="004B00F4" w:rsidRPr="00303CA5" w:rsidRDefault="004B00F4" w:rsidP="004B00F4">
            <w:pPr>
              <w:pStyle w:val="08-Tabelageral"/>
              <w:rPr>
                <w:rFonts w:cs="Arial"/>
                <w:b/>
                <w:bCs/>
              </w:rPr>
            </w:pPr>
            <w:r w:rsidRPr="009F5FD6">
              <w:rPr>
                <w:rFonts w:cs="Arial"/>
                <w:b/>
                <w:bCs/>
              </w:rPr>
              <w:t>(172</w:t>
            </w:r>
            <w:r w:rsidR="008C7A61">
              <w:rPr>
                <w:rFonts w:cs="Arial"/>
                <w:b/>
                <w:bCs/>
              </w:rPr>
              <w:t>,</w:t>
            </w:r>
            <w:r w:rsidRPr="009F5FD6">
              <w:rPr>
                <w:rFonts w:cs="Arial"/>
                <w:b/>
                <w:bCs/>
              </w:rPr>
              <w:t>198)</w:t>
            </w:r>
          </w:p>
        </w:tc>
        <w:tc>
          <w:tcPr>
            <w:tcW w:w="1558" w:type="dxa"/>
            <w:tcBorders>
              <w:top w:val="nil"/>
              <w:bottom w:val="single" w:sz="2" w:space="0" w:color="1F3864" w:themeColor="accent1" w:themeShade="80"/>
            </w:tcBorders>
            <w:shd w:val="clear" w:color="auto" w:fill="auto"/>
            <w:vAlign w:val="center"/>
          </w:tcPr>
          <w:p w14:paraId="053544EC" w14:textId="233A9E57" w:rsidR="004B00F4" w:rsidRPr="00303CA5" w:rsidRDefault="004B00F4" w:rsidP="004B00F4">
            <w:pPr>
              <w:pStyle w:val="08-Tabelageral"/>
              <w:rPr>
                <w:rFonts w:cs="Arial"/>
                <w:b/>
                <w:bCs/>
              </w:rPr>
            </w:pPr>
            <w:r w:rsidRPr="00432934">
              <w:rPr>
                <w:rFonts w:cs="Arial"/>
                <w:b/>
              </w:rPr>
              <w:t>(188,792)</w:t>
            </w:r>
          </w:p>
        </w:tc>
      </w:tr>
    </w:tbl>
    <w:p w14:paraId="44D531C1" w14:textId="77777777" w:rsidR="0018155D" w:rsidRPr="00432934" w:rsidRDefault="0018155D" w:rsidP="00123ACC">
      <w:pPr>
        <w:pStyle w:val="01-TtulodeNota"/>
        <w:rPr>
          <w:rFonts w:cs="Arial"/>
          <w:b w:val="0"/>
          <w:sz w:val="18"/>
          <w:szCs w:val="18"/>
          <w:lang w:val="en-US"/>
        </w:rPr>
      </w:pPr>
      <w:r w:rsidRPr="00432934">
        <w:rPr>
          <w:rFonts w:cs="Arial"/>
          <w:b w:val="0"/>
          <w:sz w:val="18"/>
          <w:szCs w:val="18"/>
          <w:lang w:val="en-US"/>
        </w:rPr>
        <w:t>There are no service costs provided in the Parent.</w:t>
      </w:r>
    </w:p>
    <w:p w14:paraId="1A667E7E" w14:textId="45235212" w:rsidR="0052155F" w:rsidRPr="00432934" w:rsidRDefault="004725AE" w:rsidP="00E14B2F">
      <w:pPr>
        <w:pStyle w:val="Ttulo1"/>
        <w:spacing w:line="259" w:lineRule="auto"/>
        <w:jc w:val="both"/>
        <w:rPr>
          <w:rFonts w:ascii="Arial" w:hAnsi="Arial" w:cs="Arial"/>
          <w:b/>
          <w:color w:val="1F3864" w:themeColor="accent1" w:themeShade="80"/>
          <w:sz w:val="20"/>
          <w:lang w:val="en-US"/>
        </w:rPr>
      </w:pPr>
      <w:bookmarkStart w:id="60" w:name="_Toc149573395"/>
      <w:bookmarkStart w:id="61" w:name="_Toc157446723"/>
      <w:bookmarkStart w:id="62" w:name="_Toc190680631"/>
      <w:r w:rsidRPr="00432934">
        <w:rPr>
          <w:rFonts w:ascii="Arial" w:hAnsi="Arial" w:cs="Arial"/>
          <w:b/>
          <w:color w:val="1F3864" w:themeColor="accent1" w:themeShade="80"/>
          <w:sz w:val="20"/>
          <w:lang w:val="en-US"/>
        </w:rPr>
        <w:t>10 – PERSONNEL EXPENSES</w:t>
      </w:r>
      <w:bookmarkEnd w:id="60"/>
      <w:bookmarkEnd w:id="61"/>
      <w:bookmarkEnd w:id="62"/>
    </w:p>
    <w:p w14:paraId="35705887" w14:textId="77777777" w:rsidR="00C463E4" w:rsidRPr="000B3CAB" w:rsidRDefault="00C463E4" w:rsidP="00C463E4">
      <w:pPr>
        <w:pStyle w:val="01-TtulodeNota"/>
        <w:spacing w:before="0" w:after="0"/>
        <w:jc w:val="right"/>
        <w:rPr>
          <w:rFonts w:cs="Arial"/>
          <w:sz w:val="14"/>
          <w:szCs w:val="14"/>
        </w:rPr>
      </w:pPr>
      <w:r w:rsidRPr="000B3CAB">
        <w:rPr>
          <w:rFonts w:cs="Arial"/>
          <w:sz w:val="14"/>
          <w:szCs w:val="14"/>
        </w:rPr>
        <w:t xml:space="preserve">R$ </w:t>
      </w:r>
      <w:proofErr w:type="spellStart"/>
      <w:r w:rsidRPr="000B3CAB">
        <w:rPr>
          <w:rFonts w:cs="Arial"/>
          <w:sz w:val="14"/>
          <w:szCs w:val="14"/>
        </w:rPr>
        <w:t>thousand</w:t>
      </w:r>
      <w:proofErr w:type="spellEnd"/>
    </w:p>
    <w:tbl>
      <w:tblPr>
        <w:tblStyle w:val="TabeladeLista6Colorida-nfase51"/>
        <w:tblW w:w="9639" w:type="dxa"/>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C463E4" w:rsidRPr="000B3CAB" w14:paraId="147DF2BF" w14:textId="77777777" w:rsidTr="005E57FF">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FFFFFF" w:themeFill="background1"/>
          </w:tcPr>
          <w:p w14:paraId="32010AC9" w14:textId="77777777" w:rsidR="00C463E4" w:rsidRPr="000B3CAB" w:rsidRDefault="00C463E4">
            <w:pPr>
              <w:pStyle w:val="08-Tabelageral"/>
              <w:jc w:val="center"/>
              <w:rPr>
                <w:rFonts w:cs="Arial"/>
                <w:color w:val="auto"/>
                <w:szCs w:val="14"/>
              </w:rPr>
            </w:pPr>
          </w:p>
        </w:tc>
        <w:tc>
          <w:tcPr>
            <w:tcW w:w="2848" w:type="dxa"/>
            <w:gridSpan w:val="2"/>
            <w:tcBorders>
              <w:top w:val="single" w:sz="2" w:space="0" w:color="1F3864" w:themeColor="accent1" w:themeShade="80"/>
              <w:bottom w:val="nil"/>
            </w:tcBorders>
            <w:shd w:val="clear" w:color="auto" w:fill="FFFFFF" w:themeFill="background1"/>
          </w:tcPr>
          <w:p w14:paraId="6D078F64" w14:textId="77777777" w:rsidR="00C463E4" w:rsidRPr="000B3CAB" w:rsidRDefault="00C463E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5614EF61" w14:textId="77777777" w:rsidR="00C463E4" w:rsidRPr="000B3CAB" w:rsidRDefault="00C463E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7C304669" w14:textId="77777777" w:rsidR="00C463E4" w:rsidRPr="000B3CAB" w:rsidRDefault="00C463E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630A12BE" w14:textId="77777777" w:rsidR="00C463E4" w:rsidRPr="000B3CAB" w:rsidRDefault="00C463E4">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Consolidated</w:t>
            </w:r>
            <w:proofErr w:type="spellEnd"/>
          </w:p>
        </w:tc>
      </w:tr>
      <w:tr w:rsidR="00C463E4" w:rsidRPr="000B3CAB" w14:paraId="59584061" w14:textId="77777777" w:rsidTr="005E57FF">
        <w:trPr>
          <w:trHeight w:hRule="exact" w:val="334"/>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3ED63632" w14:textId="77777777" w:rsidR="00C463E4" w:rsidRPr="000B3CAB" w:rsidRDefault="00C463E4">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shd w:val="clear" w:color="auto" w:fill="FFFFFF" w:themeFill="background1"/>
          </w:tcPr>
          <w:p w14:paraId="3AE9E778" w14:textId="77777777" w:rsidR="00C463E4" w:rsidRPr="000B3CAB" w:rsidRDefault="00C463E4">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shd w:val="clear" w:color="auto" w:fill="FFFFFF" w:themeFill="background1"/>
          </w:tcPr>
          <w:p w14:paraId="3A61AF20" w14:textId="77777777" w:rsidR="00C463E4" w:rsidRPr="000B3CAB" w:rsidRDefault="00C463E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202</w:t>
            </w:r>
            <w:r>
              <w:rPr>
                <w:rFonts w:ascii="Arial" w:hAnsi="Arial" w:cs="Arial"/>
                <w:b/>
                <w:bCs/>
                <w:sz w:val="14"/>
                <w:szCs w:val="14"/>
              </w:rPr>
              <w:t>4</w:t>
            </w:r>
          </w:p>
        </w:tc>
        <w:tc>
          <w:tcPr>
            <w:tcW w:w="1412" w:type="dxa"/>
            <w:tcBorders>
              <w:top w:val="single" w:sz="4" w:space="0" w:color="1F3864" w:themeColor="accent1" w:themeShade="80"/>
              <w:bottom w:val="single" w:sz="2" w:space="0" w:color="1F3864" w:themeColor="accent1" w:themeShade="80"/>
            </w:tcBorders>
            <w:shd w:val="clear" w:color="auto" w:fill="FFFFFF" w:themeFill="background1"/>
          </w:tcPr>
          <w:p w14:paraId="508831DF" w14:textId="77777777" w:rsidR="00C463E4" w:rsidRPr="000B3CAB" w:rsidRDefault="00C463E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202</w:t>
            </w:r>
            <w:r>
              <w:rPr>
                <w:rFonts w:ascii="Arial" w:hAnsi="Arial" w:cs="Arial"/>
                <w:b/>
                <w:bCs/>
                <w:spacing w:val="-2"/>
                <w:sz w:val="14"/>
                <w:szCs w:val="14"/>
              </w:rPr>
              <w:t>3</w:t>
            </w:r>
          </w:p>
        </w:tc>
        <w:tc>
          <w:tcPr>
            <w:tcW w:w="283" w:type="dxa"/>
            <w:tcBorders>
              <w:top w:val="nil"/>
              <w:bottom w:val="single" w:sz="2" w:space="0" w:color="1F3864" w:themeColor="accent1" w:themeShade="80"/>
            </w:tcBorders>
            <w:shd w:val="clear" w:color="auto" w:fill="FFFFFF" w:themeFill="background1"/>
            <w:vAlign w:val="center"/>
          </w:tcPr>
          <w:p w14:paraId="13EE0A49" w14:textId="77777777" w:rsidR="00C463E4" w:rsidRPr="000B3CAB" w:rsidRDefault="00C463E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7" w:type="dxa"/>
            <w:tcBorders>
              <w:top w:val="single" w:sz="4" w:space="0" w:color="1F3864" w:themeColor="accent1" w:themeShade="80"/>
              <w:bottom w:val="single" w:sz="2" w:space="0" w:color="1F3864" w:themeColor="accent1" w:themeShade="80"/>
            </w:tcBorders>
            <w:shd w:val="clear" w:color="auto" w:fill="FFFFFF" w:themeFill="background1"/>
          </w:tcPr>
          <w:p w14:paraId="2E0D56EE" w14:textId="77777777" w:rsidR="00C463E4" w:rsidRPr="000B3CAB" w:rsidRDefault="00C463E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202</w:t>
            </w:r>
            <w:r>
              <w:rPr>
                <w:rFonts w:ascii="Arial" w:hAnsi="Arial" w:cs="Arial"/>
                <w:b/>
                <w:bCs/>
                <w:sz w:val="14"/>
                <w:szCs w:val="14"/>
              </w:rPr>
              <w:t>4</w:t>
            </w:r>
          </w:p>
        </w:tc>
        <w:tc>
          <w:tcPr>
            <w:tcW w:w="1418" w:type="dxa"/>
            <w:tcBorders>
              <w:top w:val="single" w:sz="4" w:space="0" w:color="1F3864" w:themeColor="accent1" w:themeShade="80"/>
              <w:bottom w:val="single" w:sz="2" w:space="0" w:color="1F3864" w:themeColor="accent1" w:themeShade="80"/>
            </w:tcBorders>
            <w:shd w:val="clear" w:color="auto" w:fill="FFFFFF" w:themeFill="background1"/>
          </w:tcPr>
          <w:p w14:paraId="50CCBC15" w14:textId="77777777" w:rsidR="00C463E4" w:rsidRPr="000B3CAB" w:rsidRDefault="00C463E4">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202</w:t>
            </w:r>
            <w:r>
              <w:rPr>
                <w:rFonts w:ascii="Arial" w:hAnsi="Arial" w:cs="Arial"/>
                <w:b/>
                <w:bCs/>
                <w:spacing w:val="-2"/>
                <w:sz w:val="14"/>
                <w:szCs w:val="14"/>
              </w:rPr>
              <w:t>3</w:t>
            </w:r>
          </w:p>
        </w:tc>
      </w:tr>
      <w:tr w:rsidR="00C463E4" w:rsidRPr="000B3CAB" w14:paraId="508EF104" w14:textId="77777777" w:rsidTr="005E57F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FFFFFF" w:themeFill="background1"/>
            <w:vAlign w:val="center"/>
          </w:tcPr>
          <w:p w14:paraId="29AA9F68" w14:textId="77777777" w:rsidR="00C463E4" w:rsidRPr="000B3CAB" w:rsidRDefault="00C463E4">
            <w:pPr>
              <w:pStyle w:val="08-Tabelageral"/>
              <w:jc w:val="left"/>
              <w:rPr>
                <w:b w:val="0"/>
                <w:bCs w:val="0"/>
                <w:color w:val="auto"/>
              </w:rPr>
            </w:pPr>
            <w:r w:rsidRPr="000B3CAB">
              <w:rPr>
                <w:b w:val="0"/>
                <w:bCs w:val="0"/>
                <w:color w:val="auto"/>
              </w:rPr>
              <w:t>Salaries</w:t>
            </w:r>
            <w:r>
              <w:rPr>
                <w:b w:val="0"/>
                <w:bCs w:val="0"/>
                <w:color w:val="auto"/>
              </w:rPr>
              <w:t xml:space="preserve"> </w:t>
            </w:r>
            <w:r>
              <w:rPr>
                <w:rFonts w:cs="Arial"/>
                <w:szCs w:val="14"/>
                <w:vertAlign w:val="superscript"/>
              </w:rPr>
              <w:t>(1)</w:t>
            </w:r>
          </w:p>
        </w:tc>
        <w:tc>
          <w:tcPr>
            <w:tcW w:w="604" w:type="dxa"/>
            <w:tcBorders>
              <w:top w:val="single" w:sz="2" w:space="0" w:color="1F3864" w:themeColor="accent1" w:themeShade="80"/>
              <w:bottom w:val="nil"/>
            </w:tcBorders>
            <w:shd w:val="clear" w:color="auto" w:fill="FFFFFF" w:themeFill="background1"/>
            <w:vAlign w:val="center"/>
          </w:tcPr>
          <w:p w14:paraId="11B22E47"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FFFFFF" w:themeFill="background1"/>
          </w:tcPr>
          <w:p w14:paraId="7BA616EE"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(6,640)</w:t>
            </w:r>
          </w:p>
        </w:tc>
        <w:tc>
          <w:tcPr>
            <w:tcW w:w="1412" w:type="dxa"/>
            <w:tcBorders>
              <w:top w:val="single" w:sz="2" w:space="0" w:color="1F3864" w:themeColor="accent1" w:themeShade="80"/>
              <w:bottom w:val="nil"/>
            </w:tcBorders>
            <w:shd w:val="clear" w:color="auto" w:fill="FFFFFF" w:themeFill="background1"/>
          </w:tcPr>
          <w:p w14:paraId="2DCAB10F"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(7,061)</w:t>
            </w:r>
          </w:p>
        </w:tc>
        <w:tc>
          <w:tcPr>
            <w:tcW w:w="283" w:type="dxa"/>
            <w:tcBorders>
              <w:top w:val="single" w:sz="2" w:space="0" w:color="1F3864" w:themeColor="accent1" w:themeShade="80"/>
              <w:bottom w:val="nil"/>
            </w:tcBorders>
            <w:shd w:val="clear" w:color="auto" w:fill="FFFFFF" w:themeFill="background1"/>
            <w:vAlign w:val="center"/>
          </w:tcPr>
          <w:p w14:paraId="53F74505"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FFFFFF" w:themeFill="background1"/>
            <w:vAlign w:val="center"/>
          </w:tcPr>
          <w:p w14:paraId="501FAFFA"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(50,594)</w:t>
            </w:r>
          </w:p>
        </w:tc>
        <w:tc>
          <w:tcPr>
            <w:tcW w:w="1418" w:type="dxa"/>
            <w:tcBorders>
              <w:top w:val="single" w:sz="2" w:space="0" w:color="1F3864" w:themeColor="accent1" w:themeShade="80"/>
              <w:bottom w:val="nil"/>
            </w:tcBorders>
            <w:shd w:val="clear" w:color="auto" w:fill="FFFFFF" w:themeFill="background1"/>
            <w:vAlign w:val="center"/>
          </w:tcPr>
          <w:p w14:paraId="6AAED785"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(48,574)</w:t>
            </w:r>
          </w:p>
        </w:tc>
      </w:tr>
      <w:tr w:rsidR="00C463E4" w:rsidRPr="000B3CAB" w14:paraId="139B7142" w14:textId="77777777" w:rsidTr="005E57FF">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16C10F48" w14:textId="77777777" w:rsidR="00C463E4" w:rsidRPr="000B3CAB" w:rsidRDefault="00C463E4">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shd w:val="clear" w:color="auto" w:fill="FFFFFF" w:themeFill="background1"/>
            <w:vAlign w:val="center"/>
          </w:tcPr>
          <w:p w14:paraId="0773F50E"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shd w:val="clear" w:color="auto" w:fill="FFFFFF" w:themeFill="background1"/>
          </w:tcPr>
          <w:p w14:paraId="068CE0E6"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(3,294)</w:t>
            </w:r>
          </w:p>
        </w:tc>
        <w:tc>
          <w:tcPr>
            <w:tcW w:w="1412" w:type="dxa"/>
            <w:tcBorders>
              <w:top w:val="nil"/>
            </w:tcBorders>
            <w:shd w:val="clear" w:color="auto" w:fill="FFFFFF" w:themeFill="background1"/>
          </w:tcPr>
          <w:p w14:paraId="659C7D9E"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(3,844)</w:t>
            </w:r>
          </w:p>
        </w:tc>
        <w:tc>
          <w:tcPr>
            <w:tcW w:w="283" w:type="dxa"/>
            <w:tcBorders>
              <w:top w:val="nil"/>
            </w:tcBorders>
            <w:shd w:val="clear" w:color="auto" w:fill="FFFFFF" w:themeFill="background1"/>
            <w:vAlign w:val="center"/>
          </w:tcPr>
          <w:p w14:paraId="3F8BFABA"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shd w:val="clear" w:color="auto" w:fill="FFFFFF" w:themeFill="background1"/>
            <w:vAlign w:val="center"/>
          </w:tcPr>
          <w:p w14:paraId="781E93B9"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(25,266)</w:t>
            </w:r>
          </w:p>
        </w:tc>
        <w:tc>
          <w:tcPr>
            <w:tcW w:w="1418" w:type="dxa"/>
            <w:tcBorders>
              <w:top w:val="nil"/>
            </w:tcBorders>
            <w:shd w:val="clear" w:color="auto" w:fill="FFFFFF" w:themeFill="background1"/>
            <w:vAlign w:val="center"/>
          </w:tcPr>
          <w:p w14:paraId="48161E76"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(24,370)</w:t>
            </w:r>
          </w:p>
        </w:tc>
      </w:tr>
      <w:tr w:rsidR="00C463E4" w:rsidRPr="000B3CAB" w14:paraId="0C7A8155" w14:textId="77777777" w:rsidTr="005E57F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FFFFFF" w:themeFill="background1"/>
            <w:vAlign w:val="center"/>
          </w:tcPr>
          <w:p w14:paraId="4D54A307" w14:textId="77777777" w:rsidR="00C463E4" w:rsidRPr="000B3CAB" w:rsidRDefault="00C463E4">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FFFFFF" w:themeFill="background1"/>
            <w:vAlign w:val="center"/>
          </w:tcPr>
          <w:p w14:paraId="42FF2A45"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FFFFFF" w:themeFill="background1"/>
          </w:tcPr>
          <w:p w14:paraId="52057407"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(1,039)</w:t>
            </w:r>
          </w:p>
        </w:tc>
        <w:tc>
          <w:tcPr>
            <w:tcW w:w="1412" w:type="dxa"/>
            <w:shd w:val="clear" w:color="auto" w:fill="FFFFFF" w:themeFill="background1"/>
          </w:tcPr>
          <w:p w14:paraId="36411E04"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(1,100)</w:t>
            </w:r>
          </w:p>
        </w:tc>
        <w:tc>
          <w:tcPr>
            <w:tcW w:w="283" w:type="dxa"/>
            <w:shd w:val="clear" w:color="auto" w:fill="FFFFFF" w:themeFill="background1"/>
            <w:vAlign w:val="center"/>
          </w:tcPr>
          <w:p w14:paraId="7B294163"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FFFFFF" w:themeFill="background1"/>
            <w:vAlign w:val="center"/>
          </w:tcPr>
          <w:p w14:paraId="78BE6D2B"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(8,664)</w:t>
            </w:r>
          </w:p>
        </w:tc>
        <w:tc>
          <w:tcPr>
            <w:tcW w:w="1418" w:type="dxa"/>
            <w:shd w:val="clear" w:color="auto" w:fill="FFFFFF" w:themeFill="background1"/>
            <w:vAlign w:val="center"/>
          </w:tcPr>
          <w:p w14:paraId="3C6F14B7"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(7,883)</w:t>
            </w:r>
          </w:p>
        </w:tc>
      </w:tr>
      <w:tr w:rsidR="00C463E4" w:rsidRPr="000B3CAB" w14:paraId="44C73A41" w14:textId="77777777" w:rsidTr="005E57FF">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52C04CFB" w14:textId="77777777" w:rsidR="00C463E4" w:rsidRPr="000B3CAB" w:rsidRDefault="00C463E4">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shd w:val="clear" w:color="auto" w:fill="FFFFFF" w:themeFill="background1"/>
            <w:vAlign w:val="center"/>
          </w:tcPr>
          <w:p w14:paraId="36560E61"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shd w:val="clear" w:color="auto" w:fill="FFFFFF" w:themeFill="background1"/>
          </w:tcPr>
          <w:p w14:paraId="1E7266DF"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(811)</w:t>
            </w:r>
          </w:p>
        </w:tc>
        <w:tc>
          <w:tcPr>
            <w:tcW w:w="1412" w:type="dxa"/>
            <w:shd w:val="clear" w:color="auto" w:fill="FFFFFF" w:themeFill="background1"/>
          </w:tcPr>
          <w:p w14:paraId="25E1455E"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(980)</w:t>
            </w:r>
          </w:p>
        </w:tc>
        <w:tc>
          <w:tcPr>
            <w:tcW w:w="283" w:type="dxa"/>
            <w:shd w:val="clear" w:color="auto" w:fill="FFFFFF" w:themeFill="background1"/>
            <w:vAlign w:val="center"/>
          </w:tcPr>
          <w:p w14:paraId="4E2EDE25"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shd w:val="clear" w:color="auto" w:fill="FFFFFF" w:themeFill="background1"/>
            <w:vAlign w:val="center"/>
          </w:tcPr>
          <w:p w14:paraId="770D17B7"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(4,534)</w:t>
            </w:r>
          </w:p>
        </w:tc>
        <w:tc>
          <w:tcPr>
            <w:tcW w:w="1418" w:type="dxa"/>
            <w:shd w:val="clear" w:color="auto" w:fill="FFFFFF" w:themeFill="background1"/>
            <w:vAlign w:val="center"/>
          </w:tcPr>
          <w:p w14:paraId="4C53C55C"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color w:val="FF0000"/>
              </w:rPr>
            </w:pPr>
            <w:r>
              <w:t>(4,467)</w:t>
            </w:r>
          </w:p>
        </w:tc>
      </w:tr>
      <w:tr w:rsidR="00C463E4" w:rsidRPr="000B3CAB" w14:paraId="054DAE0B" w14:textId="77777777" w:rsidTr="005E57F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2A12B5AB" w14:textId="77777777" w:rsidR="00C463E4" w:rsidRPr="000B3CAB" w:rsidRDefault="00C463E4">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FFFFFF" w:themeFill="background1"/>
            <w:vAlign w:val="center"/>
          </w:tcPr>
          <w:p w14:paraId="2AD023BC"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FFFFFF" w:themeFill="background1"/>
          </w:tcPr>
          <w:p w14:paraId="0DF7A922"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(69)</w:t>
            </w:r>
          </w:p>
        </w:tc>
        <w:tc>
          <w:tcPr>
            <w:tcW w:w="1412" w:type="dxa"/>
            <w:tcBorders>
              <w:bottom w:val="nil"/>
            </w:tcBorders>
            <w:shd w:val="clear" w:color="auto" w:fill="FFFFFF" w:themeFill="background1"/>
          </w:tcPr>
          <w:p w14:paraId="71203BEA"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(144)</w:t>
            </w:r>
          </w:p>
        </w:tc>
        <w:tc>
          <w:tcPr>
            <w:tcW w:w="283" w:type="dxa"/>
            <w:tcBorders>
              <w:bottom w:val="nil"/>
            </w:tcBorders>
            <w:shd w:val="clear" w:color="auto" w:fill="FFFFFF" w:themeFill="background1"/>
            <w:vAlign w:val="center"/>
          </w:tcPr>
          <w:p w14:paraId="7CA7738B"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FFFFFF" w:themeFill="background1"/>
            <w:vAlign w:val="center"/>
          </w:tcPr>
          <w:p w14:paraId="3F089F4C"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(607)</w:t>
            </w:r>
          </w:p>
        </w:tc>
        <w:tc>
          <w:tcPr>
            <w:tcW w:w="1418" w:type="dxa"/>
            <w:tcBorders>
              <w:bottom w:val="nil"/>
            </w:tcBorders>
            <w:shd w:val="clear" w:color="auto" w:fill="FFFFFF" w:themeFill="background1"/>
            <w:vAlign w:val="center"/>
          </w:tcPr>
          <w:p w14:paraId="48D3ED91" w14:textId="77777777" w:rsidR="00C463E4" w:rsidRPr="000B3CAB" w:rsidRDefault="00C463E4">
            <w:pPr>
              <w:pStyle w:val="08-Tabelageral"/>
              <w:cnfStyle w:val="000000010000" w:firstRow="0" w:lastRow="0" w:firstColumn="0" w:lastColumn="0" w:oddVBand="0" w:evenVBand="0" w:oddHBand="0" w:evenHBand="1" w:firstRowFirstColumn="0" w:firstRowLastColumn="0" w:lastRowFirstColumn="0" w:lastRowLastColumn="0"/>
              <w:rPr>
                <w:color w:val="FF0000"/>
              </w:rPr>
            </w:pPr>
            <w:r>
              <w:t>(828)</w:t>
            </w:r>
          </w:p>
        </w:tc>
      </w:tr>
      <w:tr w:rsidR="00C463E4" w:rsidRPr="000B3CAB" w14:paraId="4E532D6E" w14:textId="77777777" w:rsidTr="005E57FF">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vAlign w:val="center"/>
          </w:tcPr>
          <w:p w14:paraId="101A91B9" w14:textId="77777777" w:rsidR="00C463E4" w:rsidRPr="000B3CAB" w:rsidRDefault="00C463E4">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shd w:val="clear" w:color="auto" w:fill="FFFFFF" w:themeFill="background1"/>
            <w:vAlign w:val="center"/>
          </w:tcPr>
          <w:p w14:paraId="665522BF"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shd w:val="clear" w:color="auto" w:fill="FFFFFF" w:themeFill="background1"/>
          </w:tcPr>
          <w:p w14:paraId="6B22F098"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(11,853)</w:t>
            </w:r>
          </w:p>
        </w:tc>
        <w:tc>
          <w:tcPr>
            <w:tcW w:w="1412" w:type="dxa"/>
            <w:tcBorders>
              <w:top w:val="nil"/>
              <w:bottom w:val="single" w:sz="2" w:space="0" w:color="1F3864" w:themeColor="accent1" w:themeShade="80"/>
            </w:tcBorders>
            <w:shd w:val="clear" w:color="auto" w:fill="FFFFFF" w:themeFill="background1"/>
          </w:tcPr>
          <w:p w14:paraId="3674F70C"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(13,129)</w:t>
            </w:r>
          </w:p>
        </w:tc>
        <w:tc>
          <w:tcPr>
            <w:tcW w:w="283" w:type="dxa"/>
            <w:tcBorders>
              <w:top w:val="nil"/>
              <w:bottom w:val="single" w:sz="2" w:space="0" w:color="1F3864" w:themeColor="accent1" w:themeShade="80"/>
            </w:tcBorders>
            <w:shd w:val="clear" w:color="auto" w:fill="FFFFFF" w:themeFill="background1"/>
            <w:vAlign w:val="center"/>
          </w:tcPr>
          <w:p w14:paraId="40365CB4"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shd w:val="clear" w:color="auto" w:fill="FFFFFF" w:themeFill="background1"/>
            <w:vAlign w:val="center"/>
          </w:tcPr>
          <w:p w14:paraId="008F3AF7"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(89,665)</w:t>
            </w:r>
          </w:p>
        </w:tc>
        <w:tc>
          <w:tcPr>
            <w:tcW w:w="1418" w:type="dxa"/>
            <w:tcBorders>
              <w:top w:val="nil"/>
              <w:bottom w:val="single" w:sz="2" w:space="0" w:color="1F3864" w:themeColor="accent1" w:themeShade="80"/>
            </w:tcBorders>
            <w:shd w:val="clear" w:color="auto" w:fill="FFFFFF" w:themeFill="background1"/>
            <w:vAlign w:val="center"/>
          </w:tcPr>
          <w:p w14:paraId="11D5B37B" w14:textId="77777777" w:rsidR="00C463E4" w:rsidRPr="000B3CAB" w:rsidRDefault="00C463E4">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(86,122)</w:t>
            </w:r>
          </w:p>
        </w:tc>
      </w:tr>
    </w:tbl>
    <w:p w14:paraId="6802BFB2" w14:textId="77777777" w:rsidR="00C463E4" w:rsidRPr="00FE7E35" w:rsidRDefault="00C463E4" w:rsidP="005F2CF4">
      <w:pPr>
        <w:pStyle w:val="07-Legenda"/>
        <w:numPr>
          <w:ilvl w:val="0"/>
          <w:numId w:val="45"/>
        </w:numPr>
        <w:ind w:left="284" w:hanging="284"/>
        <w:rPr>
          <w:rFonts w:cs="Arial"/>
          <w:color w:val="000000" w:themeColor="text1"/>
          <w:szCs w:val="14"/>
          <w:lang w:val="en-US"/>
        </w:rPr>
      </w:pPr>
      <w:r w:rsidRPr="00FE7E35">
        <w:rPr>
          <w:rFonts w:cs="Arial"/>
          <w:color w:val="000000" w:themeColor="text1"/>
          <w:szCs w:val="14"/>
          <w:lang w:val="en-US"/>
        </w:rPr>
        <w:t xml:space="preserve">BB </w:t>
      </w:r>
      <w:proofErr w:type="spellStart"/>
      <w:r w:rsidRPr="00FE7E35">
        <w:rPr>
          <w:rFonts w:cs="Arial"/>
          <w:color w:val="000000" w:themeColor="text1"/>
          <w:szCs w:val="14"/>
          <w:lang w:val="en-US"/>
        </w:rPr>
        <w:t>Seguridade</w:t>
      </w:r>
      <w:proofErr w:type="spellEnd"/>
      <w:r w:rsidRPr="00FE7E35">
        <w:rPr>
          <w:rFonts w:cs="Arial"/>
          <w:color w:val="000000" w:themeColor="text1"/>
          <w:szCs w:val="14"/>
          <w:lang w:val="en-US"/>
        </w:rPr>
        <w:t xml:space="preserve"> has an employee award program, created in 2019 and updated on October 28, 2022, both with the approval of the Board of Directors, which aims to recognize employees in non-statutory positions of the Company, with outstanding performance in the Development and Career Committee, Considering the wording of § 4 of article 457 of the CLT, as amended by Law No. 13,467/2017, the program is classified as an award and there is no incidence of labor and social security charges. The activation of the program occurs annually and is subject to the achievement of the score defined in the work agreement defined by the Company. In the 2024 program, the target audience is limited to 50% of employees per position, in the case of managerial functions or equivalent, and per position and per director, in the case of technical functions. The criterion involves assessment of technical and behavioral skills, achievement of goals, and management style. The award is credited in cash, in a single installment, within 30 days after the disclosure of the results of the Development and Career Committee. </w:t>
      </w:r>
      <w:bookmarkStart w:id="63" w:name="_Hlk149647589"/>
      <w:r w:rsidRPr="00FE7E35">
        <w:rPr>
          <w:rFonts w:cs="Arial"/>
          <w:color w:val="000000" w:themeColor="text1"/>
          <w:szCs w:val="14"/>
          <w:lang w:val="en-US"/>
        </w:rPr>
        <w:t>In the 2024 fiscal year, there was a payment in the amount of R$ 254.3 thousand as awards to employees at the controller, in the 2023 fiscal year the payment was in the amount of R$ 216,7 thousand.</w:t>
      </w:r>
    </w:p>
    <w:p w14:paraId="244330A8" w14:textId="4EA8E4DC" w:rsidR="001F7061" w:rsidRPr="00FD3852" w:rsidRDefault="004725AE" w:rsidP="00FE7E35">
      <w:pPr>
        <w:pStyle w:val="Ttulo1"/>
        <w:spacing w:line="259" w:lineRule="auto"/>
        <w:jc w:val="both"/>
        <w:rPr>
          <w:lang w:val="en-US"/>
        </w:rPr>
      </w:pPr>
      <w:bookmarkStart w:id="64" w:name="_Toc149573396"/>
      <w:bookmarkStart w:id="65" w:name="_Toc157446724"/>
      <w:bookmarkStart w:id="66" w:name="_Toc190680632"/>
      <w:bookmarkEnd w:id="63"/>
      <w:r w:rsidRPr="00432934">
        <w:rPr>
          <w:rFonts w:ascii="Arial" w:hAnsi="Arial" w:cs="Arial"/>
          <w:b/>
          <w:color w:val="1F3864" w:themeColor="accent1" w:themeShade="80"/>
          <w:sz w:val="20"/>
          <w:lang w:val="en-US"/>
        </w:rPr>
        <w:lastRenderedPageBreak/>
        <w:t>11 – ADMINISTRATIVE EXPENSES AND SALES</w:t>
      </w:r>
      <w:bookmarkStart w:id="67" w:name="_Toc149573397"/>
      <w:bookmarkStart w:id="68" w:name="_Toc157446725"/>
      <w:bookmarkEnd w:id="64"/>
      <w:bookmarkEnd w:id="65"/>
      <w:bookmarkEnd w:id="66"/>
    </w:p>
    <w:p w14:paraId="708B0548" w14:textId="77777777" w:rsidR="005A37F3" w:rsidRPr="005A37F3" w:rsidRDefault="005A37F3" w:rsidP="005A37F3">
      <w:pPr>
        <w:spacing w:after="0" w:line="240" w:lineRule="auto"/>
        <w:jc w:val="right"/>
        <w:rPr>
          <w:rFonts w:ascii="Arial" w:hAnsi="Arial" w:cs="Arial"/>
          <w:b/>
          <w:color w:val="0D0D0D" w:themeColor="text1" w:themeTint="F2"/>
          <w:sz w:val="14"/>
          <w:szCs w:val="14"/>
          <w:lang w:val="en-US"/>
        </w:rPr>
      </w:pPr>
      <w:r w:rsidRPr="005A37F3">
        <w:rPr>
          <w:rFonts w:ascii="Arial" w:hAnsi="Arial" w:cs="Arial"/>
          <w:b/>
          <w:color w:val="0D0D0D" w:themeColor="text1" w:themeTint="F2"/>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5A37F3" w:rsidRPr="004078D0" w14:paraId="06EF9FF6" w14:textId="77777777">
        <w:trPr>
          <w:trHeight w:val="238"/>
          <w:jc w:val="center"/>
        </w:trPr>
        <w:tc>
          <w:tcPr>
            <w:tcW w:w="742" w:type="dxa"/>
            <w:tcBorders>
              <w:top w:val="single" w:sz="2" w:space="0" w:color="1F3864" w:themeColor="accent1" w:themeShade="80"/>
              <w:bottom w:val="nil"/>
            </w:tcBorders>
            <w:shd w:val="clear" w:color="auto" w:fill="auto"/>
          </w:tcPr>
          <w:p w14:paraId="20568721" w14:textId="77777777" w:rsidR="005A37F3" w:rsidRPr="005A37F3" w:rsidRDefault="005A37F3">
            <w:pPr>
              <w:keepNext/>
              <w:keepLines/>
              <w:spacing w:before="40" w:after="40"/>
              <w:jc w:val="center"/>
              <w:rPr>
                <w:rFonts w:ascii="Arial" w:hAnsi="Arial" w:cs="Arial"/>
                <w:b/>
                <w:bCs/>
                <w:spacing w:val="-2"/>
                <w:sz w:val="14"/>
                <w:szCs w:val="14"/>
                <w:lang w:val="en-US"/>
              </w:rPr>
            </w:pPr>
          </w:p>
        </w:tc>
        <w:tc>
          <w:tcPr>
            <w:tcW w:w="2848" w:type="dxa"/>
            <w:gridSpan w:val="3"/>
            <w:tcBorders>
              <w:top w:val="single" w:sz="2" w:space="0" w:color="1F3864" w:themeColor="accent1" w:themeShade="80"/>
              <w:bottom w:val="nil"/>
            </w:tcBorders>
            <w:shd w:val="clear" w:color="auto" w:fill="auto"/>
          </w:tcPr>
          <w:p w14:paraId="328ACD16" w14:textId="77777777" w:rsidR="005A37F3" w:rsidRPr="005A37F3" w:rsidRDefault="005A37F3">
            <w:pPr>
              <w:keepNext/>
              <w:keepLines/>
              <w:spacing w:before="40" w:after="40"/>
              <w:jc w:val="center"/>
              <w:rPr>
                <w:rFonts w:ascii="Arial" w:hAnsi="Arial" w:cs="Arial"/>
                <w:b/>
                <w:spacing w:val="-2"/>
                <w:sz w:val="14"/>
                <w:szCs w:val="14"/>
                <w:lang w:val="en-US"/>
              </w:rPr>
            </w:pPr>
          </w:p>
        </w:tc>
        <w:tc>
          <w:tcPr>
            <w:tcW w:w="2823" w:type="dxa"/>
            <w:gridSpan w:val="2"/>
            <w:tcBorders>
              <w:top w:val="single" w:sz="2" w:space="0" w:color="1F3864" w:themeColor="accent1" w:themeShade="80"/>
              <w:bottom w:val="single" w:sz="4" w:space="0" w:color="1F3864" w:themeColor="accent1" w:themeShade="80"/>
            </w:tcBorders>
            <w:shd w:val="clear" w:color="auto" w:fill="auto"/>
            <w:vAlign w:val="center"/>
          </w:tcPr>
          <w:p w14:paraId="11EAA581" w14:textId="77777777" w:rsidR="005A37F3" w:rsidRPr="009D7709" w:rsidRDefault="005A37F3">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shd w:val="clear" w:color="auto" w:fill="auto"/>
            <w:vAlign w:val="center"/>
          </w:tcPr>
          <w:p w14:paraId="71DBF78A" w14:textId="77777777" w:rsidR="005A37F3" w:rsidRPr="009D7709" w:rsidRDefault="005A37F3">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4" w:space="0" w:color="1F3864" w:themeColor="accent1" w:themeShade="80"/>
            </w:tcBorders>
            <w:shd w:val="clear" w:color="auto" w:fill="auto"/>
            <w:vAlign w:val="center"/>
          </w:tcPr>
          <w:p w14:paraId="1EB45362" w14:textId="77777777" w:rsidR="005A37F3" w:rsidRPr="009D7709" w:rsidRDefault="005A37F3">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5A37F3" w:rsidRPr="004078D0" w14:paraId="1E1B97F9" w14:textId="77777777">
        <w:trPr>
          <w:trHeight w:val="238"/>
          <w:jc w:val="center"/>
        </w:trPr>
        <w:tc>
          <w:tcPr>
            <w:tcW w:w="2986" w:type="dxa"/>
            <w:gridSpan w:val="2"/>
            <w:tcBorders>
              <w:top w:val="nil"/>
              <w:bottom w:val="single" w:sz="2" w:space="0" w:color="1F3864" w:themeColor="accent1" w:themeShade="80"/>
            </w:tcBorders>
            <w:shd w:val="clear" w:color="auto" w:fill="auto"/>
          </w:tcPr>
          <w:p w14:paraId="31D84D2D" w14:textId="77777777" w:rsidR="005A37F3" w:rsidRPr="004078D0" w:rsidRDefault="005A37F3">
            <w:pPr>
              <w:keepNext/>
              <w:keepLines/>
              <w:spacing w:before="40" w:after="40"/>
              <w:rPr>
                <w:rFonts w:ascii="Arial" w:hAnsi="Arial" w:cs="Arial"/>
                <w:b/>
                <w:spacing w:val="-2"/>
                <w:sz w:val="14"/>
                <w:szCs w:val="14"/>
              </w:rPr>
            </w:pPr>
          </w:p>
        </w:tc>
        <w:tc>
          <w:tcPr>
            <w:tcW w:w="417" w:type="dxa"/>
            <w:tcBorders>
              <w:top w:val="nil"/>
              <w:bottom w:val="single" w:sz="2" w:space="0" w:color="1F3864" w:themeColor="accent1" w:themeShade="80"/>
            </w:tcBorders>
            <w:shd w:val="clear" w:color="auto" w:fill="auto"/>
          </w:tcPr>
          <w:p w14:paraId="521582A6" w14:textId="77777777" w:rsidR="005A37F3" w:rsidRPr="004078D0" w:rsidRDefault="005A37F3">
            <w:pPr>
              <w:keepNext/>
              <w:keepLines/>
              <w:spacing w:before="40" w:after="40"/>
              <w:rPr>
                <w:rFonts w:ascii="Arial" w:hAnsi="Arial" w:cs="Arial"/>
                <w:b/>
                <w:spacing w:val="-2"/>
                <w:sz w:val="14"/>
                <w:szCs w:val="14"/>
              </w:rPr>
            </w:pPr>
          </w:p>
        </w:tc>
        <w:tc>
          <w:tcPr>
            <w:tcW w:w="1598" w:type="dxa"/>
            <w:gridSpan w:val="2"/>
            <w:tcBorders>
              <w:top w:val="single" w:sz="4" w:space="0" w:color="1F3864" w:themeColor="accent1" w:themeShade="80"/>
              <w:bottom w:val="single" w:sz="2" w:space="0" w:color="1F3864" w:themeColor="accent1" w:themeShade="80"/>
            </w:tcBorders>
            <w:shd w:val="clear" w:color="auto" w:fill="auto"/>
          </w:tcPr>
          <w:p w14:paraId="1E420933" w14:textId="77777777" w:rsidR="005A37F3" w:rsidRPr="004078D0" w:rsidRDefault="005A37F3">
            <w:pPr>
              <w:keepNext/>
              <w:keepLines/>
              <w:spacing w:before="40" w:after="40"/>
              <w:jc w:val="right"/>
              <w:rPr>
                <w:rFonts w:ascii="Arial" w:hAnsi="Arial" w:cs="Arial"/>
                <w:b/>
                <w:spacing w:val="-2"/>
                <w:sz w:val="14"/>
                <w:szCs w:val="18"/>
              </w:rPr>
            </w:pPr>
            <w:r w:rsidRPr="003E6939">
              <w:rPr>
                <w:rFonts w:ascii="Arial" w:hAnsi="Arial" w:cs="Arial"/>
                <w:b/>
                <w:sz w:val="14"/>
                <w:szCs w:val="14"/>
              </w:rPr>
              <w:t>202</w:t>
            </w:r>
            <w:r>
              <w:rPr>
                <w:rFonts w:ascii="Arial" w:hAnsi="Arial" w:cs="Arial"/>
                <w:b/>
                <w:sz w:val="14"/>
                <w:szCs w:val="14"/>
              </w:rPr>
              <w:t>4</w:t>
            </w:r>
          </w:p>
        </w:tc>
        <w:tc>
          <w:tcPr>
            <w:tcW w:w="1412" w:type="dxa"/>
            <w:tcBorders>
              <w:top w:val="single" w:sz="4" w:space="0" w:color="1F3864" w:themeColor="accent1" w:themeShade="80"/>
              <w:bottom w:val="single" w:sz="2" w:space="0" w:color="1F3864" w:themeColor="accent1" w:themeShade="80"/>
            </w:tcBorders>
            <w:shd w:val="clear" w:color="auto" w:fill="auto"/>
          </w:tcPr>
          <w:p w14:paraId="6667BCC5" w14:textId="77777777" w:rsidR="005A37F3" w:rsidRPr="004078D0" w:rsidRDefault="005A37F3">
            <w:pPr>
              <w:keepNext/>
              <w:keepLines/>
              <w:spacing w:before="40" w:after="40"/>
              <w:jc w:val="right"/>
              <w:rPr>
                <w:rFonts w:ascii="Arial" w:hAnsi="Arial" w:cs="Arial"/>
                <w:b/>
                <w:spacing w:val="-2"/>
                <w:sz w:val="14"/>
                <w:szCs w:val="18"/>
              </w:rPr>
            </w:pPr>
            <w:r>
              <w:rPr>
                <w:rFonts w:ascii="Arial" w:hAnsi="Arial" w:cs="Arial"/>
                <w:b/>
                <w:sz w:val="14"/>
                <w:szCs w:val="14"/>
              </w:rPr>
              <w:t>2023</w:t>
            </w:r>
          </w:p>
        </w:tc>
        <w:tc>
          <w:tcPr>
            <w:tcW w:w="251" w:type="dxa"/>
            <w:tcBorders>
              <w:top w:val="nil"/>
              <w:bottom w:val="single" w:sz="2" w:space="0" w:color="1F3864" w:themeColor="accent1" w:themeShade="80"/>
            </w:tcBorders>
            <w:shd w:val="clear" w:color="auto" w:fill="auto"/>
            <w:vAlign w:val="center"/>
          </w:tcPr>
          <w:p w14:paraId="34C1CA34" w14:textId="77777777" w:rsidR="005A37F3" w:rsidRPr="004078D0" w:rsidRDefault="005A37F3">
            <w:pPr>
              <w:keepNext/>
              <w:keepLines/>
              <w:spacing w:before="40" w:after="40"/>
              <w:jc w:val="right"/>
              <w:rPr>
                <w:rFonts w:ascii="Arial" w:hAnsi="Arial" w:cs="Arial"/>
                <w:b/>
                <w:spacing w:val="-2"/>
                <w:sz w:val="14"/>
                <w:szCs w:val="18"/>
              </w:rPr>
            </w:pPr>
          </w:p>
        </w:tc>
        <w:tc>
          <w:tcPr>
            <w:tcW w:w="1449" w:type="dxa"/>
            <w:gridSpan w:val="2"/>
            <w:tcBorders>
              <w:top w:val="single" w:sz="4" w:space="0" w:color="1F3864" w:themeColor="accent1" w:themeShade="80"/>
              <w:bottom w:val="single" w:sz="2" w:space="0" w:color="1F3864" w:themeColor="accent1" w:themeShade="80"/>
            </w:tcBorders>
            <w:shd w:val="clear" w:color="auto" w:fill="auto"/>
          </w:tcPr>
          <w:p w14:paraId="0976F14E" w14:textId="77777777" w:rsidR="005A37F3" w:rsidRPr="004078D0" w:rsidRDefault="005A37F3">
            <w:pPr>
              <w:keepNext/>
              <w:keepLines/>
              <w:spacing w:before="40" w:after="40"/>
              <w:jc w:val="right"/>
              <w:rPr>
                <w:rFonts w:ascii="Arial" w:hAnsi="Arial" w:cs="Arial"/>
                <w:b/>
                <w:spacing w:val="-2"/>
                <w:sz w:val="14"/>
                <w:szCs w:val="18"/>
              </w:rPr>
            </w:pPr>
            <w:r>
              <w:rPr>
                <w:rFonts w:ascii="Arial" w:hAnsi="Arial" w:cs="Arial"/>
                <w:b/>
                <w:sz w:val="14"/>
                <w:szCs w:val="14"/>
              </w:rPr>
              <w:t>2024</w:t>
            </w:r>
          </w:p>
        </w:tc>
        <w:tc>
          <w:tcPr>
            <w:tcW w:w="1526" w:type="dxa"/>
            <w:tcBorders>
              <w:top w:val="single" w:sz="4" w:space="0" w:color="1F3864" w:themeColor="accent1" w:themeShade="80"/>
              <w:bottom w:val="single" w:sz="2" w:space="0" w:color="1F3864" w:themeColor="accent1" w:themeShade="80"/>
            </w:tcBorders>
            <w:shd w:val="clear" w:color="auto" w:fill="auto"/>
          </w:tcPr>
          <w:p w14:paraId="3313EA98" w14:textId="77777777" w:rsidR="005A37F3" w:rsidRPr="004078D0" w:rsidRDefault="005A37F3">
            <w:pPr>
              <w:keepNext/>
              <w:keepLines/>
              <w:spacing w:before="40" w:after="40"/>
              <w:jc w:val="right"/>
              <w:rPr>
                <w:rFonts w:ascii="Arial" w:hAnsi="Arial" w:cs="Arial"/>
                <w:b/>
                <w:spacing w:val="-2"/>
                <w:sz w:val="14"/>
                <w:szCs w:val="18"/>
              </w:rPr>
            </w:pPr>
            <w:r>
              <w:rPr>
                <w:rFonts w:ascii="Arial" w:hAnsi="Arial" w:cs="Arial"/>
                <w:b/>
                <w:sz w:val="14"/>
                <w:szCs w:val="14"/>
              </w:rPr>
              <w:t>2023</w:t>
            </w:r>
          </w:p>
        </w:tc>
      </w:tr>
      <w:tr w:rsidR="005A37F3" w:rsidRPr="004078D0" w14:paraId="1A831EC8" w14:textId="77777777">
        <w:trPr>
          <w:trHeight w:val="238"/>
          <w:jc w:val="center"/>
        </w:trPr>
        <w:tc>
          <w:tcPr>
            <w:tcW w:w="2986" w:type="dxa"/>
            <w:gridSpan w:val="2"/>
            <w:tcBorders>
              <w:top w:val="nil"/>
            </w:tcBorders>
            <w:shd w:val="clear" w:color="auto" w:fill="auto"/>
          </w:tcPr>
          <w:p w14:paraId="23A1DB43" w14:textId="77777777" w:rsidR="005A37F3" w:rsidRPr="00AB6C23" w:rsidRDefault="005A37F3">
            <w:pPr>
              <w:pStyle w:val="08-Tabelageral"/>
              <w:jc w:val="left"/>
            </w:pPr>
            <w:proofErr w:type="spellStart"/>
            <w:r w:rsidRPr="00AB6C23">
              <w:t>Donation</w:t>
            </w:r>
            <w:proofErr w:type="spellEnd"/>
            <w:r w:rsidRPr="00AB6C23">
              <w:t xml:space="preserve"> </w:t>
            </w:r>
            <w:proofErr w:type="spellStart"/>
            <w:r w:rsidRPr="00AB6C23">
              <w:t>and</w:t>
            </w:r>
            <w:proofErr w:type="spellEnd"/>
            <w:r w:rsidRPr="00AB6C23">
              <w:t xml:space="preserve"> </w:t>
            </w:r>
            <w:proofErr w:type="spellStart"/>
            <w:r w:rsidRPr="00AB6C23">
              <w:t>sponsorship</w:t>
            </w:r>
            <w:proofErr w:type="spellEnd"/>
            <w:r w:rsidRPr="00AB6C23">
              <w:t xml:space="preserve"> </w:t>
            </w:r>
            <w:proofErr w:type="spellStart"/>
            <w:r w:rsidRPr="00AB6C23">
              <w:t>expenses</w:t>
            </w:r>
            <w:proofErr w:type="spellEnd"/>
            <w:r w:rsidRPr="00AB6C23">
              <w:t xml:space="preserve"> </w:t>
            </w:r>
            <w:r w:rsidRPr="00AB6C23">
              <w:rPr>
                <w:vertAlign w:val="superscript"/>
              </w:rPr>
              <w:t>(1)</w:t>
            </w:r>
          </w:p>
        </w:tc>
        <w:tc>
          <w:tcPr>
            <w:tcW w:w="417" w:type="dxa"/>
            <w:tcBorders>
              <w:top w:val="nil"/>
            </w:tcBorders>
            <w:shd w:val="clear" w:color="auto" w:fill="auto"/>
            <w:vAlign w:val="center"/>
          </w:tcPr>
          <w:p w14:paraId="13656ED6"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3559C4E2" w14:textId="77777777" w:rsidR="005A37F3" w:rsidRPr="006468C2" w:rsidRDefault="005A37F3">
            <w:pPr>
              <w:pStyle w:val="08-Tabelageral"/>
              <w:rPr>
                <w:rFonts w:cs="Arial"/>
                <w:szCs w:val="14"/>
              </w:rPr>
            </w:pPr>
            <w:r>
              <w:rPr>
                <w:rFonts w:cs="Arial"/>
                <w:szCs w:val="14"/>
              </w:rPr>
              <w:t>--</w:t>
            </w:r>
          </w:p>
        </w:tc>
        <w:tc>
          <w:tcPr>
            <w:tcW w:w="1412" w:type="dxa"/>
            <w:tcBorders>
              <w:top w:val="nil"/>
            </w:tcBorders>
            <w:shd w:val="clear" w:color="auto" w:fill="auto"/>
            <w:vAlign w:val="center"/>
          </w:tcPr>
          <w:p w14:paraId="4FE2F455" w14:textId="77777777" w:rsidR="005A37F3" w:rsidRPr="006468C2" w:rsidRDefault="005A37F3">
            <w:pPr>
              <w:pStyle w:val="08-Tabelageral"/>
            </w:pPr>
            <w:r>
              <w:t>--</w:t>
            </w:r>
          </w:p>
        </w:tc>
        <w:tc>
          <w:tcPr>
            <w:tcW w:w="251" w:type="dxa"/>
            <w:tcBorders>
              <w:top w:val="nil"/>
            </w:tcBorders>
            <w:shd w:val="clear" w:color="auto" w:fill="auto"/>
            <w:vAlign w:val="center"/>
          </w:tcPr>
          <w:p w14:paraId="50C43FBD"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13CE0DDB" w14:textId="3B4B069C" w:rsidR="005A37F3" w:rsidRPr="006468C2" w:rsidRDefault="005A37F3">
            <w:pPr>
              <w:pStyle w:val="08-Tabelageral"/>
              <w:rPr>
                <w:rFonts w:cs="Arial"/>
                <w:szCs w:val="14"/>
              </w:rPr>
            </w:pPr>
            <w:r w:rsidRPr="00BD28AF">
              <w:rPr>
                <w:rFonts w:cs="Arial"/>
                <w:szCs w:val="14"/>
              </w:rPr>
              <w:t>(39</w:t>
            </w:r>
            <w:r w:rsidR="001D48FC">
              <w:rPr>
                <w:rFonts w:cs="Arial"/>
                <w:szCs w:val="14"/>
              </w:rPr>
              <w:t>,</w:t>
            </w:r>
            <w:r w:rsidRPr="00BD28AF">
              <w:rPr>
                <w:rFonts w:cs="Arial"/>
                <w:szCs w:val="14"/>
              </w:rPr>
              <w:t>900)</w:t>
            </w:r>
          </w:p>
        </w:tc>
        <w:tc>
          <w:tcPr>
            <w:tcW w:w="1526" w:type="dxa"/>
            <w:tcBorders>
              <w:top w:val="nil"/>
            </w:tcBorders>
            <w:shd w:val="clear" w:color="auto" w:fill="auto"/>
            <w:vAlign w:val="center"/>
          </w:tcPr>
          <w:p w14:paraId="62F63604" w14:textId="42F35E7F" w:rsidR="005A37F3" w:rsidRPr="004078D0" w:rsidRDefault="005A37F3">
            <w:pPr>
              <w:pStyle w:val="08-Tabelageral"/>
              <w:rPr>
                <w:rFonts w:cs="Arial"/>
                <w:szCs w:val="14"/>
              </w:rPr>
            </w:pPr>
            <w:r>
              <w:t>(29</w:t>
            </w:r>
            <w:r w:rsidR="001D48FC">
              <w:t>,</w:t>
            </w:r>
            <w:r>
              <w:t>571)</w:t>
            </w:r>
          </w:p>
        </w:tc>
      </w:tr>
      <w:tr w:rsidR="005A37F3" w:rsidRPr="004078D0" w14:paraId="6C2C4C6A" w14:textId="77777777">
        <w:trPr>
          <w:trHeight w:val="238"/>
          <w:jc w:val="center"/>
        </w:trPr>
        <w:tc>
          <w:tcPr>
            <w:tcW w:w="2986" w:type="dxa"/>
            <w:gridSpan w:val="2"/>
            <w:tcBorders>
              <w:top w:val="nil"/>
            </w:tcBorders>
            <w:shd w:val="clear" w:color="auto" w:fill="auto"/>
          </w:tcPr>
          <w:p w14:paraId="3340A4A4" w14:textId="77777777" w:rsidR="005A37F3" w:rsidRPr="00AB6C23" w:rsidRDefault="005A37F3">
            <w:pPr>
              <w:pStyle w:val="08-Tabelageral"/>
              <w:jc w:val="left"/>
            </w:pPr>
            <w:proofErr w:type="spellStart"/>
            <w:r w:rsidRPr="00AB6C23">
              <w:t>Selling</w:t>
            </w:r>
            <w:proofErr w:type="spellEnd"/>
            <w:r w:rsidRPr="00AB6C23">
              <w:t xml:space="preserve"> </w:t>
            </w:r>
            <w:proofErr w:type="spellStart"/>
            <w:r w:rsidRPr="00AB6C23">
              <w:t>expenses</w:t>
            </w:r>
            <w:proofErr w:type="spellEnd"/>
            <w:r w:rsidRPr="00AB6C23">
              <w:t xml:space="preserve"> </w:t>
            </w:r>
            <w:r w:rsidRPr="00AB6C23">
              <w:rPr>
                <w:vertAlign w:val="superscript"/>
              </w:rPr>
              <w:t>(2)</w:t>
            </w:r>
          </w:p>
        </w:tc>
        <w:tc>
          <w:tcPr>
            <w:tcW w:w="417" w:type="dxa"/>
            <w:tcBorders>
              <w:top w:val="nil"/>
            </w:tcBorders>
            <w:shd w:val="clear" w:color="auto" w:fill="auto"/>
            <w:vAlign w:val="center"/>
          </w:tcPr>
          <w:p w14:paraId="51F8F414"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56B88E90" w14:textId="77777777" w:rsidR="005A37F3" w:rsidRPr="006468C2" w:rsidRDefault="005A37F3">
            <w:pPr>
              <w:pStyle w:val="08-Tabelageral"/>
              <w:rPr>
                <w:rFonts w:cs="Arial"/>
                <w:szCs w:val="14"/>
              </w:rPr>
            </w:pPr>
            <w:r>
              <w:rPr>
                <w:rFonts w:cs="Arial"/>
                <w:szCs w:val="14"/>
              </w:rPr>
              <w:t>--</w:t>
            </w:r>
          </w:p>
        </w:tc>
        <w:tc>
          <w:tcPr>
            <w:tcW w:w="1412" w:type="dxa"/>
            <w:tcBorders>
              <w:top w:val="nil"/>
            </w:tcBorders>
            <w:shd w:val="clear" w:color="auto" w:fill="auto"/>
            <w:vAlign w:val="center"/>
          </w:tcPr>
          <w:p w14:paraId="0142085A" w14:textId="77777777" w:rsidR="005A37F3" w:rsidRPr="006468C2" w:rsidRDefault="005A37F3">
            <w:pPr>
              <w:pStyle w:val="08-Tabelageral"/>
            </w:pPr>
            <w:r>
              <w:t>--</w:t>
            </w:r>
          </w:p>
        </w:tc>
        <w:tc>
          <w:tcPr>
            <w:tcW w:w="251" w:type="dxa"/>
            <w:tcBorders>
              <w:top w:val="nil"/>
            </w:tcBorders>
            <w:shd w:val="clear" w:color="auto" w:fill="auto"/>
            <w:vAlign w:val="center"/>
          </w:tcPr>
          <w:p w14:paraId="5D471699"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0B3AC460" w14:textId="6DB4BEF7" w:rsidR="005A37F3" w:rsidRPr="006468C2" w:rsidRDefault="005A37F3">
            <w:pPr>
              <w:pStyle w:val="08-Tabelageral"/>
              <w:rPr>
                <w:rFonts w:cs="Arial"/>
                <w:szCs w:val="14"/>
              </w:rPr>
            </w:pPr>
            <w:r w:rsidRPr="00BD28AF">
              <w:rPr>
                <w:rFonts w:cs="Arial"/>
                <w:szCs w:val="14"/>
              </w:rPr>
              <w:t>(29</w:t>
            </w:r>
            <w:r w:rsidR="001D48FC">
              <w:rPr>
                <w:rFonts w:cs="Arial"/>
                <w:szCs w:val="14"/>
              </w:rPr>
              <w:t>,</w:t>
            </w:r>
            <w:r w:rsidRPr="00BD28AF">
              <w:rPr>
                <w:rFonts w:cs="Arial"/>
                <w:szCs w:val="14"/>
              </w:rPr>
              <w:t>757)</w:t>
            </w:r>
          </w:p>
        </w:tc>
        <w:tc>
          <w:tcPr>
            <w:tcW w:w="1526" w:type="dxa"/>
            <w:tcBorders>
              <w:top w:val="nil"/>
            </w:tcBorders>
            <w:shd w:val="clear" w:color="auto" w:fill="auto"/>
            <w:vAlign w:val="center"/>
          </w:tcPr>
          <w:p w14:paraId="688C5F2E" w14:textId="0EC7C918" w:rsidR="005A37F3" w:rsidRPr="004078D0" w:rsidRDefault="005A37F3">
            <w:pPr>
              <w:pStyle w:val="08-Tabelageral"/>
              <w:rPr>
                <w:rFonts w:cs="Arial"/>
                <w:szCs w:val="14"/>
              </w:rPr>
            </w:pPr>
            <w:r>
              <w:t>(22</w:t>
            </w:r>
            <w:r w:rsidR="001D48FC">
              <w:t>,</w:t>
            </w:r>
            <w:r>
              <w:t>410)</w:t>
            </w:r>
          </w:p>
        </w:tc>
      </w:tr>
      <w:tr w:rsidR="005A37F3" w:rsidRPr="004078D0" w14:paraId="3A4D21D9" w14:textId="77777777">
        <w:trPr>
          <w:trHeight w:val="238"/>
          <w:jc w:val="center"/>
        </w:trPr>
        <w:tc>
          <w:tcPr>
            <w:tcW w:w="2986" w:type="dxa"/>
            <w:gridSpan w:val="2"/>
            <w:tcBorders>
              <w:top w:val="nil"/>
            </w:tcBorders>
            <w:shd w:val="clear" w:color="auto" w:fill="auto"/>
          </w:tcPr>
          <w:p w14:paraId="7A7C5D24" w14:textId="77777777" w:rsidR="005A37F3" w:rsidRPr="00AB6C23" w:rsidRDefault="005A37F3">
            <w:pPr>
              <w:pStyle w:val="08-Tabelageral"/>
              <w:jc w:val="left"/>
            </w:pPr>
            <w:r w:rsidRPr="00AB6C23">
              <w:t xml:space="preserve">Data </w:t>
            </w:r>
            <w:proofErr w:type="spellStart"/>
            <w:r w:rsidRPr="00AB6C23">
              <w:t>processing</w:t>
            </w:r>
            <w:proofErr w:type="spellEnd"/>
          </w:p>
        </w:tc>
        <w:tc>
          <w:tcPr>
            <w:tcW w:w="417" w:type="dxa"/>
            <w:tcBorders>
              <w:top w:val="nil"/>
            </w:tcBorders>
            <w:shd w:val="clear" w:color="auto" w:fill="auto"/>
            <w:vAlign w:val="center"/>
          </w:tcPr>
          <w:p w14:paraId="100E17CE"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07B3F8B4" w14:textId="77777777" w:rsidR="005A37F3" w:rsidRPr="006468C2" w:rsidRDefault="005A37F3">
            <w:pPr>
              <w:pStyle w:val="08-Tabelageral"/>
              <w:rPr>
                <w:rFonts w:cs="Arial"/>
                <w:szCs w:val="14"/>
              </w:rPr>
            </w:pPr>
            <w:r>
              <w:rPr>
                <w:rFonts w:cs="Arial"/>
                <w:szCs w:val="14"/>
              </w:rPr>
              <w:t>(647)</w:t>
            </w:r>
          </w:p>
        </w:tc>
        <w:tc>
          <w:tcPr>
            <w:tcW w:w="1412" w:type="dxa"/>
            <w:tcBorders>
              <w:top w:val="nil"/>
            </w:tcBorders>
            <w:shd w:val="clear" w:color="auto" w:fill="auto"/>
            <w:vAlign w:val="center"/>
          </w:tcPr>
          <w:p w14:paraId="1E58D414" w14:textId="77777777" w:rsidR="005A37F3" w:rsidRPr="006468C2" w:rsidRDefault="005A37F3">
            <w:pPr>
              <w:pStyle w:val="08-Tabelageral"/>
            </w:pPr>
            <w:r>
              <w:t>(693)</w:t>
            </w:r>
          </w:p>
        </w:tc>
        <w:tc>
          <w:tcPr>
            <w:tcW w:w="251" w:type="dxa"/>
            <w:tcBorders>
              <w:top w:val="nil"/>
            </w:tcBorders>
            <w:shd w:val="clear" w:color="auto" w:fill="auto"/>
            <w:vAlign w:val="center"/>
          </w:tcPr>
          <w:p w14:paraId="50CCD011"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5C56FCFB" w14:textId="042447A0" w:rsidR="005A37F3" w:rsidRPr="006468C2" w:rsidRDefault="005A37F3">
            <w:pPr>
              <w:pStyle w:val="08-Tabelageral"/>
              <w:rPr>
                <w:rFonts w:cs="Arial"/>
                <w:szCs w:val="14"/>
              </w:rPr>
            </w:pPr>
            <w:r w:rsidRPr="00BD28AF">
              <w:rPr>
                <w:rFonts w:cs="Arial"/>
                <w:szCs w:val="14"/>
              </w:rPr>
              <w:t>(18</w:t>
            </w:r>
            <w:r w:rsidR="001D48FC">
              <w:rPr>
                <w:rFonts w:cs="Arial"/>
                <w:szCs w:val="14"/>
              </w:rPr>
              <w:t>,</w:t>
            </w:r>
            <w:r w:rsidRPr="00BD28AF">
              <w:rPr>
                <w:rFonts w:cs="Arial"/>
                <w:szCs w:val="14"/>
              </w:rPr>
              <w:t>067)</w:t>
            </w:r>
          </w:p>
        </w:tc>
        <w:tc>
          <w:tcPr>
            <w:tcW w:w="1526" w:type="dxa"/>
            <w:tcBorders>
              <w:top w:val="nil"/>
            </w:tcBorders>
            <w:shd w:val="clear" w:color="auto" w:fill="auto"/>
            <w:vAlign w:val="center"/>
          </w:tcPr>
          <w:p w14:paraId="10341D1A" w14:textId="6C1F619E" w:rsidR="005A37F3" w:rsidRPr="004078D0" w:rsidRDefault="005A37F3">
            <w:pPr>
              <w:pStyle w:val="08-Tabelageral"/>
              <w:rPr>
                <w:rFonts w:cs="Arial"/>
                <w:szCs w:val="14"/>
              </w:rPr>
            </w:pPr>
            <w:r>
              <w:t>(13</w:t>
            </w:r>
            <w:r w:rsidR="001D48FC">
              <w:t>,</w:t>
            </w:r>
            <w:r>
              <w:t>814)</w:t>
            </w:r>
          </w:p>
        </w:tc>
      </w:tr>
      <w:tr w:rsidR="005A37F3" w:rsidRPr="004078D0" w14:paraId="73DB540C" w14:textId="77777777">
        <w:trPr>
          <w:trHeight w:val="238"/>
          <w:jc w:val="center"/>
        </w:trPr>
        <w:tc>
          <w:tcPr>
            <w:tcW w:w="2986" w:type="dxa"/>
            <w:gridSpan w:val="2"/>
            <w:tcBorders>
              <w:top w:val="nil"/>
            </w:tcBorders>
            <w:shd w:val="clear" w:color="auto" w:fill="auto"/>
          </w:tcPr>
          <w:p w14:paraId="3C184C89" w14:textId="77777777" w:rsidR="005A37F3" w:rsidRPr="005A37F3" w:rsidRDefault="005A37F3">
            <w:pPr>
              <w:pStyle w:val="08-Tabelageral"/>
              <w:jc w:val="left"/>
              <w:rPr>
                <w:lang w:val="en-US"/>
              </w:rPr>
            </w:pPr>
            <w:r w:rsidRPr="005A37F3">
              <w:rPr>
                <w:lang w:val="en-US"/>
              </w:rPr>
              <w:t>Rent expenses and condominium fee</w:t>
            </w:r>
          </w:p>
        </w:tc>
        <w:tc>
          <w:tcPr>
            <w:tcW w:w="417" w:type="dxa"/>
            <w:tcBorders>
              <w:top w:val="nil"/>
            </w:tcBorders>
            <w:shd w:val="clear" w:color="auto" w:fill="auto"/>
            <w:vAlign w:val="center"/>
          </w:tcPr>
          <w:p w14:paraId="0B3D0149" w14:textId="77777777" w:rsidR="005A37F3" w:rsidRPr="005A37F3" w:rsidRDefault="005A37F3">
            <w:pPr>
              <w:pStyle w:val="08-Tabelageral"/>
              <w:rPr>
                <w:rFonts w:cs="Arial"/>
                <w:szCs w:val="14"/>
                <w:lang w:val="en-US"/>
              </w:rPr>
            </w:pPr>
          </w:p>
        </w:tc>
        <w:tc>
          <w:tcPr>
            <w:tcW w:w="1598" w:type="dxa"/>
            <w:gridSpan w:val="2"/>
            <w:tcBorders>
              <w:top w:val="nil"/>
            </w:tcBorders>
            <w:shd w:val="clear" w:color="auto" w:fill="auto"/>
            <w:vAlign w:val="center"/>
          </w:tcPr>
          <w:p w14:paraId="3E66F502" w14:textId="77777777" w:rsidR="005A37F3" w:rsidRPr="006468C2" w:rsidRDefault="005A37F3">
            <w:pPr>
              <w:pStyle w:val="08-Tabelageral"/>
              <w:rPr>
                <w:rFonts w:cs="Arial"/>
                <w:szCs w:val="14"/>
              </w:rPr>
            </w:pPr>
            <w:r>
              <w:rPr>
                <w:rFonts w:cs="Arial"/>
                <w:szCs w:val="14"/>
              </w:rPr>
              <w:t>(989)</w:t>
            </w:r>
          </w:p>
        </w:tc>
        <w:tc>
          <w:tcPr>
            <w:tcW w:w="1412" w:type="dxa"/>
            <w:tcBorders>
              <w:top w:val="nil"/>
            </w:tcBorders>
            <w:shd w:val="clear" w:color="auto" w:fill="auto"/>
            <w:vAlign w:val="center"/>
          </w:tcPr>
          <w:p w14:paraId="0ED21D01" w14:textId="77777777" w:rsidR="005A37F3" w:rsidRPr="006468C2" w:rsidRDefault="005A37F3">
            <w:pPr>
              <w:pStyle w:val="08-Tabelageral"/>
            </w:pPr>
            <w:r>
              <w:t>(1.063)</w:t>
            </w:r>
          </w:p>
        </w:tc>
        <w:tc>
          <w:tcPr>
            <w:tcW w:w="251" w:type="dxa"/>
            <w:tcBorders>
              <w:top w:val="nil"/>
            </w:tcBorders>
            <w:shd w:val="clear" w:color="auto" w:fill="auto"/>
            <w:vAlign w:val="center"/>
          </w:tcPr>
          <w:p w14:paraId="2DAF6996"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3D725823" w14:textId="7EEA3D78" w:rsidR="005A37F3" w:rsidRPr="006468C2" w:rsidRDefault="005A37F3">
            <w:pPr>
              <w:pStyle w:val="08-Tabelageral"/>
              <w:rPr>
                <w:rFonts w:cs="Arial"/>
                <w:szCs w:val="14"/>
              </w:rPr>
            </w:pPr>
            <w:r w:rsidRPr="00BD28AF">
              <w:rPr>
                <w:rFonts w:cs="Arial"/>
                <w:szCs w:val="14"/>
              </w:rPr>
              <w:t>(5</w:t>
            </w:r>
            <w:r w:rsidR="00CE0A89">
              <w:rPr>
                <w:rFonts w:cs="Arial"/>
                <w:szCs w:val="14"/>
              </w:rPr>
              <w:t>,</w:t>
            </w:r>
            <w:r w:rsidRPr="00BD28AF">
              <w:rPr>
                <w:rFonts w:cs="Arial"/>
                <w:szCs w:val="14"/>
              </w:rPr>
              <w:t>459)</w:t>
            </w:r>
          </w:p>
        </w:tc>
        <w:tc>
          <w:tcPr>
            <w:tcW w:w="1526" w:type="dxa"/>
            <w:tcBorders>
              <w:top w:val="nil"/>
            </w:tcBorders>
            <w:shd w:val="clear" w:color="auto" w:fill="auto"/>
            <w:vAlign w:val="center"/>
          </w:tcPr>
          <w:p w14:paraId="66AC1CD7" w14:textId="572E4A13" w:rsidR="005A37F3" w:rsidRPr="004078D0" w:rsidRDefault="005A37F3">
            <w:pPr>
              <w:pStyle w:val="08-Tabelageral"/>
              <w:rPr>
                <w:rFonts w:cs="Arial"/>
                <w:szCs w:val="14"/>
              </w:rPr>
            </w:pPr>
            <w:r>
              <w:t>(5</w:t>
            </w:r>
            <w:r w:rsidR="001D48FC">
              <w:t>,</w:t>
            </w:r>
            <w:r>
              <w:t>263)</w:t>
            </w:r>
          </w:p>
        </w:tc>
      </w:tr>
      <w:tr w:rsidR="005A37F3" w:rsidRPr="004078D0" w14:paraId="2C747823" w14:textId="77777777">
        <w:trPr>
          <w:trHeight w:val="238"/>
          <w:jc w:val="center"/>
        </w:trPr>
        <w:tc>
          <w:tcPr>
            <w:tcW w:w="2986" w:type="dxa"/>
            <w:gridSpan w:val="2"/>
            <w:tcBorders>
              <w:top w:val="nil"/>
            </w:tcBorders>
            <w:shd w:val="clear" w:color="auto" w:fill="auto"/>
          </w:tcPr>
          <w:p w14:paraId="4034386F" w14:textId="77777777" w:rsidR="005A37F3" w:rsidRPr="00AB6C23" w:rsidRDefault="005A37F3">
            <w:pPr>
              <w:pStyle w:val="08-Tabelageral"/>
              <w:jc w:val="left"/>
            </w:pPr>
            <w:proofErr w:type="spellStart"/>
            <w:r w:rsidRPr="00AB6C23">
              <w:t>Specialized</w:t>
            </w:r>
            <w:proofErr w:type="spellEnd"/>
            <w:r w:rsidRPr="00AB6C23">
              <w:t xml:space="preserve"> </w:t>
            </w:r>
            <w:proofErr w:type="spellStart"/>
            <w:r w:rsidRPr="00AB6C23">
              <w:t>technical</w:t>
            </w:r>
            <w:proofErr w:type="spellEnd"/>
            <w:r w:rsidRPr="00AB6C23">
              <w:t xml:space="preserve"> </w:t>
            </w:r>
            <w:proofErr w:type="spellStart"/>
            <w:r w:rsidRPr="00AB6C23">
              <w:t>services</w:t>
            </w:r>
            <w:proofErr w:type="spellEnd"/>
          </w:p>
        </w:tc>
        <w:tc>
          <w:tcPr>
            <w:tcW w:w="417" w:type="dxa"/>
            <w:tcBorders>
              <w:top w:val="nil"/>
            </w:tcBorders>
            <w:shd w:val="clear" w:color="auto" w:fill="auto"/>
            <w:vAlign w:val="center"/>
          </w:tcPr>
          <w:p w14:paraId="2E65DFB4"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1543CD04" w14:textId="77777777" w:rsidR="005A37F3" w:rsidRPr="00751D19" w:rsidRDefault="005A37F3">
            <w:pPr>
              <w:pStyle w:val="08-Tabelageral"/>
              <w:rPr>
                <w:rFonts w:cs="Arial"/>
                <w:szCs w:val="14"/>
              </w:rPr>
            </w:pPr>
            <w:r>
              <w:rPr>
                <w:rFonts w:cs="Arial"/>
                <w:szCs w:val="14"/>
              </w:rPr>
              <w:t>(721)</w:t>
            </w:r>
          </w:p>
        </w:tc>
        <w:tc>
          <w:tcPr>
            <w:tcW w:w="1412" w:type="dxa"/>
            <w:tcBorders>
              <w:top w:val="nil"/>
            </w:tcBorders>
            <w:shd w:val="clear" w:color="auto" w:fill="auto"/>
            <w:vAlign w:val="center"/>
          </w:tcPr>
          <w:p w14:paraId="651CD703" w14:textId="77777777" w:rsidR="005A37F3" w:rsidRDefault="005A37F3">
            <w:pPr>
              <w:pStyle w:val="08-Tabelageral"/>
              <w:rPr>
                <w:rFonts w:cs="Arial"/>
                <w:color w:val="000000"/>
                <w:szCs w:val="14"/>
              </w:rPr>
            </w:pPr>
            <w:r>
              <w:t>(899)</w:t>
            </w:r>
          </w:p>
        </w:tc>
        <w:tc>
          <w:tcPr>
            <w:tcW w:w="251" w:type="dxa"/>
            <w:tcBorders>
              <w:top w:val="nil"/>
            </w:tcBorders>
            <w:shd w:val="clear" w:color="auto" w:fill="auto"/>
            <w:vAlign w:val="center"/>
          </w:tcPr>
          <w:p w14:paraId="1E716FA6"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00D4F9D1" w14:textId="1F64B121" w:rsidR="005A37F3" w:rsidRPr="004D3293" w:rsidRDefault="005A37F3">
            <w:pPr>
              <w:pStyle w:val="08-Tabelageral"/>
              <w:rPr>
                <w:rFonts w:cs="Arial"/>
                <w:szCs w:val="14"/>
              </w:rPr>
            </w:pPr>
            <w:r w:rsidRPr="00BD28AF">
              <w:rPr>
                <w:rFonts w:cs="Arial"/>
                <w:szCs w:val="14"/>
              </w:rPr>
              <w:t>(4</w:t>
            </w:r>
            <w:r w:rsidR="001D48FC">
              <w:rPr>
                <w:rFonts w:cs="Arial"/>
                <w:szCs w:val="14"/>
              </w:rPr>
              <w:t>,</w:t>
            </w:r>
            <w:r w:rsidRPr="00BD28AF">
              <w:rPr>
                <w:rFonts w:cs="Arial"/>
                <w:szCs w:val="14"/>
              </w:rPr>
              <w:t>234)</w:t>
            </w:r>
          </w:p>
        </w:tc>
        <w:tc>
          <w:tcPr>
            <w:tcW w:w="1526" w:type="dxa"/>
            <w:tcBorders>
              <w:top w:val="nil"/>
            </w:tcBorders>
            <w:shd w:val="clear" w:color="auto" w:fill="auto"/>
            <w:vAlign w:val="center"/>
          </w:tcPr>
          <w:p w14:paraId="0580777C" w14:textId="1A6E2CC2" w:rsidR="005A37F3" w:rsidRDefault="005A37F3">
            <w:pPr>
              <w:pStyle w:val="08-Tabelageral"/>
              <w:rPr>
                <w:rFonts w:cs="Arial"/>
                <w:color w:val="000000"/>
                <w:szCs w:val="14"/>
              </w:rPr>
            </w:pPr>
            <w:r>
              <w:t>(4</w:t>
            </w:r>
            <w:r w:rsidR="001D48FC">
              <w:t>,</w:t>
            </w:r>
            <w:r>
              <w:t>106)</w:t>
            </w:r>
          </w:p>
        </w:tc>
      </w:tr>
      <w:tr w:rsidR="005A37F3" w:rsidRPr="004078D0" w14:paraId="05B63659" w14:textId="77777777">
        <w:trPr>
          <w:trHeight w:val="238"/>
          <w:jc w:val="center"/>
        </w:trPr>
        <w:tc>
          <w:tcPr>
            <w:tcW w:w="2986" w:type="dxa"/>
            <w:gridSpan w:val="2"/>
            <w:tcBorders>
              <w:top w:val="nil"/>
            </w:tcBorders>
            <w:shd w:val="clear" w:color="auto" w:fill="auto"/>
          </w:tcPr>
          <w:p w14:paraId="0B319C82" w14:textId="77777777" w:rsidR="005A37F3" w:rsidRPr="00AB6C23" w:rsidRDefault="005A37F3">
            <w:pPr>
              <w:pStyle w:val="08-Tabelageral"/>
              <w:jc w:val="left"/>
            </w:pPr>
            <w:r w:rsidRPr="00AB6C23">
              <w:t>Digital communication</w:t>
            </w:r>
          </w:p>
        </w:tc>
        <w:tc>
          <w:tcPr>
            <w:tcW w:w="417" w:type="dxa"/>
            <w:tcBorders>
              <w:top w:val="nil"/>
            </w:tcBorders>
            <w:shd w:val="clear" w:color="auto" w:fill="auto"/>
            <w:vAlign w:val="center"/>
          </w:tcPr>
          <w:p w14:paraId="094DEDDA"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0DAA6C06" w14:textId="77777777" w:rsidR="005A37F3" w:rsidRDefault="005A37F3">
            <w:pPr>
              <w:pStyle w:val="08-Tabelageral"/>
              <w:rPr>
                <w:rFonts w:cs="Arial"/>
                <w:szCs w:val="14"/>
              </w:rPr>
            </w:pPr>
            <w:r>
              <w:rPr>
                <w:rFonts w:cs="Arial"/>
                <w:szCs w:val="14"/>
              </w:rPr>
              <w:t>--</w:t>
            </w:r>
          </w:p>
        </w:tc>
        <w:tc>
          <w:tcPr>
            <w:tcW w:w="1412" w:type="dxa"/>
            <w:tcBorders>
              <w:top w:val="nil"/>
            </w:tcBorders>
            <w:shd w:val="clear" w:color="auto" w:fill="auto"/>
            <w:vAlign w:val="center"/>
          </w:tcPr>
          <w:p w14:paraId="5DFED744" w14:textId="77777777" w:rsidR="005A37F3" w:rsidRDefault="005A37F3">
            <w:pPr>
              <w:pStyle w:val="08-Tabelageral"/>
            </w:pPr>
            <w:r>
              <w:rPr>
                <w:rFonts w:cs="Arial"/>
                <w:szCs w:val="14"/>
              </w:rPr>
              <w:t>--</w:t>
            </w:r>
          </w:p>
        </w:tc>
        <w:tc>
          <w:tcPr>
            <w:tcW w:w="251" w:type="dxa"/>
            <w:tcBorders>
              <w:top w:val="nil"/>
            </w:tcBorders>
            <w:shd w:val="clear" w:color="auto" w:fill="auto"/>
            <w:vAlign w:val="center"/>
          </w:tcPr>
          <w:p w14:paraId="14952CED"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39E93A64" w14:textId="1D84B117" w:rsidR="005A37F3" w:rsidRDefault="005A37F3">
            <w:pPr>
              <w:pStyle w:val="08-Tabelageral"/>
              <w:rPr>
                <w:rFonts w:cs="Arial"/>
                <w:szCs w:val="14"/>
              </w:rPr>
            </w:pPr>
            <w:r w:rsidRPr="00BD28AF">
              <w:rPr>
                <w:rFonts w:cs="Arial"/>
                <w:szCs w:val="14"/>
              </w:rPr>
              <w:t>(2</w:t>
            </w:r>
            <w:r w:rsidR="001D48FC">
              <w:rPr>
                <w:rFonts w:cs="Arial"/>
                <w:szCs w:val="14"/>
              </w:rPr>
              <w:t>,</w:t>
            </w:r>
            <w:r w:rsidRPr="00BD28AF">
              <w:rPr>
                <w:rFonts w:cs="Arial"/>
                <w:szCs w:val="14"/>
              </w:rPr>
              <w:t>278)</w:t>
            </w:r>
          </w:p>
        </w:tc>
        <w:tc>
          <w:tcPr>
            <w:tcW w:w="1526" w:type="dxa"/>
            <w:tcBorders>
              <w:top w:val="nil"/>
            </w:tcBorders>
            <w:shd w:val="clear" w:color="auto" w:fill="auto"/>
            <w:vAlign w:val="center"/>
          </w:tcPr>
          <w:p w14:paraId="4371F44E" w14:textId="77777777" w:rsidR="005A37F3" w:rsidRDefault="005A37F3">
            <w:pPr>
              <w:pStyle w:val="08-Tabelageral"/>
            </w:pPr>
            <w:r>
              <w:t>(596)</w:t>
            </w:r>
          </w:p>
        </w:tc>
      </w:tr>
      <w:tr w:rsidR="005A37F3" w:rsidRPr="004078D0" w14:paraId="0B0D0895" w14:textId="77777777">
        <w:trPr>
          <w:trHeight w:val="238"/>
          <w:jc w:val="center"/>
        </w:trPr>
        <w:tc>
          <w:tcPr>
            <w:tcW w:w="2986" w:type="dxa"/>
            <w:gridSpan w:val="2"/>
            <w:tcBorders>
              <w:top w:val="nil"/>
            </w:tcBorders>
            <w:shd w:val="clear" w:color="auto" w:fill="auto"/>
          </w:tcPr>
          <w:p w14:paraId="3A4F97EC" w14:textId="77777777" w:rsidR="005A37F3" w:rsidRPr="00AB6C23" w:rsidRDefault="005A37F3">
            <w:pPr>
              <w:pStyle w:val="08-Tabelageral"/>
              <w:jc w:val="left"/>
            </w:pPr>
            <w:proofErr w:type="spellStart"/>
            <w:r w:rsidRPr="00AB6C23">
              <w:t>Lawsuits</w:t>
            </w:r>
            <w:proofErr w:type="spellEnd"/>
          </w:p>
        </w:tc>
        <w:tc>
          <w:tcPr>
            <w:tcW w:w="417" w:type="dxa"/>
            <w:tcBorders>
              <w:top w:val="nil"/>
            </w:tcBorders>
            <w:shd w:val="clear" w:color="auto" w:fill="auto"/>
            <w:vAlign w:val="center"/>
          </w:tcPr>
          <w:p w14:paraId="1A841D4A"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59647094" w14:textId="77777777" w:rsidR="005A37F3" w:rsidRPr="006468C2" w:rsidRDefault="005A37F3">
            <w:pPr>
              <w:pStyle w:val="08-Tabelageral"/>
              <w:rPr>
                <w:rFonts w:cs="Arial"/>
                <w:szCs w:val="14"/>
              </w:rPr>
            </w:pPr>
            <w:r>
              <w:rPr>
                <w:rFonts w:cs="Arial"/>
                <w:szCs w:val="14"/>
              </w:rPr>
              <w:t>(103)</w:t>
            </w:r>
          </w:p>
        </w:tc>
        <w:tc>
          <w:tcPr>
            <w:tcW w:w="1412" w:type="dxa"/>
            <w:tcBorders>
              <w:top w:val="nil"/>
            </w:tcBorders>
            <w:shd w:val="clear" w:color="auto" w:fill="auto"/>
            <w:vAlign w:val="center"/>
          </w:tcPr>
          <w:p w14:paraId="7D3FCFA7" w14:textId="77777777" w:rsidR="005A37F3" w:rsidRPr="006468C2" w:rsidRDefault="005A37F3">
            <w:pPr>
              <w:pStyle w:val="08-Tabelageral"/>
            </w:pPr>
            <w:r>
              <w:rPr>
                <w:rFonts w:cs="Arial"/>
                <w:szCs w:val="14"/>
              </w:rPr>
              <w:t>--</w:t>
            </w:r>
          </w:p>
        </w:tc>
        <w:tc>
          <w:tcPr>
            <w:tcW w:w="251" w:type="dxa"/>
            <w:tcBorders>
              <w:top w:val="nil"/>
            </w:tcBorders>
            <w:shd w:val="clear" w:color="auto" w:fill="auto"/>
            <w:vAlign w:val="center"/>
          </w:tcPr>
          <w:p w14:paraId="140E3D78"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0158EB8E" w14:textId="0BA001CF" w:rsidR="005A37F3" w:rsidRPr="006468C2" w:rsidRDefault="005A37F3">
            <w:pPr>
              <w:pStyle w:val="08-Tabelageral"/>
              <w:rPr>
                <w:rFonts w:cs="Arial"/>
                <w:szCs w:val="14"/>
              </w:rPr>
            </w:pPr>
            <w:r w:rsidRPr="00BD28AF">
              <w:rPr>
                <w:rFonts w:cs="Arial"/>
                <w:szCs w:val="14"/>
              </w:rPr>
              <w:t>(1</w:t>
            </w:r>
            <w:r w:rsidR="001D48FC">
              <w:rPr>
                <w:rFonts w:cs="Arial"/>
                <w:szCs w:val="14"/>
              </w:rPr>
              <w:t>,</w:t>
            </w:r>
            <w:r w:rsidRPr="00BD28AF">
              <w:rPr>
                <w:rFonts w:cs="Arial"/>
                <w:szCs w:val="14"/>
              </w:rPr>
              <w:t>996)</w:t>
            </w:r>
          </w:p>
        </w:tc>
        <w:tc>
          <w:tcPr>
            <w:tcW w:w="1526" w:type="dxa"/>
            <w:tcBorders>
              <w:top w:val="nil"/>
            </w:tcBorders>
            <w:shd w:val="clear" w:color="auto" w:fill="auto"/>
            <w:vAlign w:val="center"/>
          </w:tcPr>
          <w:p w14:paraId="4B515A96" w14:textId="19C3465B" w:rsidR="005A37F3" w:rsidRPr="004078D0" w:rsidRDefault="005A37F3">
            <w:pPr>
              <w:pStyle w:val="08-Tabelageral"/>
              <w:rPr>
                <w:rFonts w:cs="Arial"/>
                <w:szCs w:val="14"/>
              </w:rPr>
            </w:pPr>
            <w:r>
              <w:t>(1</w:t>
            </w:r>
            <w:r w:rsidR="001D48FC">
              <w:t>,</w:t>
            </w:r>
            <w:r>
              <w:t>600)</w:t>
            </w:r>
          </w:p>
        </w:tc>
      </w:tr>
      <w:tr w:rsidR="005A37F3" w:rsidRPr="004078D0" w14:paraId="1B05765E" w14:textId="77777777">
        <w:trPr>
          <w:trHeight w:val="238"/>
          <w:jc w:val="center"/>
        </w:trPr>
        <w:tc>
          <w:tcPr>
            <w:tcW w:w="2986" w:type="dxa"/>
            <w:gridSpan w:val="2"/>
            <w:tcBorders>
              <w:top w:val="nil"/>
            </w:tcBorders>
            <w:shd w:val="clear" w:color="auto" w:fill="auto"/>
          </w:tcPr>
          <w:p w14:paraId="0E0F0423" w14:textId="77777777" w:rsidR="005A37F3" w:rsidRPr="00AB6C23" w:rsidRDefault="005A37F3">
            <w:pPr>
              <w:pStyle w:val="08-Tabelageral"/>
              <w:jc w:val="left"/>
            </w:pPr>
            <w:r w:rsidRPr="00AB6C23">
              <w:t xml:space="preserve">Service </w:t>
            </w:r>
            <w:proofErr w:type="spellStart"/>
            <w:r w:rsidRPr="00AB6C23">
              <w:t>travel</w:t>
            </w:r>
            <w:proofErr w:type="spellEnd"/>
          </w:p>
        </w:tc>
        <w:tc>
          <w:tcPr>
            <w:tcW w:w="417" w:type="dxa"/>
            <w:tcBorders>
              <w:top w:val="nil"/>
            </w:tcBorders>
            <w:shd w:val="clear" w:color="auto" w:fill="auto"/>
            <w:vAlign w:val="center"/>
          </w:tcPr>
          <w:p w14:paraId="711E7B8B"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3976729E" w14:textId="77777777" w:rsidR="005A37F3" w:rsidRPr="006468C2" w:rsidRDefault="005A37F3">
            <w:pPr>
              <w:pStyle w:val="08-Tabelageral"/>
              <w:rPr>
                <w:rFonts w:cs="Arial"/>
                <w:szCs w:val="14"/>
              </w:rPr>
            </w:pPr>
            <w:r>
              <w:rPr>
                <w:rFonts w:cs="Arial"/>
                <w:szCs w:val="14"/>
              </w:rPr>
              <w:t>(689)</w:t>
            </w:r>
          </w:p>
        </w:tc>
        <w:tc>
          <w:tcPr>
            <w:tcW w:w="1412" w:type="dxa"/>
            <w:tcBorders>
              <w:top w:val="nil"/>
            </w:tcBorders>
            <w:shd w:val="clear" w:color="auto" w:fill="auto"/>
            <w:vAlign w:val="center"/>
          </w:tcPr>
          <w:p w14:paraId="1017D943" w14:textId="77777777" w:rsidR="005A37F3" w:rsidRPr="006468C2" w:rsidRDefault="005A37F3">
            <w:pPr>
              <w:pStyle w:val="08-Tabelageral"/>
            </w:pPr>
            <w:r>
              <w:t>(448)</w:t>
            </w:r>
          </w:p>
        </w:tc>
        <w:tc>
          <w:tcPr>
            <w:tcW w:w="251" w:type="dxa"/>
            <w:tcBorders>
              <w:top w:val="nil"/>
            </w:tcBorders>
            <w:shd w:val="clear" w:color="auto" w:fill="auto"/>
            <w:vAlign w:val="center"/>
          </w:tcPr>
          <w:p w14:paraId="7DF6AC36"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7B39A1C1" w14:textId="78011C27" w:rsidR="005A37F3" w:rsidRPr="006468C2" w:rsidRDefault="005A37F3">
            <w:pPr>
              <w:pStyle w:val="08-Tabelageral"/>
              <w:rPr>
                <w:rFonts w:cs="Arial"/>
                <w:szCs w:val="14"/>
              </w:rPr>
            </w:pPr>
            <w:r w:rsidRPr="00BD28AF">
              <w:rPr>
                <w:rFonts w:cs="Arial"/>
                <w:szCs w:val="14"/>
              </w:rPr>
              <w:t>(1</w:t>
            </w:r>
            <w:r w:rsidR="001D48FC">
              <w:rPr>
                <w:rFonts w:cs="Arial"/>
                <w:szCs w:val="14"/>
              </w:rPr>
              <w:t>,</w:t>
            </w:r>
            <w:r w:rsidRPr="00BD28AF">
              <w:rPr>
                <w:rFonts w:cs="Arial"/>
                <w:szCs w:val="14"/>
              </w:rPr>
              <w:t>942)</w:t>
            </w:r>
          </w:p>
        </w:tc>
        <w:tc>
          <w:tcPr>
            <w:tcW w:w="1526" w:type="dxa"/>
            <w:tcBorders>
              <w:top w:val="nil"/>
            </w:tcBorders>
            <w:shd w:val="clear" w:color="auto" w:fill="auto"/>
            <w:vAlign w:val="center"/>
          </w:tcPr>
          <w:p w14:paraId="6CFF58FB" w14:textId="7CEF1C7F" w:rsidR="005A37F3" w:rsidRPr="004078D0" w:rsidRDefault="005A37F3">
            <w:pPr>
              <w:pStyle w:val="08-Tabelageral"/>
              <w:rPr>
                <w:rFonts w:cs="Arial"/>
                <w:szCs w:val="14"/>
              </w:rPr>
            </w:pPr>
            <w:r>
              <w:t>(1</w:t>
            </w:r>
            <w:r w:rsidR="001D48FC">
              <w:t>,</w:t>
            </w:r>
            <w:r>
              <w:t>798)</w:t>
            </w:r>
          </w:p>
        </w:tc>
      </w:tr>
      <w:tr w:rsidR="005A37F3" w:rsidRPr="004078D0" w14:paraId="73D84C4E" w14:textId="77777777">
        <w:trPr>
          <w:trHeight w:val="238"/>
          <w:jc w:val="center"/>
        </w:trPr>
        <w:tc>
          <w:tcPr>
            <w:tcW w:w="2986" w:type="dxa"/>
            <w:gridSpan w:val="2"/>
            <w:tcBorders>
              <w:top w:val="nil"/>
            </w:tcBorders>
            <w:shd w:val="clear" w:color="auto" w:fill="auto"/>
          </w:tcPr>
          <w:p w14:paraId="3B9ABE41" w14:textId="77777777" w:rsidR="005A37F3" w:rsidRPr="00AB6C23" w:rsidRDefault="005A37F3">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Pr="00AB6C23">
              <w:t>relations</w:t>
            </w:r>
            <w:proofErr w:type="spellEnd"/>
          </w:p>
        </w:tc>
        <w:tc>
          <w:tcPr>
            <w:tcW w:w="417" w:type="dxa"/>
            <w:tcBorders>
              <w:top w:val="nil"/>
            </w:tcBorders>
            <w:shd w:val="clear" w:color="auto" w:fill="auto"/>
            <w:vAlign w:val="center"/>
          </w:tcPr>
          <w:p w14:paraId="3A818FBE"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1774347B" w14:textId="77777777" w:rsidR="005A37F3" w:rsidRPr="006468C2" w:rsidRDefault="005A37F3">
            <w:pPr>
              <w:pStyle w:val="08-Tabelageral"/>
              <w:rPr>
                <w:rFonts w:cs="Arial"/>
                <w:szCs w:val="14"/>
              </w:rPr>
            </w:pPr>
            <w:r>
              <w:rPr>
                <w:rFonts w:cs="Arial"/>
                <w:szCs w:val="14"/>
              </w:rPr>
              <w:t>(222)</w:t>
            </w:r>
          </w:p>
        </w:tc>
        <w:tc>
          <w:tcPr>
            <w:tcW w:w="1412" w:type="dxa"/>
            <w:tcBorders>
              <w:top w:val="nil"/>
            </w:tcBorders>
            <w:shd w:val="clear" w:color="auto" w:fill="auto"/>
            <w:vAlign w:val="center"/>
          </w:tcPr>
          <w:p w14:paraId="600E1EF5" w14:textId="77777777" w:rsidR="005A37F3" w:rsidRPr="006468C2" w:rsidRDefault="005A37F3">
            <w:pPr>
              <w:pStyle w:val="08-Tabelageral"/>
            </w:pPr>
            <w:r>
              <w:t>(54)</w:t>
            </w:r>
          </w:p>
        </w:tc>
        <w:tc>
          <w:tcPr>
            <w:tcW w:w="251" w:type="dxa"/>
            <w:tcBorders>
              <w:top w:val="nil"/>
            </w:tcBorders>
            <w:shd w:val="clear" w:color="auto" w:fill="auto"/>
            <w:vAlign w:val="center"/>
          </w:tcPr>
          <w:p w14:paraId="18C699C3"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160591E1" w14:textId="77777777" w:rsidR="005A37F3" w:rsidRPr="006468C2" w:rsidRDefault="005A37F3">
            <w:pPr>
              <w:pStyle w:val="08-Tabelageral"/>
              <w:rPr>
                <w:rFonts w:cs="Arial"/>
                <w:szCs w:val="14"/>
              </w:rPr>
            </w:pPr>
            <w:r w:rsidRPr="00BD28AF">
              <w:rPr>
                <w:rFonts w:cs="Arial"/>
                <w:szCs w:val="14"/>
              </w:rPr>
              <w:t>(596)</w:t>
            </w:r>
          </w:p>
        </w:tc>
        <w:tc>
          <w:tcPr>
            <w:tcW w:w="1526" w:type="dxa"/>
            <w:tcBorders>
              <w:top w:val="nil"/>
            </w:tcBorders>
            <w:shd w:val="clear" w:color="auto" w:fill="auto"/>
            <w:vAlign w:val="center"/>
          </w:tcPr>
          <w:p w14:paraId="6EBA1584" w14:textId="39DD04C9" w:rsidR="005A37F3" w:rsidRPr="004078D0" w:rsidRDefault="005A37F3">
            <w:pPr>
              <w:pStyle w:val="08-Tabelageral"/>
              <w:rPr>
                <w:rFonts w:cs="Arial"/>
                <w:szCs w:val="14"/>
              </w:rPr>
            </w:pPr>
            <w:r>
              <w:t>(6</w:t>
            </w:r>
            <w:r w:rsidR="001D48FC">
              <w:t>,</w:t>
            </w:r>
            <w:r>
              <w:t>193)</w:t>
            </w:r>
          </w:p>
        </w:tc>
      </w:tr>
      <w:tr w:rsidR="005A37F3" w:rsidRPr="004078D0" w14:paraId="4386D728" w14:textId="77777777">
        <w:trPr>
          <w:trHeight w:val="238"/>
          <w:jc w:val="center"/>
        </w:trPr>
        <w:tc>
          <w:tcPr>
            <w:tcW w:w="2986" w:type="dxa"/>
            <w:gridSpan w:val="2"/>
            <w:tcBorders>
              <w:top w:val="nil"/>
            </w:tcBorders>
            <w:shd w:val="clear" w:color="auto" w:fill="auto"/>
          </w:tcPr>
          <w:p w14:paraId="4BF44725" w14:textId="77777777" w:rsidR="005A37F3" w:rsidRPr="00AB6C23" w:rsidRDefault="005A37F3">
            <w:pPr>
              <w:pStyle w:val="08-Tabelageral"/>
              <w:jc w:val="left"/>
            </w:pPr>
            <w:r w:rsidRPr="00AB6C23">
              <w:t>Other</w:t>
            </w:r>
          </w:p>
        </w:tc>
        <w:tc>
          <w:tcPr>
            <w:tcW w:w="417" w:type="dxa"/>
            <w:tcBorders>
              <w:top w:val="nil"/>
            </w:tcBorders>
            <w:shd w:val="clear" w:color="auto" w:fill="auto"/>
            <w:vAlign w:val="center"/>
          </w:tcPr>
          <w:p w14:paraId="755A2530" w14:textId="77777777" w:rsidR="005A37F3" w:rsidRPr="006468C2" w:rsidRDefault="005A37F3">
            <w:pPr>
              <w:pStyle w:val="08-Tabelageral"/>
              <w:rPr>
                <w:rFonts w:cs="Arial"/>
                <w:szCs w:val="14"/>
              </w:rPr>
            </w:pPr>
          </w:p>
        </w:tc>
        <w:tc>
          <w:tcPr>
            <w:tcW w:w="1598" w:type="dxa"/>
            <w:gridSpan w:val="2"/>
            <w:tcBorders>
              <w:top w:val="nil"/>
            </w:tcBorders>
            <w:shd w:val="clear" w:color="auto" w:fill="auto"/>
            <w:vAlign w:val="center"/>
          </w:tcPr>
          <w:p w14:paraId="1E519EF9" w14:textId="77777777" w:rsidR="005A37F3" w:rsidRPr="006468C2" w:rsidRDefault="005A37F3">
            <w:pPr>
              <w:pStyle w:val="08-Tabelageral"/>
              <w:rPr>
                <w:rFonts w:cs="Arial"/>
                <w:szCs w:val="14"/>
              </w:rPr>
            </w:pPr>
            <w:r>
              <w:rPr>
                <w:rFonts w:cs="Arial"/>
                <w:szCs w:val="14"/>
              </w:rPr>
              <w:t>(519)</w:t>
            </w:r>
          </w:p>
        </w:tc>
        <w:tc>
          <w:tcPr>
            <w:tcW w:w="1412" w:type="dxa"/>
            <w:tcBorders>
              <w:top w:val="nil"/>
            </w:tcBorders>
            <w:shd w:val="clear" w:color="auto" w:fill="auto"/>
            <w:vAlign w:val="center"/>
          </w:tcPr>
          <w:p w14:paraId="3C4C65BD" w14:textId="77777777" w:rsidR="005A37F3" w:rsidRPr="006468C2" w:rsidRDefault="005A37F3">
            <w:pPr>
              <w:pStyle w:val="08-Tabelageral"/>
            </w:pPr>
            <w:r>
              <w:t>(432)</w:t>
            </w:r>
          </w:p>
        </w:tc>
        <w:tc>
          <w:tcPr>
            <w:tcW w:w="251" w:type="dxa"/>
            <w:tcBorders>
              <w:top w:val="nil"/>
            </w:tcBorders>
            <w:shd w:val="clear" w:color="auto" w:fill="auto"/>
            <w:vAlign w:val="center"/>
          </w:tcPr>
          <w:p w14:paraId="59E7CEBD" w14:textId="77777777" w:rsidR="005A37F3" w:rsidRPr="006468C2" w:rsidRDefault="005A37F3">
            <w:pPr>
              <w:pStyle w:val="08-Tabelageral"/>
              <w:rPr>
                <w:rFonts w:cs="Arial"/>
                <w:szCs w:val="14"/>
              </w:rPr>
            </w:pPr>
          </w:p>
        </w:tc>
        <w:tc>
          <w:tcPr>
            <w:tcW w:w="1449" w:type="dxa"/>
            <w:gridSpan w:val="2"/>
            <w:tcBorders>
              <w:top w:val="nil"/>
            </w:tcBorders>
            <w:shd w:val="clear" w:color="auto" w:fill="auto"/>
            <w:vAlign w:val="center"/>
          </w:tcPr>
          <w:p w14:paraId="2CF302A7" w14:textId="2CADF554" w:rsidR="005A37F3" w:rsidRPr="006468C2" w:rsidRDefault="005A37F3">
            <w:pPr>
              <w:pStyle w:val="08-Tabelageral"/>
              <w:rPr>
                <w:rFonts w:cs="Arial"/>
                <w:szCs w:val="14"/>
              </w:rPr>
            </w:pPr>
            <w:r w:rsidRPr="00BD28AF">
              <w:rPr>
                <w:rFonts w:cs="Arial"/>
                <w:szCs w:val="14"/>
              </w:rPr>
              <w:t>(3</w:t>
            </w:r>
            <w:r w:rsidR="001D48FC">
              <w:rPr>
                <w:rFonts w:cs="Arial"/>
                <w:szCs w:val="14"/>
              </w:rPr>
              <w:t>,</w:t>
            </w:r>
            <w:r w:rsidRPr="00BD28AF">
              <w:rPr>
                <w:rFonts w:cs="Arial"/>
                <w:szCs w:val="14"/>
              </w:rPr>
              <w:t>269)</w:t>
            </w:r>
          </w:p>
        </w:tc>
        <w:tc>
          <w:tcPr>
            <w:tcW w:w="1526" w:type="dxa"/>
            <w:tcBorders>
              <w:top w:val="nil"/>
            </w:tcBorders>
            <w:shd w:val="clear" w:color="auto" w:fill="auto"/>
            <w:vAlign w:val="center"/>
          </w:tcPr>
          <w:p w14:paraId="01B979EB" w14:textId="6F445A8B" w:rsidR="005A37F3" w:rsidRPr="004078D0" w:rsidRDefault="005A37F3">
            <w:pPr>
              <w:pStyle w:val="08-Tabelageral"/>
              <w:rPr>
                <w:rFonts w:cs="Arial"/>
                <w:szCs w:val="14"/>
              </w:rPr>
            </w:pPr>
            <w:r>
              <w:t>(3</w:t>
            </w:r>
            <w:r w:rsidR="001D48FC">
              <w:t>,</w:t>
            </w:r>
            <w:r>
              <w:t>203)</w:t>
            </w:r>
          </w:p>
        </w:tc>
      </w:tr>
      <w:tr w:rsidR="005A37F3" w:rsidRPr="002C2608" w14:paraId="5F6A6B10" w14:textId="77777777">
        <w:trPr>
          <w:trHeight w:val="238"/>
          <w:jc w:val="center"/>
        </w:trPr>
        <w:tc>
          <w:tcPr>
            <w:tcW w:w="2986" w:type="dxa"/>
            <w:gridSpan w:val="2"/>
            <w:tcBorders>
              <w:top w:val="nil"/>
              <w:bottom w:val="single" w:sz="2" w:space="0" w:color="1F3864" w:themeColor="accent1" w:themeShade="80"/>
            </w:tcBorders>
            <w:shd w:val="clear" w:color="auto" w:fill="auto"/>
          </w:tcPr>
          <w:p w14:paraId="26F8E883" w14:textId="77777777" w:rsidR="005A37F3" w:rsidRPr="00AB6C23" w:rsidRDefault="005A37F3">
            <w:pPr>
              <w:pStyle w:val="08-Tabelageral"/>
              <w:jc w:val="left"/>
              <w:rPr>
                <w:b/>
              </w:rPr>
            </w:pPr>
            <w:r w:rsidRPr="00AB6C23">
              <w:rPr>
                <w:b/>
              </w:rPr>
              <w:t>Total</w:t>
            </w:r>
          </w:p>
        </w:tc>
        <w:tc>
          <w:tcPr>
            <w:tcW w:w="417" w:type="dxa"/>
            <w:tcBorders>
              <w:top w:val="nil"/>
              <w:bottom w:val="single" w:sz="2" w:space="0" w:color="1F3864" w:themeColor="accent1" w:themeShade="80"/>
            </w:tcBorders>
            <w:shd w:val="clear" w:color="auto" w:fill="auto"/>
          </w:tcPr>
          <w:p w14:paraId="35FC9EF1" w14:textId="77777777" w:rsidR="005A37F3" w:rsidRPr="002C2608" w:rsidRDefault="005A37F3">
            <w:pPr>
              <w:pStyle w:val="08-Tabelageral"/>
              <w:rPr>
                <w:rFonts w:cs="Arial"/>
                <w:b/>
                <w:szCs w:val="14"/>
              </w:rPr>
            </w:pPr>
          </w:p>
        </w:tc>
        <w:tc>
          <w:tcPr>
            <w:tcW w:w="1598" w:type="dxa"/>
            <w:gridSpan w:val="2"/>
            <w:tcBorders>
              <w:top w:val="nil"/>
              <w:bottom w:val="single" w:sz="2" w:space="0" w:color="1F3864" w:themeColor="accent1" w:themeShade="80"/>
            </w:tcBorders>
            <w:shd w:val="clear" w:color="auto" w:fill="auto"/>
            <w:vAlign w:val="center"/>
          </w:tcPr>
          <w:p w14:paraId="376A439E" w14:textId="77777777" w:rsidR="005A37F3" w:rsidRPr="002C2608" w:rsidRDefault="005A37F3">
            <w:pPr>
              <w:pStyle w:val="08-Tabelageral"/>
              <w:rPr>
                <w:rFonts w:cs="Arial"/>
                <w:b/>
                <w:szCs w:val="14"/>
              </w:rPr>
            </w:pPr>
            <w:r w:rsidRPr="00C337C8">
              <w:rPr>
                <w:rFonts w:cs="Arial"/>
                <w:b/>
                <w:bCs/>
                <w:szCs w:val="14"/>
              </w:rPr>
              <w:t>(</w:t>
            </w:r>
            <w:r>
              <w:rPr>
                <w:rFonts w:cs="Arial"/>
                <w:b/>
                <w:bCs/>
                <w:szCs w:val="14"/>
              </w:rPr>
              <w:t>3,890</w:t>
            </w:r>
            <w:r w:rsidRPr="00C337C8">
              <w:rPr>
                <w:rFonts w:cs="Arial"/>
                <w:b/>
                <w:bCs/>
                <w:szCs w:val="14"/>
              </w:rPr>
              <w:t>)</w:t>
            </w:r>
          </w:p>
        </w:tc>
        <w:tc>
          <w:tcPr>
            <w:tcW w:w="1412" w:type="dxa"/>
            <w:tcBorders>
              <w:top w:val="nil"/>
              <w:bottom w:val="single" w:sz="2" w:space="0" w:color="1F3864" w:themeColor="accent1" w:themeShade="80"/>
            </w:tcBorders>
            <w:shd w:val="clear" w:color="auto" w:fill="auto"/>
            <w:vAlign w:val="center"/>
          </w:tcPr>
          <w:p w14:paraId="02B0C37E" w14:textId="77777777" w:rsidR="005A37F3" w:rsidRPr="002C2608" w:rsidRDefault="005A37F3">
            <w:pPr>
              <w:pStyle w:val="08-Tabelageral"/>
              <w:rPr>
                <w:rFonts w:cs="Arial"/>
                <w:b/>
                <w:szCs w:val="14"/>
              </w:rPr>
            </w:pPr>
            <w:r>
              <w:rPr>
                <w:b/>
                <w:bCs/>
              </w:rPr>
              <w:t>(3,589)</w:t>
            </w:r>
          </w:p>
        </w:tc>
        <w:tc>
          <w:tcPr>
            <w:tcW w:w="251" w:type="dxa"/>
            <w:tcBorders>
              <w:top w:val="nil"/>
              <w:bottom w:val="single" w:sz="2" w:space="0" w:color="1F3864" w:themeColor="accent1" w:themeShade="80"/>
            </w:tcBorders>
            <w:shd w:val="clear" w:color="auto" w:fill="auto"/>
            <w:vAlign w:val="center"/>
          </w:tcPr>
          <w:p w14:paraId="52486A00" w14:textId="77777777" w:rsidR="005A37F3" w:rsidRPr="002C2608" w:rsidRDefault="005A37F3">
            <w:pPr>
              <w:pStyle w:val="08-Tabelageral"/>
              <w:rPr>
                <w:rFonts w:cs="Arial"/>
                <w:b/>
                <w:szCs w:val="14"/>
              </w:rPr>
            </w:pPr>
          </w:p>
        </w:tc>
        <w:tc>
          <w:tcPr>
            <w:tcW w:w="1449" w:type="dxa"/>
            <w:gridSpan w:val="2"/>
            <w:tcBorders>
              <w:top w:val="nil"/>
              <w:bottom w:val="single" w:sz="2" w:space="0" w:color="1F3864" w:themeColor="accent1" w:themeShade="80"/>
            </w:tcBorders>
            <w:shd w:val="clear" w:color="auto" w:fill="auto"/>
            <w:vAlign w:val="center"/>
          </w:tcPr>
          <w:p w14:paraId="3F1768CE" w14:textId="77777777" w:rsidR="005A37F3" w:rsidRPr="002C2608" w:rsidRDefault="005A37F3">
            <w:pPr>
              <w:pStyle w:val="08-Tabelageral"/>
              <w:rPr>
                <w:rFonts w:cs="Arial"/>
                <w:b/>
                <w:szCs w:val="14"/>
              </w:rPr>
            </w:pPr>
            <w:r>
              <w:rPr>
                <w:rFonts w:cs="Arial"/>
                <w:b/>
                <w:bCs/>
                <w:szCs w:val="14"/>
              </w:rPr>
              <w:t>(107,498)</w:t>
            </w:r>
          </w:p>
        </w:tc>
        <w:tc>
          <w:tcPr>
            <w:tcW w:w="1526" w:type="dxa"/>
            <w:tcBorders>
              <w:top w:val="nil"/>
              <w:bottom w:val="single" w:sz="2" w:space="0" w:color="1F3864" w:themeColor="accent1" w:themeShade="80"/>
            </w:tcBorders>
            <w:shd w:val="clear" w:color="auto" w:fill="auto"/>
            <w:vAlign w:val="center"/>
          </w:tcPr>
          <w:p w14:paraId="001C7969" w14:textId="77777777" w:rsidR="005A37F3" w:rsidRPr="002C2608" w:rsidRDefault="005A37F3">
            <w:pPr>
              <w:pStyle w:val="08-Tabelageral"/>
              <w:rPr>
                <w:rFonts w:cs="Arial"/>
                <w:b/>
                <w:szCs w:val="14"/>
              </w:rPr>
            </w:pPr>
            <w:r>
              <w:rPr>
                <w:b/>
                <w:bCs/>
              </w:rPr>
              <w:t>(88,554)</w:t>
            </w:r>
          </w:p>
        </w:tc>
      </w:tr>
    </w:tbl>
    <w:p w14:paraId="109A2E51" w14:textId="77777777" w:rsidR="005A37F3" w:rsidRDefault="005A37F3" w:rsidP="00A76AF4">
      <w:pPr>
        <w:pStyle w:val="PargrafodaLista"/>
        <w:numPr>
          <w:ilvl w:val="0"/>
          <w:numId w:val="20"/>
        </w:numPr>
        <w:spacing w:after="0" w:line="240" w:lineRule="auto"/>
        <w:ind w:left="284" w:hanging="284"/>
        <w:jc w:val="both"/>
        <w:rPr>
          <w:rStyle w:val="q4iawc"/>
          <w:rFonts w:ascii="Arial" w:hAnsi="Arial" w:cs="Arial"/>
          <w:sz w:val="14"/>
          <w:szCs w:val="14"/>
          <w:lang w:val="en"/>
        </w:rPr>
      </w:pPr>
      <w:r w:rsidRPr="00E0586E">
        <w:rPr>
          <w:rStyle w:val="q4iawc"/>
          <w:rFonts w:ascii="Arial" w:hAnsi="Arial" w:cs="Arial"/>
          <w:sz w:val="14"/>
          <w:szCs w:val="14"/>
          <w:lang w:val="en"/>
        </w:rPr>
        <w:t xml:space="preserve">Refers to donations and sponsorships within the scope of laws </w:t>
      </w:r>
      <w:r>
        <w:rPr>
          <w:rStyle w:val="q4iawc"/>
          <w:rFonts w:ascii="Arial" w:hAnsi="Arial" w:cs="Arial"/>
          <w:sz w:val="14"/>
          <w:szCs w:val="14"/>
          <w:lang w:val="en"/>
        </w:rPr>
        <w:t xml:space="preserve">of </w:t>
      </w:r>
      <w:r w:rsidRPr="00E0586E">
        <w:rPr>
          <w:rStyle w:val="q4iawc"/>
          <w:rFonts w:ascii="Arial" w:hAnsi="Arial" w:cs="Arial"/>
          <w:sz w:val="14"/>
          <w:szCs w:val="14"/>
          <w:lang w:val="en"/>
        </w:rPr>
        <w:t>Culture Support Program</w:t>
      </w:r>
      <w:r>
        <w:rPr>
          <w:rStyle w:val="q4iawc"/>
          <w:rFonts w:ascii="Arial" w:hAnsi="Arial" w:cs="Arial"/>
          <w:sz w:val="14"/>
          <w:szCs w:val="14"/>
          <w:lang w:val="en"/>
        </w:rPr>
        <w:t xml:space="preserve">, </w:t>
      </w:r>
      <w:r w:rsidRPr="005A37F3">
        <w:rPr>
          <w:rFonts w:ascii="Arial" w:hAnsi="Arial" w:cs="Arial"/>
          <w:sz w:val="14"/>
          <w:szCs w:val="14"/>
          <w:lang w:val="en-US"/>
        </w:rPr>
        <w:t>National Fund for the Elderly and</w:t>
      </w:r>
      <w:r>
        <w:rPr>
          <w:rStyle w:val="q4iawc"/>
          <w:rFonts w:ascii="Arial" w:hAnsi="Arial" w:cs="Arial"/>
          <w:sz w:val="14"/>
          <w:szCs w:val="14"/>
          <w:lang w:val="en"/>
        </w:rPr>
        <w:t xml:space="preserve"> Sport Incentive.</w:t>
      </w:r>
    </w:p>
    <w:p w14:paraId="05EF91B3" w14:textId="77777777" w:rsidR="005A37F3" w:rsidRDefault="005A37F3" w:rsidP="00A76AF4">
      <w:pPr>
        <w:pStyle w:val="PargrafodaLista"/>
        <w:numPr>
          <w:ilvl w:val="0"/>
          <w:numId w:val="20"/>
        </w:numPr>
        <w:spacing w:after="0" w:line="240" w:lineRule="auto"/>
        <w:ind w:left="284" w:hanging="284"/>
        <w:jc w:val="both"/>
        <w:rPr>
          <w:rStyle w:val="q4iawc"/>
          <w:rFonts w:ascii="Arial" w:hAnsi="Arial" w:cs="Arial"/>
          <w:sz w:val="14"/>
          <w:szCs w:val="14"/>
          <w:lang w:val="en"/>
        </w:rPr>
      </w:pPr>
      <w:r w:rsidRPr="003B51B0">
        <w:rPr>
          <w:rStyle w:val="q4iawc"/>
          <w:rFonts w:ascii="Arial" w:hAnsi="Arial" w:cs="Arial"/>
          <w:sz w:val="14"/>
          <w:szCs w:val="14"/>
          <w:lang w:val="en"/>
        </w:rPr>
        <w:t xml:space="preserve">Refers to expenses with partnerships signed with correspondents, in new channels, for the sale of insurance </w:t>
      </w:r>
      <w:r>
        <w:rPr>
          <w:rStyle w:val="q4iawc"/>
          <w:rFonts w:ascii="Arial" w:hAnsi="Arial" w:cs="Arial"/>
          <w:sz w:val="14"/>
          <w:szCs w:val="14"/>
          <w:lang w:val="en"/>
        </w:rPr>
        <w:t xml:space="preserve">products, </w:t>
      </w:r>
      <w:r w:rsidRPr="003B51B0">
        <w:rPr>
          <w:rStyle w:val="q4iawc"/>
          <w:rFonts w:ascii="Arial" w:hAnsi="Arial" w:cs="Arial"/>
          <w:sz w:val="14"/>
          <w:szCs w:val="14"/>
          <w:lang w:val="en"/>
        </w:rPr>
        <w:t>and sales incentive commercial campaigns.</w:t>
      </w:r>
    </w:p>
    <w:p w14:paraId="37894E52" w14:textId="0D431F72" w:rsidR="007D4AB0" w:rsidRDefault="004725AE" w:rsidP="00641018">
      <w:pPr>
        <w:pStyle w:val="Ttulo1"/>
        <w:keepNext w:val="0"/>
        <w:keepLines w:val="0"/>
        <w:widowControl w:val="0"/>
        <w:spacing w:line="259" w:lineRule="auto"/>
        <w:jc w:val="both"/>
        <w:rPr>
          <w:rFonts w:ascii="Arial" w:hAnsi="Arial" w:cs="Arial"/>
          <w:b/>
          <w:color w:val="1F3864" w:themeColor="accent1" w:themeShade="80"/>
          <w:sz w:val="20"/>
          <w:lang w:val="en-US"/>
        </w:rPr>
      </w:pPr>
      <w:bookmarkStart w:id="69" w:name="_Toc190680633"/>
      <w:r w:rsidRPr="00432934">
        <w:rPr>
          <w:rFonts w:ascii="Arial" w:hAnsi="Arial" w:cs="Arial"/>
          <w:b/>
          <w:color w:val="1F3864" w:themeColor="accent1" w:themeShade="80"/>
          <w:sz w:val="20"/>
          <w:lang w:val="en-US"/>
        </w:rPr>
        <w:t>12 – TAXES</w:t>
      </w:r>
      <w:bookmarkEnd w:id="67"/>
      <w:bookmarkEnd w:id="68"/>
      <w:bookmarkEnd w:id="69"/>
    </w:p>
    <w:p w14:paraId="5CE3B1B4" w14:textId="77777777" w:rsidR="00BF1B14" w:rsidRPr="00BF1B14" w:rsidRDefault="00BF1B14" w:rsidP="00BF1B14">
      <w:pPr>
        <w:rPr>
          <w:lang w:val="en-US"/>
        </w:rPr>
      </w:pPr>
    </w:p>
    <w:p w14:paraId="4AA4F829" w14:textId="77777777" w:rsidR="007249CE" w:rsidRPr="007249CE" w:rsidRDefault="007249CE" w:rsidP="007249CE">
      <w:pPr>
        <w:spacing w:after="40" w:line="276" w:lineRule="auto"/>
        <w:rPr>
          <w:rFonts w:ascii="Arial" w:eastAsia="MS Mincho" w:hAnsi="Arial" w:cs="Arial"/>
          <w:b/>
          <w:color w:val="1F4E79"/>
          <w:sz w:val="20"/>
          <w:szCs w:val="20"/>
          <w:lang w:val="en-US"/>
        </w:rPr>
      </w:pPr>
      <w:bookmarkStart w:id="70" w:name="_Toc28866213"/>
      <w:bookmarkStart w:id="71" w:name="OLE_LINK3"/>
      <w:r w:rsidRPr="007249CE">
        <w:rPr>
          <w:rFonts w:ascii="Arial" w:eastAsia="MS Mincho" w:hAnsi="Arial" w:cs="Arial"/>
          <w:b/>
          <w:color w:val="1F4E79"/>
          <w:sz w:val="20"/>
          <w:szCs w:val="20"/>
          <w:lang w:val="en-US"/>
        </w:rPr>
        <w:t xml:space="preserve">a) </w:t>
      </w:r>
      <w:bookmarkEnd w:id="70"/>
      <w:r w:rsidRPr="007249CE">
        <w:rPr>
          <w:rFonts w:ascii="Arial" w:eastAsia="MS Mincho" w:hAnsi="Arial" w:cs="Arial"/>
          <w:b/>
          <w:color w:val="1F4E79"/>
          <w:sz w:val="20"/>
          <w:szCs w:val="20"/>
          <w:lang w:val="en-US"/>
        </w:rPr>
        <w:t>Breakdown of income tax (IR) and social contribution expenses (CSLL)</w:t>
      </w:r>
    </w:p>
    <w:p w14:paraId="35D12173" w14:textId="77777777" w:rsidR="007249CE" w:rsidRPr="007249CE" w:rsidRDefault="007249CE" w:rsidP="007249CE">
      <w:pPr>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249CE" w:rsidRPr="007249CE" w14:paraId="2FFA56B2" w14:textId="77777777" w:rsidTr="007249CE">
        <w:trPr>
          <w:trHeight w:val="238"/>
        </w:trPr>
        <w:tc>
          <w:tcPr>
            <w:tcW w:w="3094" w:type="dxa"/>
            <w:tcBorders>
              <w:top w:val="single" w:sz="2" w:space="0" w:color="1F4E79"/>
              <w:bottom w:val="nil"/>
            </w:tcBorders>
            <w:shd w:val="clear" w:color="auto" w:fill="auto"/>
            <w:vAlign w:val="center"/>
          </w:tcPr>
          <w:p w14:paraId="32FD097A" w14:textId="77777777" w:rsidR="007249CE" w:rsidRPr="007249CE" w:rsidRDefault="007249CE" w:rsidP="007249CE">
            <w:pPr>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306158D9" w14:textId="77777777" w:rsidR="007249CE" w:rsidRPr="007249CE" w:rsidRDefault="007249CE" w:rsidP="007249CE">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219A5A45" w14:textId="77777777" w:rsidR="007249CE" w:rsidRPr="007249CE" w:rsidRDefault="007249CE" w:rsidP="007249CE">
            <w:pPr>
              <w:spacing w:after="0" w:line="276" w:lineRule="auto"/>
              <w:jc w:val="center"/>
              <w:rPr>
                <w:rFonts w:ascii="Arial" w:eastAsia="MS Mincho" w:hAnsi="Arial" w:cs="Arial"/>
                <w:b/>
                <w:sz w:val="14"/>
                <w:szCs w:val="18"/>
              </w:rPr>
            </w:pPr>
            <w:proofErr w:type="spellStart"/>
            <w:r w:rsidRPr="007249CE">
              <w:rPr>
                <w:rFonts w:ascii="Arial" w:eastAsia="MS Mincho"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3985CFF3" w14:textId="77777777" w:rsidR="007249CE" w:rsidRPr="007249CE" w:rsidRDefault="007249CE" w:rsidP="007249CE">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5D8770AC" w14:textId="77777777" w:rsidR="007249CE" w:rsidRPr="007249CE" w:rsidRDefault="007249CE" w:rsidP="007249CE">
            <w:pPr>
              <w:spacing w:after="0" w:line="276" w:lineRule="auto"/>
              <w:jc w:val="center"/>
              <w:rPr>
                <w:rFonts w:ascii="Arial" w:eastAsia="MS Mincho" w:hAnsi="Arial" w:cs="Arial"/>
                <w:b/>
                <w:sz w:val="18"/>
                <w:szCs w:val="18"/>
              </w:rPr>
            </w:pPr>
            <w:proofErr w:type="spellStart"/>
            <w:r w:rsidRPr="007249CE">
              <w:rPr>
                <w:rFonts w:ascii="Arial" w:eastAsia="MS Mincho" w:hAnsi="Arial" w:cs="Arial"/>
                <w:b/>
                <w:sz w:val="14"/>
                <w:szCs w:val="18"/>
              </w:rPr>
              <w:t>Consolidated</w:t>
            </w:r>
            <w:proofErr w:type="spellEnd"/>
          </w:p>
        </w:tc>
      </w:tr>
      <w:tr w:rsidR="007249CE" w:rsidRPr="007249CE" w14:paraId="659174CE" w14:textId="77777777" w:rsidTr="007249CE">
        <w:trPr>
          <w:trHeight w:val="238"/>
        </w:trPr>
        <w:tc>
          <w:tcPr>
            <w:tcW w:w="3094" w:type="dxa"/>
            <w:tcBorders>
              <w:top w:val="nil"/>
              <w:bottom w:val="single" w:sz="2" w:space="0" w:color="1F4E79"/>
            </w:tcBorders>
            <w:shd w:val="clear" w:color="auto" w:fill="auto"/>
            <w:vAlign w:val="center"/>
          </w:tcPr>
          <w:p w14:paraId="31DCA6D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78F90DB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0591467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2024</w:t>
            </w:r>
          </w:p>
        </w:tc>
        <w:tc>
          <w:tcPr>
            <w:tcW w:w="1412" w:type="dxa"/>
            <w:tcBorders>
              <w:top w:val="single" w:sz="2" w:space="0" w:color="1F4E79"/>
              <w:bottom w:val="single" w:sz="2" w:space="0" w:color="1F4E79"/>
            </w:tcBorders>
            <w:shd w:val="clear" w:color="auto" w:fill="auto"/>
          </w:tcPr>
          <w:p w14:paraId="3148C9E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2023</w:t>
            </w:r>
          </w:p>
        </w:tc>
        <w:tc>
          <w:tcPr>
            <w:tcW w:w="283" w:type="dxa"/>
            <w:tcBorders>
              <w:top w:val="nil"/>
              <w:bottom w:val="single" w:sz="2" w:space="0" w:color="1F4E79"/>
            </w:tcBorders>
            <w:shd w:val="clear" w:color="auto" w:fill="auto"/>
          </w:tcPr>
          <w:p w14:paraId="50765CC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67D1875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2024</w:t>
            </w:r>
          </w:p>
        </w:tc>
        <w:tc>
          <w:tcPr>
            <w:tcW w:w="1418" w:type="dxa"/>
            <w:tcBorders>
              <w:top w:val="single" w:sz="2" w:space="0" w:color="1F4E79"/>
              <w:bottom w:val="single" w:sz="2" w:space="0" w:color="1F4E79"/>
            </w:tcBorders>
            <w:shd w:val="clear" w:color="auto" w:fill="auto"/>
          </w:tcPr>
          <w:p w14:paraId="6C431BE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2023</w:t>
            </w:r>
          </w:p>
        </w:tc>
      </w:tr>
      <w:tr w:rsidR="007249CE" w:rsidRPr="007249CE" w14:paraId="74736BD6" w14:textId="77777777" w:rsidTr="007249CE">
        <w:trPr>
          <w:trHeight w:val="238"/>
        </w:trPr>
        <w:tc>
          <w:tcPr>
            <w:tcW w:w="3094" w:type="dxa"/>
            <w:tcBorders>
              <w:top w:val="single" w:sz="2" w:space="0" w:color="1F4E79"/>
              <w:bottom w:val="nil"/>
            </w:tcBorders>
            <w:shd w:val="clear" w:color="auto" w:fill="auto"/>
          </w:tcPr>
          <w:p w14:paraId="183AFC99"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roofErr w:type="spellStart"/>
            <w:r w:rsidRPr="007249CE">
              <w:rPr>
                <w:rFonts w:ascii="Arial" w:eastAsia="Times New Roman" w:hAnsi="Arial" w:cs="Arial"/>
                <w:b/>
                <w:spacing w:val="-2"/>
                <w:sz w:val="14"/>
                <w:szCs w:val="14"/>
                <w:lang w:eastAsia="pt-BR"/>
              </w:rPr>
              <w:t>Current</w:t>
            </w:r>
            <w:proofErr w:type="spellEnd"/>
            <w:r w:rsidRPr="007249CE">
              <w:rPr>
                <w:rFonts w:ascii="Arial" w:eastAsia="Times New Roman" w:hAnsi="Arial" w:cs="Arial"/>
                <w:b/>
                <w:spacing w:val="-2"/>
                <w:sz w:val="14"/>
                <w:szCs w:val="14"/>
                <w:lang w:eastAsia="pt-BR"/>
              </w:rPr>
              <w:t xml:space="preserve"> </w:t>
            </w:r>
            <w:proofErr w:type="spellStart"/>
            <w:r w:rsidRPr="007249CE">
              <w:rPr>
                <w:rFonts w:ascii="Arial" w:eastAsia="Times New Roman" w:hAnsi="Arial" w:cs="Arial"/>
                <w:b/>
                <w:spacing w:val="-2"/>
                <w:sz w:val="14"/>
                <w:szCs w:val="14"/>
                <w:lang w:eastAsia="pt-BR"/>
              </w:rPr>
              <w:t>values</w:t>
            </w:r>
            <w:proofErr w:type="spellEnd"/>
          </w:p>
        </w:tc>
        <w:tc>
          <w:tcPr>
            <w:tcW w:w="604" w:type="dxa"/>
            <w:tcBorders>
              <w:top w:val="single" w:sz="2" w:space="0" w:color="1F4E79"/>
              <w:bottom w:val="nil"/>
            </w:tcBorders>
            <w:shd w:val="clear" w:color="auto" w:fill="auto"/>
          </w:tcPr>
          <w:p w14:paraId="29F9336E"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bottom w:val="nil"/>
            </w:tcBorders>
            <w:shd w:val="clear" w:color="auto" w:fill="auto"/>
            <w:vAlign w:val="center"/>
          </w:tcPr>
          <w:p w14:paraId="5836BF2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(9,917)</w:t>
            </w:r>
          </w:p>
        </w:tc>
        <w:tc>
          <w:tcPr>
            <w:tcW w:w="1412" w:type="dxa"/>
            <w:tcBorders>
              <w:top w:val="single" w:sz="2" w:space="0" w:color="1F4E79"/>
              <w:bottom w:val="nil"/>
            </w:tcBorders>
            <w:shd w:val="clear" w:color="auto" w:fill="auto"/>
            <w:vAlign w:val="center"/>
          </w:tcPr>
          <w:p w14:paraId="474F295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(11,816)</w:t>
            </w:r>
          </w:p>
        </w:tc>
        <w:tc>
          <w:tcPr>
            <w:tcW w:w="283" w:type="dxa"/>
            <w:tcBorders>
              <w:top w:val="single" w:sz="2" w:space="0" w:color="1F4E79"/>
              <w:bottom w:val="nil"/>
            </w:tcBorders>
            <w:shd w:val="clear" w:color="auto" w:fill="auto"/>
            <w:vAlign w:val="center"/>
          </w:tcPr>
          <w:p w14:paraId="42F2762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shd w:val="clear" w:color="auto" w:fill="auto"/>
            <w:vAlign w:val="center"/>
          </w:tcPr>
          <w:p w14:paraId="6AAAA34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(1,723,343)</w:t>
            </w:r>
          </w:p>
        </w:tc>
        <w:tc>
          <w:tcPr>
            <w:tcW w:w="1418" w:type="dxa"/>
            <w:tcBorders>
              <w:top w:val="single" w:sz="2" w:space="0" w:color="1F4E79"/>
              <w:bottom w:val="nil"/>
            </w:tcBorders>
            <w:shd w:val="clear" w:color="auto" w:fill="auto"/>
            <w:vAlign w:val="center"/>
          </w:tcPr>
          <w:p w14:paraId="2F47E6F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(1,551,580)</w:t>
            </w:r>
          </w:p>
        </w:tc>
      </w:tr>
      <w:tr w:rsidR="007249CE" w:rsidRPr="007249CE" w14:paraId="2658AF69" w14:textId="77777777" w:rsidTr="007249CE">
        <w:trPr>
          <w:trHeight w:val="238"/>
        </w:trPr>
        <w:tc>
          <w:tcPr>
            <w:tcW w:w="3094" w:type="dxa"/>
            <w:tcBorders>
              <w:top w:val="nil"/>
            </w:tcBorders>
            <w:shd w:val="clear" w:color="auto" w:fill="auto"/>
          </w:tcPr>
          <w:p w14:paraId="0AFCEB1B" w14:textId="77777777" w:rsidR="007249CE" w:rsidRPr="007249CE" w:rsidRDefault="007249CE" w:rsidP="007249CE">
            <w:pPr>
              <w:keepNext/>
              <w:keepLines/>
              <w:spacing w:before="40" w:after="40" w:line="240" w:lineRule="auto"/>
              <w:ind w:left="113"/>
              <w:rPr>
                <w:rFonts w:ascii="Arial" w:eastAsia="Times New Roman" w:hAnsi="Arial" w:cs="Arial"/>
                <w:b/>
                <w:spacing w:val="-2"/>
                <w:sz w:val="14"/>
                <w:szCs w:val="14"/>
                <w:lang w:val="en-US" w:eastAsia="pt-BR"/>
              </w:rPr>
            </w:pPr>
            <w:r w:rsidRPr="007249CE">
              <w:rPr>
                <w:rFonts w:ascii="Arial" w:eastAsia="Times New Roman" w:hAnsi="Arial" w:cs="Arial"/>
                <w:spacing w:val="-2"/>
                <w:sz w:val="14"/>
                <w:szCs w:val="14"/>
                <w:lang w:val="en-US" w:eastAsia="pt-BR"/>
              </w:rPr>
              <w:t>Domestic income tax and social contribution</w:t>
            </w:r>
          </w:p>
        </w:tc>
        <w:tc>
          <w:tcPr>
            <w:tcW w:w="604" w:type="dxa"/>
            <w:tcBorders>
              <w:top w:val="nil"/>
            </w:tcBorders>
            <w:shd w:val="clear" w:color="auto" w:fill="auto"/>
          </w:tcPr>
          <w:p w14:paraId="23D40FC0"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411" w:type="dxa"/>
            <w:tcBorders>
              <w:top w:val="nil"/>
            </w:tcBorders>
            <w:shd w:val="clear" w:color="auto" w:fill="auto"/>
            <w:vAlign w:val="center"/>
          </w:tcPr>
          <w:p w14:paraId="196D014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(9,917)</w:t>
            </w:r>
          </w:p>
        </w:tc>
        <w:tc>
          <w:tcPr>
            <w:tcW w:w="1412" w:type="dxa"/>
            <w:tcBorders>
              <w:top w:val="nil"/>
            </w:tcBorders>
            <w:shd w:val="clear" w:color="auto" w:fill="auto"/>
            <w:vAlign w:val="center"/>
          </w:tcPr>
          <w:p w14:paraId="05D6FA68"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(11,816)</w:t>
            </w:r>
          </w:p>
        </w:tc>
        <w:tc>
          <w:tcPr>
            <w:tcW w:w="283" w:type="dxa"/>
            <w:tcBorders>
              <w:top w:val="nil"/>
            </w:tcBorders>
            <w:shd w:val="clear" w:color="auto" w:fill="auto"/>
            <w:vAlign w:val="center"/>
          </w:tcPr>
          <w:p w14:paraId="235113B1"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shd w:val="clear" w:color="auto" w:fill="auto"/>
            <w:vAlign w:val="center"/>
          </w:tcPr>
          <w:p w14:paraId="786D31B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(1,723,343)</w:t>
            </w:r>
          </w:p>
        </w:tc>
        <w:tc>
          <w:tcPr>
            <w:tcW w:w="1418" w:type="dxa"/>
            <w:tcBorders>
              <w:top w:val="nil"/>
            </w:tcBorders>
            <w:shd w:val="clear" w:color="auto" w:fill="auto"/>
            <w:vAlign w:val="center"/>
          </w:tcPr>
          <w:p w14:paraId="1018E6B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(1,551,580)</w:t>
            </w:r>
          </w:p>
        </w:tc>
      </w:tr>
      <w:tr w:rsidR="007249CE" w:rsidRPr="007249CE" w14:paraId="2A0214B8" w14:textId="77777777" w:rsidTr="007249CE">
        <w:trPr>
          <w:trHeight w:val="238"/>
        </w:trPr>
        <w:tc>
          <w:tcPr>
            <w:tcW w:w="3094" w:type="dxa"/>
            <w:shd w:val="clear" w:color="auto" w:fill="auto"/>
          </w:tcPr>
          <w:p w14:paraId="334E2550"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proofErr w:type="spellStart"/>
            <w:r w:rsidRPr="007249CE">
              <w:rPr>
                <w:rFonts w:ascii="Arial" w:eastAsia="Times New Roman" w:hAnsi="Arial" w:cs="Arial"/>
                <w:b/>
                <w:spacing w:val="-2"/>
                <w:sz w:val="14"/>
                <w:szCs w:val="14"/>
                <w:lang w:eastAsia="pt-BR"/>
              </w:rPr>
              <w:t>Deferred</w:t>
            </w:r>
            <w:proofErr w:type="spellEnd"/>
            <w:r w:rsidRPr="007249CE">
              <w:rPr>
                <w:rFonts w:ascii="Arial" w:eastAsia="Times New Roman" w:hAnsi="Arial" w:cs="Arial"/>
                <w:b/>
                <w:spacing w:val="-2"/>
                <w:sz w:val="14"/>
                <w:szCs w:val="14"/>
                <w:lang w:eastAsia="pt-BR"/>
              </w:rPr>
              <w:t xml:space="preserve"> </w:t>
            </w:r>
            <w:proofErr w:type="spellStart"/>
            <w:r w:rsidRPr="007249CE">
              <w:rPr>
                <w:rFonts w:ascii="Arial" w:eastAsia="Times New Roman" w:hAnsi="Arial" w:cs="Arial"/>
                <w:b/>
                <w:spacing w:val="-2"/>
                <w:sz w:val="14"/>
                <w:szCs w:val="14"/>
                <w:lang w:eastAsia="pt-BR"/>
              </w:rPr>
              <w:t>values</w:t>
            </w:r>
            <w:proofErr w:type="spellEnd"/>
          </w:p>
        </w:tc>
        <w:tc>
          <w:tcPr>
            <w:tcW w:w="604" w:type="dxa"/>
            <w:shd w:val="clear" w:color="auto" w:fill="auto"/>
          </w:tcPr>
          <w:p w14:paraId="57FA438E"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bottom w:val="nil"/>
            </w:tcBorders>
            <w:shd w:val="clear" w:color="auto" w:fill="auto"/>
            <w:vAlign w:val="center"/>
          </w:tcPr>
          <w:p w14:paraId="36FE821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404</w:t>
            </w:r>
          </w:p>
        </w:tc>
        <w:tc>
          <w:tcPr>
            <w:tcW w:w="1412" w:type="dxa"/>
            <w:tcBorders>
              <w:bottom w:val="nil"/>
            </w:tcBorders>
            <w:shd w:val="clear" w:color="auto" w:fill="auto"/>
            <w:vAlign w:val="center"/>
          </w:tcPr>
          <w:p w14:paraId="5CD18E9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195</w:t>
            </w:r>
          </w:p>
        </w:tc>
        <w:tc>
          <w:tcPr>
            <w:tcW w:w="283" w:type="dxa"/>
            <w:tcBorders>
              <w:bottom w:val="nil"/>
            </w:tcBorders>
            <w:shd w:val="clear" w:color="auto" w:fill="auto"/>
            <w:vAlign w:val="center"/>
          </w:tcPr>
          <w:p w14:paraId="6E57EF5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bottom w:val="nil"/>
            </w:tcBorders>
            <w:shd w:val="clear" w:color="auto" w:fill="auto"/>
            <w:vAlign w:val="center"/>
          </w:tcPr>
          <w:p w14:paraId="3E8627E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15,707</w:t>
            </w:r>
          </w:p>
        </w:tc>
        <w:tc>
          <w:tcPr>
            <w:tcW w:w="1418" w:type="dxa"/>
            <w:tcBorders>
              <w:bottom w:val="nil"/>
            </w:tcBorders>
            <w:shd w:val="clear" w:color="auto" w:fill="auto"/>
            <w:vAlign w:val="center"/>
          </w:tcPr>
          <w:p w14:paraId="3BB5015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5,471</w:t>
            </w:r>
          </w:p>
        </w:tc>
      </w:tr>
      <w:tr w:rsidR="007249CE" w:rsidRPr="007249CE" w14:paraId="38E1855E" w14:textId="77777777" w:rsidTr="007249CE">
        <w:trPr>
          <w:trHeight w:val="238"/>
        </w:trPr>
        <w:tc>
          <w:tcPr>
            <w:tcW w:w="3094" w:type="dxa"/>
            <w:shd w:val="clear" w:color="auto" w:fill="auto"/>
          </w:tcPr>
          <w:p w14:paraId="2CE198B5"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4C5A7A">
              <w:rPr>
                <w:rFonts w:ascii="Arial" w:eastAsia="Times New Roman" w:hAnsi="Arial" w:cs="Arial"/>
                <w:b/>
                <w:spacing w:val="-2"/>
                <w:sz w:val="14"/>
                <w:szCs w:val="18"/>
                <w:lang w:val="en-US" w:eastAsia="pt-BR"/>
              </w:rPr>
              <w:t>Deferred tax assets</w:t>
            </w:r>
          </w:p>
        </w:tc>
        <w:tc>
          <w:tcPr>
            <w:tcW w:w="604" w:type="dxa"/>
            <w:shd w:val="clear" w:color="auto" w:fill="auto"/>
          </w:tcPr>
          <w:p w14:paraId="65AC24A1"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vAlign w:val="center"/>
          </w:tcPr>
          <w:p w14:paraId="18061C4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404</w:t>
            </w:r>
          </w:p>
        </w:tc>
        <w:tc>
          <w:tcPr>
            <w:tcW w:w="1412" w:type="dxa"/>
            <w:shd w:val="clear" w:color="auto" w:fill="auto"/>
            <w:vAlign w:val="center"/>
          </w:tcPr>
          <w:p w14:paraId="3D772622"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195</w:t>
            </w:r>
          </w:p>
        </w:tc>
        <w:tc>
          <w:tcPr>
            <w:tcW w:w="283" w:type="dxa"/>
            <w:shd w:val="clear" w:color="auto" w:fill="auto"/>
            <w:vAlign w:val="center"/>
          </w:tcPr>
          <w:p w14:paraId="1EFEC07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vAlign w:val="center"/>
          </w:tcPr>
          <w:p w14:paraId="2E2B68F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15,707</w:t>
            </w:r>
          </w:p>
        </w:tc>
        <w:tc>
          <w:tcPr>
            <w:tcW w:w="1418" w:type="dxa"/>
            <w:shd w:val="clear" w:color="auto" w:fill="auto"/>
            <w:vAlign w:val="center"/>
          </w:tcPr>
          <w:p w14:paraId="526647E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5,471</w:t>
            </w:r>
          </w:p>
        </w:tc>
      </w:tr>
      <w:tr w:rsidR="007249CE" w:rsidRPr="007249CE" w14:paraId="314F60EE" w14:textId="77777777" w:rsidTr="007249CE">
        <w:trPr>
          <w:trHeight w:val="238"/>
        </w:trPr>
        <w:tc>
          <w:tcPr>
            <w:tcW w:w="3094" w:type="dxa"/>
            <w:tcBorders>
              <w:bottom w:val="nil"/>
            </w:tcBorders>
            <w:shd w:val="clear" w:color="auto" w:fill="auto"/>
          </w:tcPr>
          <w:p w14:paraId="3EC64B2E" w14:textId="77777777" w:rsidR="007249CE" w:rsidRPr="007249CE" w:rsidRDefault="007249CE" w:rsidP="007249CE">
            <w:pPr>
              <w:keepNext/>
              <w:keepLines/>
              <w:spacing w:before="40" w:after="40" w:line="240" w:lineRule="auto"/>
              <w:ind w:left="113"/>
              <w:rPr>
                <w:rFonts w:ascii="Arial" w:eastAsia="Times New Roman" w:hAnsi="Arial" w:cs="Arial"/>
                <w:b/>
                <w:spacing w:val="-2"/>
                <w:sz w:val="14"/>
                <w:szCs w:val="14"/>
                <w:lang w:eastAsia="pt-BR"/>
              </w:rPr>
            </w:pPr>
            <w:proofErr w:type="spellStart"/>
            <w:r w:rsidRPr="004C5A7A">
              <w:rPr>
                <w:rFonts w:ascii="Arial" w:eastAsia="Times New Roman" w:hAnsi="Arial" w:cs="Arial"/>
                <w:spacing w:val="-2"/>
                <w:sz w:val="14"/>
                <w:szCs w:val="14"/>
                <w:lang w:eastAsia="pt-BR"/>
              </w:rPr>
              <w:t>Temporary</w:t>
            </w:r>
            <w:proofErr w:type="spellEnd"/>
            <w:r w:rsidRPr="004C5A7A">
              <w:rPr>
                <w:rFonts w:ascii="Arial" w:eastAsia="Times New Roman" w:hAnsi="Arial" w:cs="Arial"/>
                <w:spacing w:val="-2"/>
                <w:sz w:val="14"/>
                <w:szCs w:val="14"/>
                <w:lang w:eastAsia="pt-BR"/>
              </w:rPr>
              <w:t xml:space="preserve"> </w:t>
            </w:r>
            <w:proofErr w:type="spellStart"/>
            <w:r w:rsidRPr="004C5A7A">
              <w:rPr>
                <w:rFonts w:ascii="Arial" w:eastAsia="Times New Roman" w:hAnsi="Arial" w:cs="Arial"/>
                <w:spacing w:val="-2"/>
                <w:sz w:val="14"/>
                <w:szCs w:val="14"/>
                <w:lang w:eastAsia="pt-BR"/>
              </w:rPr>
              <w:t>differences</w:t>
            </w:r>
            <w:proofErr w:type="spellEnd"/>
          </w:p>
        </w:tc>
        <w:tc>
          <w:tcPr>
            <w:tcW w:w="604" w:type="dxa"/>
            <w:tcBorders>
              <w:bottom w:val="nil"/>
            </w:tcBorders>
            <w:shd w:val="clear" w:color="auto" w:fill="auto"/>
          </w:tcPr>
          <w:p w14:paraId="583EE9FE"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00A39DA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404</w:t>
            </w:r>
          </w:p>
        </w:tc>
        <w:tc>
          <w:tcPr>
            <w:tcW w:w="1412" w:type="dxa"/>
            <w:tcBorders>
              <w:bottom w:val="nil"/>
            </w:tcBorders>
            <w:shd w:val="clear" w:color="auto" w:fill="auto"/>
            <w:vAlign w:val="center"/>
          </w:tcPr>
          <w:p w14:paraId="1FE3C41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195</w:t>
            </w:r>
          </w:p>
        </w:tc>
        <w:tc>
          <w:tcPr>
            <w:tcW w:w="283" w:type="dxa"/>
            <w:tcBorders>
              <w:bottom w:val="nil"/>
            </w:tcBorders>
            <w:shd w:val="clear" w:color="auto" w:fill="auto"/>
            <w:vAlign w:val="center"/>
          </w:tcPr>
          <w:p w14:paraId="7FE7926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71E98201"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15,707</w:t>
            </w:r>
          </w:p>
        </w:tc>
        <w:tc>
          <w:tcPr>
            <w:tcW w:w="1418" w:type="dxa"/>
            <w:tcBorders>
              <w:bottom w:val="nil"/>
            </w:tcBorders>
            <w:shd w:val="clear" w:color="auto" w:fill="auto"/>
            <w:vAlign w:val="center"/>
          </w:tcPr>
          <w:p w14:paraId="262D4226"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5,471</w:t>
            </w:r>
          </w:p>
        </w:tc>
      </w:tr>
      <w:tr w:rsidR="007249CE" w:rsidRPr="007249CE" w14:paraId="3F6D785C" w14:textId="77777777" w:rsidTr="007249CE">
        <w:trPr>
          <w:trHeight w:val="238"/>
        </w:trPr>
        <w:tc>
          <w:tcPr>
            <w:tcW w:w="3094" w:type="dxa"/>
            <w:tcBorders>
              <w:top w:val="nil"/>
              <w:bottom w:val="single" w:sz="2" w:space="0" w:color="1F4E79"/>
            </w:tcBorders>
            <w:shd w:val="clear" w:color="auto" w:fill="auto"/>
          </w:tcPr>
          <w:p w14:paraId="4D465BFC"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7249CE">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shd w:val="clear" w:color="auto" w:fill="auto"/>
          </w:tcPr>
          <w:p w14:paraId="1F439E01"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00113C7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(9,513)</w:t>
            </w:r>
          </w:p>
        </w:tc>
        <w:tc>
          <w:tcPr>
            <w:tcW w:w="1412" w:type="dxa"/>
            <w:tcBorders>
              <w:top w:val="nil"/>
              <w:bottom w:val="single" w:sz="2" w:space="0" w:color="1F4E79"/>
            </w:tcBorders>
            <w:shd w:val="clear" w:color="auto" w:fill="auto"/>
            <w:vAlign w:val="center"/>
          </w:tcPr>
          <w:p w14:paraId="3049929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(11,621)</w:t>
            </w:r>
          </w:p>
        </w:tc>
        <w:tc>
          <w:tcPr>
            <w:tcW w:w="283" w:type="dxa"/>
            <w:tcBorders>
              <w:top w:val="nil"/>
              <w:bottom w:val="single" w:sz="2" w:space="0" w:color="1F4E79"/>
            </w:tcBorders>
            <w:shd w:val="clear" w:color="auto" w:fill="auto"/>
            <w:vAlign w:val="center"/>
          </w:tcPr>
          <w:p w14:paraId="1189CA9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6E2E674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(1,707,636)</w:t>
            </w:r>
          </w:p>
        </w:tc>
        <w:tc>
          <w:tcPr>
            <w:tcW w:w="1418" w:type="dxa"/>
            <w:tcBorders>
              <w:top w:val="nil"/>
              <w:bottom w:val="single" w:sz="2" w:space="0" w:color="1F4E79"/>
            </w:tcBorders>
            <w:shd w:val="clear" w:color="auto" w:fill="auto"/>
            <w:vAlign w:val="center"/>
          </w:tcPr>
          <w:p w14:paraId="053E3B1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(1,546,109)</w:t>
            </w:r>
          </w:p>
        </w:tc>
      </w:tr>
    </w:tbl>
    <w:p w14:paraId="65AF3231" w14:textId="77777777" w:rsidR="007249CE" w:rsidRPr="007249CE" w:rsidRDefault="007249CE" w:rsidP="007249CE">
      <w:pPr>
        <w:spacing w:after="0" w:line="276" w:lineRule="auto"/>
        <w:jc w:val="right"/>
        <w:rPr>
          <w:rFonts w:ascii="Arial" w:eastAsia="MS Mincho" w:hAnsi="Arial" w:cs="Arial"/>
          <w:b/>
          <w:sz w:val="14"/>
          <w:szCs w:val="22"/>
          <w:lang w:eastAsia="pt-BR"/>
        </w:rPr>
      </w:pPr>
    </w:p>
    <w:p w14:paraId="0D257AAA" w14:textId="77777777" w:rsidR="007249CE" w:rsidRPr="007249CE" w:rsidRDefault="007249CE" w:rsidP="007249CE">
      <w:pPr>
        <w:spacing w:after="0" w:line="276" w:lineRule="auto"/>
        <w:jc w:val="right"/>
        <w:rPr>
          <w:rFonts w:ascii="Arial" w:eastAsia="MS Mincho" w:hAnsi="Arial" w:cs="Arial"/>
          <w:b/>
          <w:sz w:val="14"/>
          <w:szCs w:val="22"/>
          <w:lang w:eastAsia="pt-BR"/>
        </w:rPr>
      </w:pPr>
    </w:p>
    <w:p w14:paraId="71DF7EB5" w14:textId="77777777" w:rsidR="007249CE" w:rsidRPr="007249CE" w:rsidRDefault="007249CE" w:rsidP="007249CE">
      <w:pPr>
        <w:spacing w:after="0" w:line="276" w:lineRule="auto"/>
        <w:jc w:val="right"/>
        <w:rPr>
          <w:rFonts w:ascii="Arial" w:eastAsia="MS Mincho" w:hAnsi="Arial" w:cs="Arial"/>
          <w:b/>
          <w:sz w:val="14"/>
          <w:szCs w:val="22"/>
          <w:lang w:eastAsia="pt-BR"/>
        </w:rPr>
      </w:pPr>
    </w:p>
    <w:p w14:paraId="260CD360" w14:textId="77777777" w:rsidR="007249CE" w:rsidRPr="007249CE" w:rsidRDefault="007249CE" w:rsidP="007249CE">
      <w:pPr>
        <w:spacing w:after="40" w:line="276" w:lineRule="auto"/>
        <w:rPr>
          <w:rFonts w:ascii="Arial" w:eastAsia="MS Mincho" w:hAnsi="Arial" w:cs="Arial"/>
          <w:b/>
          <w:color w:val="1F4E79"/>
          <w:sz w:val="20"/>
          <w:szCs w:val="20"/>
          <w:lang w:val="en-US"/>
        </w:rPr>
      </w:pPr>
      <w:r w:rsidRPr="007249CE">
        <w:rPr>
          <w:rFonts w:ascii="Arial" w:eastAsia="MS Mincho" w:hAnsi="Arial" w:cs="Arial"/>
          <w:b/>
          <w:color w:val="1F4E79"/>
          <w:sz w:val="20"/>
          <w:szCs w:val="20"/>
          <w:lang w:val="en-US"/>
        </w:rPr>
        <w:t xml:space="preserve">b) </w:t>
      </w:r>
      <w:r w:rsidRPr="007249CE">
        <w:rPr>
          <w:rFonts w:ascii="Arial" w:eastAsia="MS Mincho" w:hAnsi="Arial" w:cs="Arial"/>
          <w:b/>
          <w:color w:val="1F4E79"/>
          <w:sz w:val="18"/>
          <w:szCs w:val="18"/>
          <w:lang w:val="en-US"/>
        </w:rPr>
        <w:t>Reconciliation of Income Tax and Social Contribution Expenses</w:t>
      </w:r>
    </w:p>
    <w:p w14:paraId="5515D9D3" w14:textId="77777777" w:rsidR="007249CE" w:rsidRPr="007249CE" w:rsidRDefault="007249CE" w:rsidP="007249CE">
      <w:pPr>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402"/>
        <w:gridCol w:w="284"/>
        <w:gridCol w:w="1276"/>
        <w:gridCol w:w="1559"/>
        <w:gridCol w:w="283"/>
        <w:gridCol w:w="1276"/>
        <w:gridCol w:w="1559"/>
      </w:tblGrid>
      <w:tr w:rsidR="007249CE" w:rsidRPr="007249CE" w14:paraId="6F5AE0E0" w14:textId="77777777" w:rsidTr="007249CE">
        <w:trPr>
          <w:trHeight w:val="238"/>
        </w:trPr>
        <w:tc>
          <w:tcPr>
            <w:tcW w:w="3402" w:type="dxa"/>
            <w:tcBorders>
              <w:top w:val="single" w:sz="2" w:space="0" w:color="1F4E79"/>
              <w:bottom w:val="nil"/>
            </w:tcBorders>
            <w:shd w:val="clear" w:color="auto" w:fill="auto"/>
            <w:vAlign w:val="center"/>
          </w:tcPr>
          <w:p w14:paraId="42524639" w14:textId="77777777" w:rsidR="007249CE" w:rsidRPr="007249CE" w:rsidRDefault="007249CE" w:rsidP="007249CE">
            <w:pPr>
              <w:spacing w:after="0" w:line="276" w:lineRule="auto"/>
              <w:jc w:val="center"/>
              <w:rPr>
                <w:rFonts w:ascii="Arial" w:eastAsia="MS Mincho" w:hAnsi="Arial" w:cs="Arial"/>
                <w:b/>
                <w:sz w:val="18"/>
                <w:szCs w:val="18"/>
              </w:rPr>
            </w:pPr>
          </w:p>
        </w:tc>
        <w:tc>
          <w:tcPr>
            <w:tcW w:w="284" w:type="dxa"/>
            <w:tcBorders>
              <w:top w:val="single" w:sz="2" w:space="0" w:color="1F4E79"/>
              <w:bottom w:val="nil"/>
            </w:tcBorders>
            <w:shd w:val="clear" w:color="auto" w:fill="auto"/>
            <w:vAlign w:val="center"/>
          </w:tcPr>
          <w:p w14:paraId="695CD8FD" w14:textId="77777777" w:rsidR="007249CE" w:rsidRPr="007249CE" w:rsidRDefault="007249CE" w:rsidP="007249CE">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29FD4B69" w14:textId="77777777" w:rsidR="007249CE" w:rsidRPr="007249CE" w:rsidRDefault="007249CE" w:rsidP="007249CE">
            <w:pPr>
              <w:spacing w:after="0" w:line="276" w:lineRule="auto"/>
              <w:jc w:val="center"/>
              <w:rPr>
                <w:rFonts w:ascii="Arial" w:eastAsia="MS Mincho" w:hAnsi="Arial" w:cs="Arial"/>
                <w:b/>
                <w:sz w:val="14"/>
                <w:szCs w:val="18"/>
              </w:rPr>
            </w:pPr>
            <w:proofErr w:type="spellStart"/>
            <w:r w:rsidRPr="007249CE">
              <w:rPr>
                <w:rFonts w:ascii="Arial" w:eastAsia="MS Mincho"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7542CB64" w14:textId="77777777" w:rsidR="007249CE" w:rsidRPr="007249CE" w:rsidRDefault="007249CE" w:rsidP="007249CE">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1E81A9C6" w14:textId="77777777" w:rsidR="007249CE" w:rsidRPr="007249CE" w:rsidRDefault="007249CE" w:rsidP="007249CE">
            <w:pPr>
              <w:spacing w:after="0" w:line="276" w:lineRule="auto"/>
              <w:jc w:val="center"/>
              <w:rPr>
                <w:rFonts w:ascii="Arial" w:eastAsia="MS Mincho" w:hAnsi="Arial" w:cs="Arial"/>
                <w:b/>
                <w:sz w:val="18"/>
                <w:szCs w:val="18"/>
              </w:rPr>
            </w:pPr>
            <w:proofErr w:type="spellStart"/>
            <w:r w:rsidRPr="007249CE">
              <w:rPr>
                <w:rFonts w:ascii="Arial" w:eastAsia="MS Mincho" w:hAnsi="Arial" w:cs="Arial"/>
                <w:b/>
                <w:sz w:val="14"/>
                <w:szCs w:val="18"/>
              </w:rPr>
              <w:t>Consolidated</w:t>
            </w:r>
            <w:proofErr w:type="spellEnd"/>
          </w:p>
        </w:tc>
      </w:tr>
      <w:tr w:rsidR="007249CE" w:rsidRPr="007249CE" w14:paraId="0C0EBC65" w14:textId="77777777" w:rsidTr="007249CE">
        <w:trPr>
          <w:trHeight w:val="238"/>
        </w:trPr>
        <w:tc>
          <w:tcPr>
            <w:tcW w:w="3402" w:type="dxa"/>
            <w:tcBorders>
              <w:top w:val="nil"/>
              <w:bottom w:val="nil"/>
            </w:tcBorders>
            <w:shd w:val="clear" w:color="auto" w:fill="auto"/>
            <w:vAlign w:val="center"/>
          </w:tcPr>
          <w:p w14:paraId="0C71EA50"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284" w:type="dxa"/>
            <w:tcBorders>
              <w:top w:val="nil"/>
              <w:bottom w:val="nil"/>
            </w:tcBorders>
            <w:shd w:val="clear" w:color="auto" w:fill="auto"/>
            <w:vAlign w:val="center"/>
          </w:tcPr>
          <w:p w14:paraId="0936B92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276" w:type="dxa"/>
            <w:tcBorders>
              <w:top w:val="single" w:sz="2" w:space="0" w:color="1F4E79"/>
              <w:bottom w:val="nil"/>
            </w:tcBorders>
            <w:shd w:val="clear" w:color="auto" w:fill="auto"/>
          </w:tcPr>
          <w:p w14:paraId="13691E6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2024</w:t>
            </w:r>
          </w:p>
        </w:tc>
        <w:tc>
          <w:tcPr>
            <w:tcW w:w="1559" w:type="dxa"/>
            <w:tcBorders>
              <w:top w:val="single" w:sz="2" w:space="0" w:color="1F4E79"/>
              <w:bottom w:val="nil"/>
            </w:tcBorders>
            <w:shd w:val="clear" w:color="auto" w:fill="auto"/>
          </w:tcPr>
          <w:p w14:paraId="42C1039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2023</w:t>
            </w:r>
          </w:p>
        </w:tc>
        <w:tc>
          <w:tcPr>
            <w:tcW w:w="283" w:type="dxa"/>
            <w:tcBorders>
              <w:top w:val="nil"/>
              <w:bottom w:val="nil"/>
            </w:tcBorders>
            <w:shd w:val="clear" w:color="auto" w:fill="auto"/>
          </w:tcPr>
          <w:p w14:paraId="01B41A2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276" w:type="dxa"/>
            <w:tcBorders>
              <w:top w:val="single" w:sz="2" w:space="0" w:color="1F4E79"/>
              <w:bottom w:val="nil"/>
            </w:tcBorders>
            <w:shd w:val="clear" w:color="auto" w:fill="auto"/>
          </w:tcPr>
          <w:p w14:paraId="755B9FD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2024</w:t>
            </w:r>
          </w:p>
        </w:tc>
        <w:tc>
          <w:tcPr>
            <w:tcW w:w="1559" w:type="dxa"/>
            <w:tcBorders>
              <w:top w:val="single" w:sz="2" w:space="0" w:color="1F4E79"/>
              <w:bottom w:val="nil"/>
            </w:tcBorders>
            <w:shd w:val="clear" w:color="auto" w:fill="auto"/>
          </w:tcPr>
          <w:p w14:paraId="570F968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2023</w:t>
            </w:r>
          </w:p>
        </w:tc>
      </w:tr>
      <w:tr w:rsidR="007249CE" w:rsidRPr="007249CE" w14:paraId="76BF20B3" w14:textId="77777777" w:rsidTr="007249CE">
        <w:trPr>
          <w:trHeight w:val="238"/>
        </w:trPr>
        <w:tc>
          <w:tcPr>
            <w:tcW w:w="3402" w:type="dxa"/>
            <w:tcBorders>
              <w:top w:val="single" w:sz="2" w:space="0" w:color="1F4E79"/>
            </w:tcBorders>
            <w:shd w:val="clear" w:color="auto" w:fill="auto"/>
            <w:vAlign w:val="center"/>
          </w:tcPr>
          <w:p w14:paraId="2C5E3221"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val="en-US" w:eastAsia="pt-BR"/>
              </w:rPr>
            </w:pPr>
            <w:r w:rsidRPr="007249CE">
              <w:rPr>
                <w:rFonts w:ascii="Arial" w:eastAsia="Times New Roman" w:hAnsi="Arial" w:cs="Arial"/>
                <w:b/>
                <w:spacing w:val="-2"/>
                <w:sz w:val="14"/>
                <w:szCs w:val="18"/>
                <w:lang w:val="en-US" w:eastAsia="pt-BR"/>
              </w:rPr>
              <w:t>Profit before income tax and social contribution</w:t>
            </w:r>
            <w:r w:rsidRPr="007249CE">
              <w:rPr>
                <w:rFonts w:ascii="Arial" w:eastAsia="Times New Roman" w:hAnsi="Arial" w:cs="Arial"/>
                <w:spacing w:val="-2"/>
                <w:sz w:val="16"/>
                <w:szCs w:val="16"/>
                <w:lang w:val="en-US" w:eastAsia="pt-BR"/>
              </w:rPr>
              <w:t> </w:t>
            </w:r>
            <w:r w:rsidRPr="007249CE">
              <w:rPr>
                <w:rFonts w:ascii="Arial" w:eastAsia="Times New Roman" w:hAnsi="Arial" w:cs="Arial"/>
                <w:b/>
                <w:spacing w:val="-2"/>
                <w:sz w:val="14"/>
                <w:szCs w:val="14"/>
                <w:lang w:val="en-US" w:eastAsia="pt-BR"/>
              </w:rPr>
              <w:t xml:space="preserve"> </w:t>
            </w:r>
          </w:p>
        </w:tc>
        <w:tc>
          <w:tcPr>
            <w:tcW w:w="284" w:type="dxa"/>
            <w:tcBorders>
              <w:top w:val="single" w:sz="2" w:space="0" w:color="1F4E79"/>
            </w:tcBorders>
            <w:shd w:val="clear" w:color="auto" w:fill="auto"/>
          </w:tcPr>
          <w:p w14:paraId="34B5E1BF"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val="en-US" w:eastAsia="pt-BR"/>
              </w:rPr>
            </w:pPr>
          </w:p>
        </w:tc>
        <w:tc>
          <w:tcPr>
            <w:tcW w:w="1276" w:type="dxa"/>
            <w:tcBorders>
              <w:top w:val="single" w:sz="2" w:space="0" w:color="1F4E79"/>
            </w:tcBorders>
            <w:shd w:val="clear" w:color="auto" w:fill="auto"/>
            <w:vAlign w:val="center"/>
          </w:tcPr>
          <w:p w14:paraId="40A23A5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8,712,866</w:t>
            </w:r>
          </w:p>
        </w:tc>
        <w:tc>
          <w:tcPr>
            <w:tcW w:w="1559" w:type="dxa"/>
            <w:tcBorders>
              <w:top w:val="single" w:sz="2" w:space="0" w:color="1F4E79"/>
            </w:tcBorders>
            <w:shd w:val="clear" w:color="auto" w:fill="auto"/>
            <w:vAlign w:val="center"/>
          </w:tcPr>
          <w:p w14:paraId="2AA539A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7,958,824</w:t>
            </w:r>
          </w:p>
        </w:tc>
        <w:tc>
          <w:tcPr>
            <w:tcW w:w="283" w:type="dxa"/>
            <w:tcBorders>
              <w:top w:val="single" w:sz="2" w:space="0" w:color="1F4E79"/>
            </w:tcBorders>
            <w:shd w:val="clear" w:color="auto" w:fill="auto"/>
            <w:vAlign w:val="center"/>
          </w:tcPr>
          <w:p w14:paraId="1FA0B26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276" w:type="dxa"/>
            <w:tcBorders>
              <w:top w:val="single" w:sz="2" w:space="0" w:color="1F4E79"/>
            </w:tcBorders>
            <w:shd w:val="clear" w:color="auto" w:fill="auto"/>
            <w:vAlign w:val="center"/>
          </w:tcPr>
          <w:p w14:paraId="72E8D5E2"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10,410,987</w:t>
            </w:r>
          </w:p>
        </w:tc>
        <w:tc>
          <w:tcPr>
            <w:tcW w:w="1559" w:type="dxa"/>
            <w:tcBorders>
              <w:top w:val="single" w:sz="2" w:space="0" w:color="1F4E79"/>
            </w:tcBorders>
            <w:shd w:val="clear" w:color="auto" w:fill="auto"/>
            <w:vAlign w:val="center"/>
          </w:tcPr>
          <w:p w14:paraId="69622F5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val="en-US" w:eastAsia="pt-BR"/>
              </w:rPr>
            </w:pPr>
            <w:r w:rsidRPr="007249CE">
              <w:rPr>
                <w:rFonts w:ascii="Arial" w:eastAsia="Times New Roman" w:hAnsi="Arial" w:cs="Arial"/>
                <w:b/>
                <w:spacing w:val="-2"/>
                <w:sz w:val="14"/>
                <w:szCs w:val="14"/>
                <w:lang w:eastAsia="pt-BR"/>
              </w:rPr>
              <w:t>9,493,312</w:t>
            </w:r>
          </w:p>
        </w:tc>
      </w:tr>
      <w:tr w:rsidR="007249CE" w:rsidRPr="007249CE" w14:paraId="5A89B867" w14:textId="77777777" w:rsidTr="007249CE">
        <w:trPr>
          <w:trHeight w:val="238"/>
        </w:trPr>
        <w:tc>
          <w:tcPr>
            <w:tcW w:w="3402" w:type="dxa"/>
            <w:shd w:val="clear" w:color="auto" w:fill="auto"/>
            <w:vAlign w:val="center"/>
          </w:tcPr>
          <w:p w14:paraId="1D567C26"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val="en-US" w:eastAsia="pt-BR"/>
              </w:rPr>
              <w:t xml:space="preserve">a) </w:t>
            </w:r>
            <w:r w:rsidRPr="004C5A7A">
              <w:rPr>
                <w:rFonts w:ascii="Arial" w:eastAsia="Times New Roman" w:hAnsi="Arial" w:cs="Arial"/>
                <w:spacing w:val="-2"/>
                <w:sz w:val="14"/>
                <w:szCs w:val="14"/>
                <w:lang w:val="en-US" w:eastAsia="pt-BR"/>
              </w:rPr>
              <w:t xml:space="preserve">Total income tax (25%) and CSLL (9%) </w:t>
            </w:r>
            <w:proofErr w:type="spellStart"/>
            <w:r w:rsidRPr="004C5A7A">
              <w:rPr>
                <w:rFonts w:ascii="Arial" w:eastAsia="Times New Roman" w:hAnsi="Arial" w:cs="Arial"/>
                <w:spacing w:val="-2"/>
                <w:sz w:val="14"/>
                <w:szCs w:val="14"/>
                <w:lang w:val="en-US" w:eastAsia="pt-BR"/>
              </w:rPr>
              <w:t>chages</w:t>
            </w:r>
            <w:proofErr w:type="spellEnd"/>
            <w:r w:rsidRPr="007249CE">
              <w:rPr>
                <w:rFonts w:ascii="Arial" w:eastAsia="Times New Roman" w:hAnsi="Arial" w:cs="Arial"/>
                <w:spacing w:val="-2"/>
                <w:sz w:val="16"/>
                <w:szCs w:val="16"/>
                <w:lang w:val="en-US" w:eastAsia="pt-BR"/>
              </w:rPr>
              <w:t> </w:t>
            </w:r>
          </w:p>
        </w:tc>
        <w:tc>
          <w:tcPr>
            <w:tcW w:w="284" w:type="dxa"/>
            <w:shd w:val="clear" w:color="auto" w:fill="auto"/>
          </w:tcPr>
          <w:p w14:paraId="19E580DE"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276" w:type="dxa"/>
            <w:shd w:val="clear" w:color="auto" w:fill="auto"/>
            <w:vAlign w:val="center"/>
          </w:tcPr>
          <w:p w14:paraId="148D8DE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(2,962,374)</w:t>
            </w:r>
          </w:p>
        </w:tc>
        <w:tc>
          <w:tcPr>
            <w:tcW w:w="1559" w:type="dxa"/>
            <w:shd w:val="clear" w:color="auto" w:fill="auto"/>
            <w:vAlign w:val="center"/>
          </w:tcPr>
          <w:p w14:paraId="158AAFA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(2,706,000)</w:t>
            </w:r>
          </w:p>
        </w:tc>
        <w:tc>
          <w:tcPr>
            <w:tcW w:w="283" w:type="dxa"/>
            <w:shd w:val="clear" w:color="auto" w:fill="auto"/>
            <w:vAlign w:val="center"/>
          </w:tcPr>
          <w:p w14:paraId="0481DC30"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p>
        </w:tc>
        <w:tc>
          <w:tcPr>
            <w:tcW w:w="1276" w:type="dxa"/>
            <w:shd w:val="clear" w:color="auto" w:fill="auto"/>
            <w:vAlign w:val="center"/>
          </w:tcPr>
          <w:p w14:paraId="04E8BF3C"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(3,539,736)</w:t>
            </w:r>
          </w:p>
        </w:tc>
        <w:tc>
          <w:tcPr>
            <w:tcW w:w="1559" w:type="dxa"/>
            <w:shd w:val="clear" w:color="auto" w:fill="auto"/>
            <w:vAlign w:val="center"/>
          </w:tcPr>
          <w:p w14:paraId="6FFD1133"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val="en-US" w:eastAsia="pt-BR"/>
              </w:rPr>
            </w:pPr>
            <w:r w:rsidRPr="007249CE">
              <w:rPr>
                <w:rFonts w:ascii="Arial" w:eastAsia="Times New Roman" w:hAnsi="Arial" w:cs="Arial"/>
                <w:spacing w:val="-2"/>
                <w:sz w:val="14"/>
                <w:szCs w:val="14"/>
                <w:lang w:eastAsia="pt-BR"/>
              </w:rPr>
              <w:t>(3,227,726)</w:t>
            </w:r>
          </w:p>
        </w:tc>
      </w:tr>
      <w:tr w:rsidR="007249CE" w:rsidRPr="001A7DD8" w14:paraId="5DB158B1" w14:textId="77777777" w:rsidTr="007249CE">
        <w:trPr>
          <w:trHeight w:val="238"/>
        </w:trPr>
        <w:tc>
          <w:tcPr>
            <w:tcW w:w="3402" w:type="dxa"/>
            <w:shd w:val="clear" w:color="auto" w:fill="auto"/>
            <w:vAlign w:val="center"/>
          </w:tcPr>
          <w:p w14:paraId="70743064"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val="en-US" w:eastAsia="pt-BR"/>
              </w:rPr>
              <w:t>Effect on the tax calculation:</w:t>
            </w:r>
          </w:p>
        </w:tc>
        <w:tc>
          <w:tcPr>
            <w:tcW w:w="284" w:type="dxa"/>
            <w:shd w:val="clear" w:color="auto" w:fill="auto"/>
          </w:tcPr>
          <w:p w14:paraId="34715887"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val="en-US" w:eastAsia="pt-BR"/>
              </w:rPr>
            </w:pPr>
          </w:p>
        </w:tc>
        <w:tc>
          <w:tcPr>
            <w:tcW w:w="1276" w:type="dxa"/>
            <w:shd w:val="clear" w:color="auto" w:fill="auto"/>
            <w:vAlign w:val="center"/>
          </w:tcPr>
          <w:p w14:paraId="7B5DF19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559" w:type="dxa"/>
            <w:shd w:val="clear" w:color="auto" w:fill="auto"/>
            <w:vAlign w:val="center"/>
          </w:tcPr>
          <w:p w14:paraId="5E0ABAD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283" w:type="dxa"/>
            <w:shd w:val="clear" w:color="auto" w:fill="auto"/>
            <w:vAlign w:val="center"/>
          </w:tcPr>
          <w:p w14:paraId="5CAEF44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276" w:type="dxa"/>
            <w:shd w:val="clear" w:color="auto" w:fill="auto"/>
            <w:vAlign w:val="center"/>
          </w:tcPr>
          <w:p w14:paraId="3EDDC1F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559" w:type="dxa"/>
            <w:shd w:val="clear" w:color="auto" w:fill="auto"/>
            <w:vAlign w:val="center"/>
          </w:tcPr>
          <w:p w14:paraId="5C665AA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val="en-US" w:eastAsia="pt-BR"/>
              </w:rPr>
            </w:pPr>
          </w:p>
        </w:tc>
      </w:tr>
      <w:tr w:rsidR="007249CE" w:rsidRPr="007249CE" w14:paraId="52263C9F" w14:textId="77777777" w:rsidTr="007249CE">
        <w:trPr>
          <w:trHeight w:val="238"/>
        </w:trPr>
        <w:tc>
          <w:tcPr>
            <w:tcW w:w="3402" w:type="dxa"/>
            <w:shd w:val="clear" w:color="auto" w:fill="auto"/>
            <w:vAlign w:val="center"/>
          </w:tcPr>
          <w:p w14:paraId="77A460D4"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val="en-US" w:eastAsia="pt-BR"/>
              </w:rPr>
              <w:t>b) Nontaxable income - share of profit (loss) of subsidiaries associates and joint ventures (34%)</w:t>
            </w:r>
          </w:p>
        </w:tc>
        <w:tc>
          <w:tcPr>
            <w:tcW w:w="284" w:type="dxa"/>
            <w:shd w:val="clear" w:color="auto" w:fill="auto"/>
          </w:tcPr>
          <w:p w14:paraId="78239FBF"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276" w:type="dxa"/>
            <w:shd w:val="clear" w:color="auto" w:fill="auto"/>
            <w:vAlign w:val="center"/>
          </w:tcPr>
          <w:p w14:paraId="09B4509C"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2,952,498</w:t>
            </w:r>
          </w:p>
        </w:tc>
        <w:tc>
          <w:tcPr>
            <w:tcW w:w="1559" w:type="dxa"/>
            <w:shd w:val="clear" w:color="auto" w:fill="auto"/>
            <w:vAlign w:val="center"/>
          </w:tcPr>
          <w:p w14:paraId="65852BA3"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2,694,807</w:t>
            </w:r>
          </w:p>
        </w:tc>
        <w:tc>
          <w:tcPr>
            <w:tcW w:w="283" w:type="dxa"/>
            <w:shd w:val="clear" w:color="auto" w:fill="auto"/>
            <w:vAlign w:val="center"/>
          </w:tcPr>
          <w:p w14:paraId="40E80A8B"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p>
        </w:tc>
        <w:tc>
          <w:tcPr>
            <w:tcW w:w="1276" w:type="dxa"/>
            <w:shd w:val="clear" w:color="auto" w:fill="auto"/>
            <w:vAlign w:val="center"/>
          </w:tcPr>
          <w:p w14:paraId="20E959C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1,806,068</w:t>
            </w:r>
          </w:p>
        </w:tc>
        <w:tc>
          <w:tcPr>
            <w:tcW w:w="1559" w:type="dxa"/>
            <w:shd w:val="clear" w:color="auto" w:fill="auto"/>
            <w:vAlign w:val="center"/>
          </w:tcPr>
          <w:p w14:paraId="3325F49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val="en-US" w:eastAsia="pt-BR"/>
              </w:rPr>
            </w:pPr>
            <w:r w:rsidRPr="007249CE">
              <w:rPr>
                <w:rFonts w:ascii="Arial" w:eastAsia="Times New Roman" w:hAnsi="Arial" w:cs="Arial"/>
                <w:spacing w:val="-2"/>
                <w:sz w:val="14"/>
                <w:szCs w:val="14"/>
                <w:lang w:eastAsia="pt-BR"/>
              </w:rPr>
              <w:t>1,662,756</w:t>
            </w:r>
          </w:p>
        </w:tc>
      </w:tr>
      <w:tr w:rsidR="007249CE" w:rsidRPr="007249CE" w14:paraId="4BEF8EC1" w14:textId="77777777" w:rsidTr="007249CE">
        <w:trPr>
          <w:trHeight w:val="238"/>
        </w:trPr>
        <w:tc>
          <w:tcPr>
            <w:tcW w:w="3402" w:type="dxa"/>
            <w:shd w:val="clear" w:color="auto" w:fill="auto"/>
            <w:vAlign w:val="center"/>
          </w:tcPr>
          <w:p w14:paraId="1FF076D5"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val="en-US" w:eastAsia="pt-BR"/>
              </w:rPr>
              <w:t>c) Tax-induced incentive</w:t>
            </w:r>
          </w:p>
        </w:tc>
        <w:tc>
          <w:tcPr>
            <w:tcW w:w="284" w:type="dxa"/>
            <w:shd w:val="clear" w:color="auto" w:fill="auto"/>
          </w:tcPr>
          <w:p w14:paraId="670B7F66"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276" w:type="dxa"/>
            <w:shd w:val="clear" w:color="auto" w:fill="auto"/>
            <w:vAlign w:val="center"/>
          </w:tcPr>
          <w:p w14:paraId="3F236AD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w:t>
            </w:r>
          </w:p>
        </w:tc>
        <w:tc>
          <w:tcPr>
            <w:tcW w:w="1559" w:type="dxa"/>
            <w:shd w:val="clear" w:color="auto" w:fill="auto"/>
            <w:vAlign w:val="center"/>
          </w:tcPr>
          <w:p w14:paraId="4CC6541B"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w:t>
            </w:r>
          </w:p>
        </w:tc>
        <w:tc>
          <w:tcPr>
            <w:tcW w:w="283" w:type="dxa"/>
            <w:shd w:val="clear" w:color="auto" w:fill="auto"/>
            <w:vAlign w:val="center"/>
          </w:tcPr>
          <w:p w14:paraId="6F956AC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p>
        </w:tc>
        <w:tc>
          <w:tcPr>
            <w:tcW w:w="1276" w:type="dxa"/>
            <w:shd w:val="clear" w:color="auto" w:fill="auto"/>
            <w:vAlign w:val="center"/>
          </w:tcPr>
          <w:p w14:paraId="522DF50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39,600</w:t>
            </w:r>
          </w:p>
        </w:tc>
        <w:tc>
          <w:tcPr>
            <w:tcW w:w="1559" w:type="dxa"/>
            <w:shd w:val="clear" w:color="auto" w:fill="auto"/>
            <w:vAlign w:val="center"/>
          </w:tcPr>
          <w:p w14:paraId="481E42A5"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29,571</w:t>
            </w:r>
          </w:p>
        </w:tc>
      </w:tr>
      <w:tr w:rsidR="007249CE" w:rsidRPr="007249CE" w14:paraId="0E935A95" w14:textId="77777777" w:rsidTr="007249CE">
        <w:trPr>
          <w:trHeight w:val="238"/>
        </w:trPr>
        <w:tc>
          <w:tcPr>
            <w:tcW w:w="3402" w:type="dxa"/>
            <w:shd w:val="clear" w:color="auto" w:fill="auto"/>
            <w:vAlign w:val="center"/>
          </w:tcPr>
          <w:p w14:paraId="404461A6"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val="en-US" w:eastAsia="pt-BR"/>
              </w:rPr>
              <w:t>d) Sponsorship/donation (34%)</w:t>
            </w:r>
          </w:p>
        </w:tc>
        <w:tc>
          <w:tcPr>
            <w:tcW w:w="284" w:type="dxa"/>
            <w:shd w:val="clear" w:color="auto" w:fill="auto"/>
          </w:tcPr>
          <w:p w14:paraId="1A62E77C"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val="en-US" w:eastAsia="pt-BR"/>
              </w:rPr>
            </w:pPr>
          </w:p>
        </w:tc>
        <w:tc>
          <w:tcPr>
            <w:tcW w:w="1276" w:type="dxa"/>
            <w:shd w:val="clear" w:color="auto" w:fill="auto"/>
            <w:vAlign w:val="center"/>
          </w:tcPr>
          <w:p w14:paraId="5F575324"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w:t>
            </w:r>
          </w:p>
        </w:tc>
        <w:tc>
          <w:tcPr>
            <w:tcW w:w="1559" w:type="dxa"/>
            <w:shd w:val="clear" w:color="auto" w:fill="auto"/>
            <w:vAlign w:val="center"/>
          </w:tcPr>
          <w:p w14:paraId="341D76C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w:t>
            </w:r>
          </w:p>
        </w:tc>
        <w:tc>
          <w:tcPr>
            <w:tcW w:w="283" w:type="dxa"/>
            <w:shd w:val="clear" w:color="auto" w:fill="auto"/>
            <w:vAlign w:val="center"/>
          </w:tcPr>
          <w:p w14:paraId="69627CF1"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p>
        </w:tc>
        <w:tc>
          <w:tcPr>
            <w:tcW w:w="1276" w:type="dxa"/>
            <w:shd w:val="clear" w:color="auto" w:fill="auto"/>
            <w:vAlign w:val="center"/>
          </w:tcPr>
          <w:p w14:paraId="026022C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(13,464)</w:t>
            </w:r>
          </w:p>
        </w:tc>
        <w:tc>
          <w:tcPr>
            <w:tcW w:w="1559" w:type="dxa"/>
            <w:shd w:val="clear" w:color="auto" w:fill="auto"/>
            <w:vAlign w:val="center"/>
          </w:tcPr>
          <w:p w14:paraId="3D234ED0"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(10,054)</w:t>
            </w:r>
          </w:p>
        </w:tc>
      </w:tr>
      <w:tr w:rsidR="007249CE" w:rsidRPr="007249CE" w14:paraId="63E4A453" w14:textId="77777777" w:rsidTr="007249CE">
        <w:trPr>
          <w:trHeight w:val="238"/>
        </w:trPr>
        <w:tc>
          <w:tcPr>
            <w:tcW w:w="3402" w:type="dxa"/>
            <w:tcBorders>
              <w:bottom w:val="nil"/>
            </w:tcBorders>
            <w:shd w:val="clear" w:color="auto" w:fill="auto"/>
            <w:vAlign w:val="center"/>
          </w:tcPr>
          <w:p w14:paraId="4606C884"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val="en-US" w:eastAsia="pt-BR"/>
              </w:rPr>
              <w:t>e) Non-deductible expenses, net of nontaxable income (34%)</w:t>
            </w:r>
          </w:p>
        </w:tc>
        <w:tc>
          <w:tcPr>
            <w:tcW w:w="284" w:type="dxa"/>
            <w:tcBorders>
              <w:bottom w:val="nil"/>
            </w:tcBorders>
            <w:shd w:val="clear" w:color="auto" w:fill="auto"/>
          </w:tcPr>
          <w:p w14:paraId="0D47473F"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val="en-US" w:eastAsia="pt-BR"/>
              </w:rPr>
            </w:pPr>
          </w:p>
        </w:tc>
        <w:tc>
          <w:tcPr>
            <w:tcW w:w="1276" w:type="dxa"/>
            <w:tcBorders>
              <w:bottom w:val="nil"/>
            </w:tcBorders>
            <w:shd w:val="clear" w:color="auto" w:fill="auto"/>
            <w:vAlign w:val="center"/>
          </w:tcPr>
          <w:p w14:paraId="028506D2"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(41)</w:t>
            </w:r>
          </w:p>
        </w:tc>
        <w:tc>
          <w:tcPr>
            <w:tcW w:w="1559" w:type="dxa"/>
            <w:tcBorders>
              <w:bottom w:val="nil"/>
            </w:tcBorders>
            <w:shd w:val="clear" w:color="auto" w:fill="auto"/>
            <w:vAlign w:val="center"/>
          </w:tcPr>
          <w:p w14:paraId="44634BFA"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(623)</w:t>
            </w:r>
          </w:p>
        </w:tc>
        <w:tc>
          <w:tcPr>
            <w:tcW w:w="283" w:type="dxa"/>
            <w:tcBorders>
              <w:bottom w:val="nil"/>
            </w:tcBorders>
            <w:shd w:val="clear" w:color="auto" w:fill="auto"/>
            <w:vAlign w:val="center"/>
          </w:tcPr>
          <w:p w14:paraId="30669DAD"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val="en-US" w:eastAsia="pt-BR"/>
              </w:rPr>
            </w:pPr>
          </w:p>
        </w:tc>
        <w:tc>
          <w:tcPr>
            <w:tcW w:w="1276" w:type="dxa"/>
            <w:tcBorders>
              <w:bottom w:val="nil"/>
            </w:tcBorders>
            <w:shd w:val="clear" w:color="auto" w:fill="auto"/>
            <w:vAlign w:val="center"/>
          </w:tcPr>
          <w:p w14:paraId="6BBBB6E2"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eastAsia="pt-BR"/>
              </w:rPr>
              <w:t>(15,811)</w:t>
            </w:r>
          </w:p>
        </w:tc>
        <w:tc>
          <w:tcPr>
            <w:tcW w:w="1559" w:type="dxa"/>
            <w:tcBorders>
              <w:bottom w:val="nil"/>
            </w:tcBorders>
            <w:shd w:val="clear" w:color="auto" w:fill="auto"/>
            <w:vAlign w:val="center"/>
          </w:tcPr>
          <w:p w14:paraId="1B63EF6B"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val="en-US" w:eastAsia="pt-BR"/>
              </w:rPr>
            </w:pPr>
            <w:r w:rsidRPr="007249CE">
              <w:rPr>
                <w:rFonts w:ascii="Arial" w:eastAsia="Times New Roman" w:hAnsi="Arial" w:cs="Arial"/>
                <w:spacing w:val="-2"/>
                <w:sz w:val="14"/>
                <w:szCs w:val="18"/>
                <w:lang w:eastAsia="pt-BR"/>
              </w:rPr>
              <w:t>(6,127)</w:t>
            </w:r>
          </w:p>
        </w:tc>
      </w:tr>
      <w:tr w:rsidR="007249CE" w:rsidRPr="007249CE" w14:paraId="5C485ACA" w14:textId="77777777" w:rsidTr="007249CE">
        <w:trPr>
          <w:trHeight w:val="238"/>
        </w:trPr>
        <w:tc>
          <w:tcPr>
            <w:tcW w:w="3402" w:type="dxa"/>
            <w:tcBorders>
              <w:top w:val="nil"/>
              <w:bottom w:val="single" w:sz="2" w:space="0" w:color="1F4E79"/>
            </w:tcBorders>
            <w:shd w:val="clear" w:color="auto" w:fill="auto"/>
            <w:vAlign w:val="center"/>
          </w:tcPr>
          <w:p w14:paraId="5580F6CB"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8"/>
                <w:lang w:val="en-US" w:eastAsia="pt-BR"/>
              </w:rPr>
              <w:t>Income tax and social contribution</w:t>
            </w:r>
            <w:r w:rsidRPr="007249CE">
              <w:rPr>
                <w:rFonts w:ascii="Arial" w:eastAsia="Times New Roman" w:hAnsi="Arial" w:cs="Arial"/>
                <w:spacing w:val="-2"/>
                <w:sz w:val="14"/>
                <w:szCs w:val="18"/>
                <w:lang w:val="en-US" w:eastAsia="pt-BR"/>
              </w:rPr>
              <w:t xml:space="preserve"> </w:t>
            </w:r>
            <w:r w:rsidRPr="007249CE">
              <w:rPr>
                <w:rFonts w:ascii="Arial" w:eastAsia="Times New Roman" w:hAnsi="Arial" w:cs="Arial"/>
                <w:b/>
                <w:spacing w:val="-2"/>
                <w:sz w:val="14"/>
                <w:szCs w:val="18"/>
                <w:lang w:val="en-US" w:eastAsia="pt-BR"/>
              </w:rPr>
              <w:t>(</w:t>
            </w:r>
            <w:proofErr w:type="spellStart"/>
            <w:r w:rsidRPr="007249CE">
              <w:rPr>
                <w:rFonts w:ascii="Arial" w:eastAsia="Times New Roman" w:hAnsi="Arial" w:cs="Arial"/>
                <w:b/>
                <w:spacing w:val="-2"/>
                <w:sz w:val="14"/>
                <w:szCs w:val="18"/>
                <w:lang w:val="en-US" w:eastAsia="pt-BR"/>
              </w:rPr>
              <w:t>a+b+c+d+e</w:t>
            </w:r>
            <w:proofErr w:type="spellEnd"/>
            <w:r w:rsidRPr="007249CE">
              <w:rPr>
                <w:rFonts w:ascii="Arial" w:eastAsia="Times New Roman" w:hAnsi="Arial" w:cs="Arial"/>
                <w:b/>
                <w:spacing w:val="-2"/>
                <w:sz w:val="14"/>
                <w:szCs w:val="18"/>
                <w:lang w:val="en-US" w:eastAsia="pt-BR"/>
              </w:rPr>
              <w:t>)</w:t>
            </w:r>
          </w:p>
        </w:tc>
        <w:tc>
          <w:tcPr>
            <w:tcW w:w="284" w:type="dxa"/>
            <w:tcBorders>
              <w:top w:val="nil"/>
              <w:bottom w:val="single" w:sz="2" w:space="0" w:color="1F4E79"/>
            </w:tcBorders>
            <w:shd w:val="clear" w:color="auto" w:fill="auto"/>
          </w:tcPr>
          <w:p w14:paraId="4F88A02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276" w:type="dxa"/>
            <w:tcBorders>
              <w:top w:val="nil"/>
              <w:bottom w:val="single" w:sz="2" w:space="0" w:color="1F4E79"/>
            </w:tcBorders>
            <w:shd w:val="clear" w:color="auto" w:fill="auto"/>
            <w:vAlign w:val="center"/>
          </w:tcPr>
          <w:p w14:paraId="4774491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(9,917)</w:t>
            </w:r>
          </w:p>
        </w:tc>
        <w:tc>
          <w:tcPr>
            <w:tcW w:w="1559" w:type="dxa"/>
            <w:tcBorders>
              <w:top w:val="nil"/>
              <w:bottom w:val="single" w:sz="2" w:space="0" w:color="1F4E79"/>
            </w:tcBorders>
            <w:shd w:val="clear" w:color="auto" w:fill="auto"/>
            <w:vAlign w:val="center"/>
          </w:tcPr>
          <w:p w14:paraId="5325B4A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(11,816)</w:t>
            </w:r>
          </w:p>
        </w:tc>
        <w:tc>
          <w:tcPr>
            <w:tcW w:w="283" w:type="dxa"/>
            <w:tcBorders>
              <w:top w:val="nil"/>
              <w:bottom w:val="single" w:sz="2" w:space="0" w:color="1F4E79"/>
            </w:tcBorders>
            <w:shd w:val="clear" w:color="auto" w:fill="auto"/>
            <w:vAlign w:val="center"/>
          </w:tcPr>
          <w:p w14:paraId="6891343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276" w:type="dxa"/>
            <w:tcBorders>
              <w:top w:val="nil"/>
              <w:bottom w:val="single" w:sz="2" w:space="0" w:color="1F4E79"/>
            </w:tcBorders>
            <w:shd w:val="clear" w:color="auto" w:fill="auto"/>
            <w:vAlign w:val="center"/>
          </w:tcPr>
          <w:p w14:paraId="258C8330"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(1,723,343)</w:t>
            </w:r>
          </w:p>
        </w:tc>
        <w:tc>
          <w:tcPr>
            <w:tcW w:w="1559" w:type="dxa"/>
            <w:tcBorders>
              <w:top w:val="nil"/>
              <w:bottom w:val="single" w:sz="2" w:space="0" w:color="1F4E79"/>
            </w:tcBorders>
            <w:shd w:val="clear" w:color="auto" w:fill="auto"/>
            <w:vAlign w:val="center"/>
          </w:tcPr>
          <w:p w14:paraId="1A91892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val="en-US" w:eastAsia="pt-BR"/>
              </w:rPr>
            </w:pPr>
            <w:r w:rsidRPr="007249CE">
              <w:rPr>
                <w:rFonts w:ascii="Arial" w:eastAsia="Times New Roman" w:hAnsi="Arial" w:cs="Arial"/>
                <w:b/>
                <w:spacing w:val="-2"/>
                <w:sz w:val="14"/>
                <w:szCs w:val="14"/>
                <w:lang w:eastAsia="pt-BR"/>
              </w:rPr>
              <w:t>(1,551,580)</w:t>
            </w:r>
          </w:p>
        </w:tc>
      </w:tr>
      <w:tr w:rsidR="007249CE" w:rsidRPr="007249CE" w14:paraId="0CCDF9DE" w14:textId="77777777" w:rsidTr="007249CE">
        <w:trPr>
          <w:trHeight w:val="238"/>
        </w:trPr>
        <w:tc>
          <w:tcPr>
            <w:tcW w:w="3402" w:type="dxa"/>
            <w:tcBorders>
              <w:top w:val="single" w:sz="2" w:space="0" w:color="1F4E79"/>
              <w:bottom w:val="single" w:sz="2" w:space="0" w:color="1F4E79"/>
            </w:tcBorders>
            <w:shd w:val="clear" w:color="auto" w:fill="auto"/>
            <w:vAlign w:val="center"/>
          </w:tcPr>
          <w:p w14:paraId="5ECFD03F"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 xml:space="preserve">Intertemporal </w:t>
            </w:r>
            <w:proofErr w:type="spellStart"/>
            <w:r w:rsidRPr="007249CE">
              <w:rPr>
                <w:rFonts w:ascii="Arial" w:eastAsia="Times New Roman" w:hAnsi="Arial" w:cs="Arial"/>
                <w:b/>
                <w:spacing w:val="-2"/>
                <w:sz w:val="14"/>
                <w:szCs w:val="14"/>
                <w:lang w:eastAsia="pt-BR"/>
              </w:rPr>
              <w:t>Differences</w:t>
            </w:r>
            <w:proofErr w:type="spellEnd"/>
          </w:p>
        </w:tc>
        <w:tc>
          <w:tcPr>
            <w:tcW w:w="284" w:type="dxa"/>
            <w:tcBorders>
              <w:top w:val="single" w:sz="2" w:space="0" w:color="1F4E79"/>
              <w:bottom w:val="single" w:sz="2" w:space="0" w:color="1F4E79"/>
            </w:tcBorders>
            <w:shd w:val="clear" w:color="auto" w:fill="auto"/>
          </w:tcPr>
          <w:p w14:paraId="6574EB0F"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bottom w:val="single" w:sz="2" w:space="0" w:color="1F4E79"/>
            </w:tcBorders>
            <w:shd w:val="clear" w:color="auto" w:fill="auto"/>
            <w:vAlign w:val="center"/>
          </w:tcPr>
          <w:p w14:paraId="516A870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559" w:type="dxa"/>
            <w:tcBorders>
              <w:top w:val="single" w:sz="2" w:space="0" w:color="1F4E79"/>
              <w:bottom w:val="single" w:sz="2" w:space="0" w:color="1F4E79"/>
            </w:tcBorders>
            <w:shd w:val="clear" w:color="auto" w:fill="auto"/>
            <w:vAlign w:val="center"/>
          </w:tcPr>
          <w:p w14:paraId="7ECBC71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283" w:type="dxa"/>
            <w:tcBorders>
              <w:top w:val="single" w:sz="2" w:space="0" w:color="1F4E79"/>
              <w:bottom w:val="single" w:sz="2" w:space="0" w:color="1F4E79"/>
            </w:tcBorders>
            <w:shd w:val="clear" w:color="auto" w:fill="auto"/>
            <w:vAlign w:val="center"/>
          </w:tcPr>
          <w:p w14:paraId="6AA11D6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single" w:sz="2" w:space="0" w:color="1F4E79"/>
              <w:bottom w:val="single" w:sz="2" w:space="0" w:color="1F4E79"/>
            </w:tcBorders>
            <w:shd w:val="clear" w:color="auto" w:fill="auto"/>
            <w:vAlign w:val="center"/>
          </w:tcPr>
          <w:p w14:paraId="41F31D2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559" w:type="dxa"/>
            <w:tcBorders>
              <w:top w:val="single" w:sz="2" w:space="0" w:color="1F4E79"/>
              <w:bottom w:val="single" w:sz="2" w:space="0" w:color="1F4E79"/>
            </w:tcBorders>
            <w:shd w:val="clear" w:color="auto" w:fill="auto"/>
            <w:vAlign w:val="center"/>
          </w:tcPr>
          <w:p w14:paraId="26B1C48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r>
      <w:tr w:rsidR="007249CE" w:rsidRPr="007249CE" w14:paraId="2E568908" w14:textId="77777777" w:rsidTr="007249CE">
        <w:trPr>
          <w:trHeight w:val="238"/>
        </w:trPr>
        <w:tc>
          <w:tcPr>
            <w:tcW w:w="3402" w:type="dxa"/>
            <w:tcBorders>
              <w:top w:val="single" w:sz="2" w:space="0" w:color="1F4E79"/>
              <w:bottom w:val="nil"/>
            </w:tcBorders>
            <w:shd w:val="clear" w:color="auto" w:fill="auto"/>
            <w:vAlign w:val="center"/>
          </w:tcPr>
          <w:p w14:paraId="54F7664E"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val="en-US" w:eastAsia="pt-BR"/>
              </w:rPr>
              <w:t>Constitution/(Reversal) of the Period:</w:t>
            </w:r>
          </w:p>
        </w:tc>
        <w:tc>
          <w:tcPr>
            <w:tcW w:w="284" w:type="dxa"/>
            <w:tcBorders>
              <w:top w:val="single" w:sz="2" w:space="0" w:color="1F4E79"/>
              <w:bottom w:val="nil"/>
            </w:tcBorders>
            <w:shd w:val="clear" w:color="auto" w:fill="auto"/>
          </w:tcPr>
          <w:p w14:paraId="321CA211"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val="en-US" w:eastAsia="pt-BR"/>
              </w:rPr>
            </w:pPr>
          </w:p>
        </w:tc>
        <w:tc>
          <w:tcPr>
            <w:tcW w:w="1276" w:type="dxa"/>
            <w:tcBorders>
              <w:top w:val="single" w:sz="2" w:space="0" w:color="1F4E79"/>
              <w:bottom w:val="nil"/>
            </w:tcBorders>
            <w:shd w:val="clear" w:color="auto" w:fill="auto"/>
            <w:vAlign w:val="center"/>
          </w:tcPr>
          <w:p w14:paraId="0F8236F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r w:rsidRPr="007249CE">
              <w:rPr>
                <w:rFonts w:ascii="Arial" w:eastAsia="Times New Roman" w:hAnsi="Arial" w:cs="Arial"/>
                <w:b/>
                <w:spacing w:val="-2"/>
                <w:sz w:val="14"/>
                <w:szCs w:val="14"/>
                <w:lang w:eastAsia="pt-BR"/>
              </w:rPr>
              <w:t>404</w:t>
            </w:r>
          </w:p>
        </w:tc>
        <w:tc>
          <w:tcPr>
            <w:tcW w:w="1559" w:type="dxa"/>
            <w:tcBorders>
              <w:top w:val="single" w:sz="2" w:space="0" w:color="1F4E79"/>
              <w:bottom w:val="nil"/>
            </w:tcBorders>
            <w:shd w:val="clear" w:color="auto" w:fill="auto"/>
            <w:vAlign w:val="center"/>
          </w:tcPr>
          <w:p w14:paraId="1182DAC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195</w:t>
            </w:r>
          </w:p>
        </w:tc>
        <w:tc>
          <w:tcPr>
            <w:tcW w:w="283" w:type="dxa"/>
            <w:tcBorders>
              <w:top w:val="single" w:sz="2" w:space="0" w:color="1F4E79"/>
              <w:bottom w:val="nil"/>
            </w:tcBorders>
            <w:shd w:val="clear" w:color="auto" w:fill="auto"/>
            <w:vAlign w:val="center"/>
          </w:tcPr>
          <w:p w14:paraId="640FB73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single" w:sz="2" w:space="0" w:color="1F4E79"/>
              <w:bottom w:val="nil"/>
            </w:tcBorders>
            <w:shd w:val="clear" w:color="auto" w:fill="auto"/>
            <w:vAlign w:val="center"/>
          </w:tcPr>
          <w:p w14:paraId="49F5B32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15,707</w:t>
            </w:r>
          </w:p>
        </w:tc>
        <w:tc>
          <w:tcPr>
            <w:tcW w:w="1559" w:type="dxa"/>
            <w:tcBorders>
              <w:top w:val="single" w:sz="2" w:space="0" w:color="1F4E79"/>
              <w:bottom w:val="nil"/>
            </w:tcBorders>
            <w:shd w:val="clear" w:color="auto" w:fill="auto"/>
            <w:vAlign w:val="center"/>
          </w:tcPr>
          <w:p w14:paraId="71E66250"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5,471</w:t>
            </w:r>
          </w:p>
        </w:tc>
      </w:tr>
      <w:tr w:rsidR="007249CE" w:rsidRPr="007249CE" w14:paraId="31833CE5" w14:textId="77777777" w:rsidTr="007249CE">
        <w:trPr>
          <w:trHeight w:val="238"/>
        </w:trPr>
        <w:tc>
          <w:tcPr>
            <w:tcW w:w="3402" w:type="dxa"/>
            <w:tcBorders>
              <w:top w:val="nil"/>
              <w:bottom w:val="nil"/>
            </w:tcBorders>
            <w:shd w:val="clear" w:color="auto" w:fill="auto"/>
            <w:vAlign w:val="center"/>
          </w:tcPr>
          <w:p w14:paraId="48D3B606" w14:textId="77777777" w:rsidR="007249CE" w:rsidRPr="007249CE" w:rsidRDefault="007249CE" w:rsidP="007249CE">
            <w:pPr>
              <w:keepNext/>
              <w:keepLines/>
              <w:spacing w:before="40" w:after="40" w:line="240" w:lineRule="auto"/>
              <w:rPr>
                <w:rFonts w:ascii="Arial" w:eastAsia="Times New Roman" w:hAnsi="Arial" w:cs="Arial"/>
                <w:bCs/>
                <w:spacing w:val="-2"/>
                <w:sz w:val="14"/>
                <w:szCs w:val="14"/>
                <w:lang w:val="en-US" w:eastAsia="pt-BR"/>
              </w:rPr>
            </w:pPr>
            <w:r w:rsidRPr="007249CE">
              <w:rPr>
                <w:rFonts w:ascii="Arial" w:eastAsia="Times New Roman" w:hAnsi="Arial" w:cs="Arial"/>
                <w:spacing w:val="-2"/>
                <w:sz w:val="14"/>
                <w:szCs w:val="14"/>
                <w:lang w:val="en-US" w:eastAsia="pt-BR"/>
              </w:rPr>
              <w:t xml:space="preserve">  f) (Expenses)/Deferred Tax Income</w:t>
            </w:r>
          </w:p>
        </w:tc>
        <w:tc>
          <w:tcPr>
            <w:tcW w:w="284" w:type="dxa"/>
            <w:tcBorders>
              <w:top w:val="nil"/>
              <w:bottom w:val="nil"/>
            </w:tcBorders>
            <w:shd w:val="clear" w:color="auto" w:fill="auto"/>
          </w:tcPr>
          <w:p w14:paraId="7CFACDE8"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val="en-US" w:eastAsia="pt-BR"/>
              </w:rPr>
            </w:pPr>
          </w:p>
        </w:tc>
        <w:tc>
          <w:tcPr>
            <w:tcW w:w="1276" w:type="dxa"/>
            <w:tcBorders>
              <w:top w:val="nil"/>
              <w:bottom w:val="nil"/>
            </w:tcBorders>
            <w:shd w:val="clear" w:color="auto" w:fill="auto"/>
            <w:vAlign w:val="center"/>
          </w:tcPr>
          <w:p w14:paraId="3CBA334B" w14:textId="77777777" w:rsidR="007249CE" w:rsidRPr="007249CE" w:rsidRDefault="007249CE" w:rsidP="007249CE">
            <w:pPr>
              <w:keepNext/>
              <w:keepLines/>
              <w:spacing w:before="40" w:after="40" w:line="240" w:lineRule="auto"/>
              <w:jc w:val="right"/>
              <w:rPr>
                <w:rFonts w:ascii="Arial" w:eastAsia="Times New Roman" w:hAnsi="Arial" w:cs="Arial"/>
                <w:bCs/>
                <w:spacing w:val="-2"/>
                <w:sz w:val="14"/>
                <w:szCs w:val="14"/>
                <w:lang w:val="en-US" w:eastAsia="pt-BR"/>
              </w:rPr>
            </w:pPr>
            <w:r w:rsidRPr="007249CE">
              <w:rPr>
                <w:rFonts w:ascii="Arial" w:eastAsia="Times New Roman" w:hAnsi="Arial" w:cs="Arial"/>
                <w:bCs/>
                <w:spacing w:val="-2"/>
                <w:sz w:val="14"/>
                <w:szCs w:val="14"/>
                <w:lang w:eastAsia="pt-BR"/>
              </w:rPr>
              <w:t>404</w:t>
            </w:r>
          </w:p>
        </w:tc>
        <w:tc>
          <w:tcPr>
            <w:tcW w:w="1559" w:type="dxa"/>
            <w:tcBorders>
              <w:top w:val="nil"/>
              <w:bottom w:val="nil"/>
            </w:tcBorders>
            <w:shd w:val="clear" w:color="auto" w:fill="auto"/>
            <w:vAlign w:val="center"/>
          </w:tcPr>
          <w:p w14:paraId="4E4EA162" w14:textId="77777777" w:rsidR="007249CE" w:rsidRPr="007249CE" w:rsidRDefault="007249CE" w:rsidP="007249CE">
            <w:pPr>
              <w:keepNext/>
              <w:keepLines/>
              <w:spacing w:before="40" w:after="40" w:line="240" w:lineRule="auto"/>
              <w:jc w:val="right"/>
              <w:rPr>
                <w:rFonts w:ascii="Arial" w:eastAsia="Times New Roman" w:hAnsi="Arial" w:cs="Arial"/>
                <w:bCs/>
                <w:spacing w:val="-2"/>
                <w:sz w:val="14"/>
                <w:szCs w:val="14"/>
                <w:lang w:eastAsia="pt-BR"/>
              </w:rPr>
            </w:pPr>
            <w:r w:rsidRPr="007249CE">
              <w:rPr>
                <w:rFonts w:ascii="Arial" w:eastAsia="Times New Roman" w:hAnsi="Arial" w:cs="Arial"/>
                <w:bCs/>
                <w:spacing w:val="-2"/>
                <w:sz w:val="14"/>
                <w:szCs w:val="14"/>
                <w:lang w:eastAsia="pt-BR"/>
              </w:rPr>
              <w:t>195</w:t>
            </w:r>
          </w:p>
        </w:tc>
        <w:tc>
          <w:tcPr>
            <w:tcW w:w="283" w:type="dxa"/>
            <w:tcBorders>
              <w:top w:val="nil"/>
              <w:bottom w:val="nil"/>
            </w:tcBorders>
            <w:shd w:val="clear" w:color="auto" w:fill="auto"/>
            <w:vAlign w:val="center"/>
          </w:tcPr>
          <w:p w14:paraId="3991FDF9" w14:textId="77777777" w:rsidR="007249CE" w:rsidRPr="007249CE" w:rsidRDefault="007249CE" w:rsidP="007249CE">
            <w:pPr>
              <w:keepNext/>
              <w:keepLines/>
              <w:spacing w:before="40" w:after="40" w:line="240" w:lineRule="auto"/>
              <w:jc w:val="right"/>
              <w:rPr>
                <w:rFonts w:ascii="Arial" w:eastAsia="Times New Roman" w:hAnsi="Arial" w:cs="Arial"/>
                <w:bCs/>
                <w:spacing w:val="-2"/>
                <w:sz w:val="14"/>
                <w:szCs w:val="14"/>
                <w:lang w:eastAsia="pt-BR"/>
              </w:rPr>
            </w:pPr>
          </w:p>
        </w:tc>
        <w:tc>
          <w:tcPr>
            <w:tcW w:w="1276" w:type="dxa"/>
            <w:tcBorders>
              <w:top w:val="nil"/>
              <w:bottom w:val="nil"/>
            </w:tcBorders>
            <w:shd w:val="clear" w:color="auto" w:fill="auto"/>
            <w:vAlign w:val="center"/>
          </w:tcPr>
          <w:p w14:paraId="30C91D56" w14:textId="77777777" w:rsidR="007249CE" w:rsidRPr="007249CE" w:rsidRDefault="007249CE" w:rsidP="007249CE">
            <w:pPr>
              <w:keepNext/>
              <w:keepLines/>
              <w:spacing w:before="40" w:after="40" w:line="240" w:lineRule="auto"/>
              <w:jc w:val="right"/>
              <w:rPr>
                <w:rFonts w:ascii="Arial" w:eastAsia="Times New Roman" w:hAnsi="Arial" w:cs="Arial"/>
                <w:bCs/>
                <w:spacing w:val="-2"/>
                <w:sz w:val="14"/>
                <w:szCs w:val="14"/>
                <w:lang w:eastAsia="pt-BR"/>
              </w:rPr>
            </w:pPr>
            <w:r w:rsidRPr="007249CE">
              <w:rPr>
                <w:rFonts w:ascii="Arial" w:eastAsia="Times New Roman" w:hAnsi="Arial" w:cs="Arial"/>
                <w:bCs/>
                <w:spacing w:val="-2"/>
                <w:sz w:val="14"/>
                <w:szCs w:val="14"/>
                <w:lang w:eastAsia="pt-BR"/>
              </w:rPr>
              <w:t>15,707</w:t>
            </w:r>
          </w:p>
        </w:tc>
        <w:tc>
          <w:tcPr>
            <w:tcW w:w="1559" w:type="dxa"/>
            <w:tcBorders>
              <w:top w:val="nil"/>
              <w:bottom w:val="nil"/>
            </w:tcBorders>
            <w:shd w:val="clear" w:color="auto" w:fill="auto"/>
            <w:vAlign w:val="center"/>
          </w:tcPr>
          <w:p w14:paraId="2E774AF4" w14:textId="77777777" w:rsidR="007249CE" w:rsidRPr="007249CE" w:rsidRDefault="007249CE" w:rsidP="007249CE">
            <w:pPr>
              <w:keepNext/>
              <w:keepLines/>
              <w:spacing w:before="40" w:after="40" w:line="240" w:lineRule="auto"/>
              <w:jc w:val="right"/>
              <w:rPr>
                <w:rFonts w:ascii="Arial" w:eastAsia="Times New Roman" w:hAnsi="Arial" w:cs="Arial"/>
                <w:bCs/>
                <w:spacing w:val="-2"/>
                <w:sz w:val="14"/>
                <w:szCs w:val="18"/>
                <w:lang w:eastAsia="pt-BR"/>
              </w:rPr>
            </w:pPr>
            <w:r w:rsidRPr="007249CE">
              <w:rPr>
                <w:rFonts w:ascii="Arial" w:eastAsia="Times New Roman" w:hAnsi="Arial" w:cs="Arial"/>
                <w:bCs/>
                <w:spacing w:val="-2"/>
                <w:sz w:val="14"/>
                <w:szCs w:val="14"/>
                <w:lang w:eastAsia="pt-BR"/>
              </w:rPr>
              <w:t>5,471</w:t>
            </w:r>
          </w:p>
        </w:tc>
      </w:tr>
      <w:tr w:rsidR="007249CE" w:rsidRPr="007249CE" w14:paraId="19FADBF2" w14:textId="77777777" w:rsidTr="007249CE">
        <w:trPr>
          <w:trHeight w:val="238"/>
        </w:trPr>
        <w:tc>
          <w:tcPr>
            <w:tcW w:w="3402" w:type="dxa"/>
            <w:tcBorders>
              <w:top w:val="nil"/>
              <w:bottom w:val="single" w:sz="2" w:space="0" w:color="1F4E79"/>
            </w:tcBorders>
            <w:shd w:val="clear" w:color="auto" w:fill="auto"/>
            <w:vAlign w:val="center"/>
          </w:tcPr>
          <w:p w14:paraId="12C3F742"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 xml:space="preserve">Total IR </w:t>
            </w:r>
            <w:proofErr w:type="spellStart"/>
            <w:r w:rsidRPr="007249CE">
              <w:rPr>
                <w:rFonts w:ascii="Arial" w:eastAsia="Times New Roman" w:hAnsi="Arial" w:cs="Arial"/>
                <w:b/>
                <w:spacing w:val="-2"/>
                <w:sz w:val="14"/>
                <w:szCs w:val="14"/>
                <w:lang w:eastAsia="pt-BR"/>
              </w:rPr>
              <w:t>and</w:t>
            </w:r>
            <w:proofErr w:type="spellEnd"/>
            <w:r w:rsidRPr="007249CE">
              <w:rPr>
                <w:rFonts w:ascii="Arial" w:eastAsia="Times New Roman" w:hAnsi="Arial" w:cs="Arial"/>
                <w:b/>
                <w:spacing w:val="-2"/>
                <w:sz w:val="14"/>
                <w:szCs w:val="14"/>
                <w:lang w:eastAsia="pt-BR"/>
              </w:rPr>
              <w:t xml:space="preserve"> CS (</w:t>
            </w:r>
            <w:proofErr w:type="spellStart"/>
            <w:r w:rsidRPr="007249CE">
              <w:rPr>
                <w:rFonts w:ascii="Arial" w:eastAsia="Times New Roman" w:hAnsi="Arial" w:cs="Arial"/>
                <w:b/>
                <w:spacing w:val="-2"/>
                <w:sz w:val="14"/>
                <w:szCs w:val="14"/>
                <w:lang w:eastAsia="pt-BR"/>
              </w:rPr>
              <w:t>a+b+c+d+e+f</w:t>
            </w:r>
            <w:proofErr w:type="spellEnd"/>
            <w:r w:rsidRPr="007249CE">
              <w:rPr>
                <w:rFonts w:ascii="Arial" w:eastAsia="Times New Roman" w:hAnsi="Arial" w:cs="Arial"/>
                <w:b/>
                <w:spacing w:val="-2"/>
                <w:sz w:val="14"/>
                <w:szCs w:val="14"/>
                <w:lang w:eastAsia="pt-BR"/>
              </w:rPr>
              <w:t>)</w:t>
            </w:r>
          </w:p>
        </w:tc>
        <w:tc>
          <w:tcPr>
            <w:tcW w:w="284" w:type="dxa"/>
            <w:tcBorders>
              <w:top w:val="nil"/>
              <w:bottom w:val="single" w:sz="2" w:space="0" w:color="1F4E79"/>
            </w:tcBorders>
            <w:shd w:val="clear" w:color="auto" w:fill="auto"/>
          </w:tcPr>
          <w:p w14:paraId="02F15F32"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nil"/>
              <w:bottom w:val="single" w:sz="2" w:space="0" w:color="1F4E79"/>
            </w:tcBorders>
            <w:shd w:val="clear" w:color="auto" w:fill="auto"/>
            <w:vAlign w:val="center"/>
          </w:tcPr>
          <w:p w14:paraId="00DDA7D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(9,513)</w:t>
            </w:r>
          </w:p>
        </w:tc>
        <w:tc>
          <w:tcPr>
            <w:tcW w:w="1559" w:type="dxa"/>
            <w:tcBorders>
              <w:top w:val="nil"/>
              <w:bottom w:val="single" w:sz="2" w:space="0" w:color="1F4E79"/>
            </w:tcBorders>
            <w:shd w:val="clear" w:color="auto" w:fill="auto"/>
            <w:vAlign w:val="center"/>
          </w:tcPr>
          <w:p w14:paraId="527C3F5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(11,621)</w:t>
            </w:r>
          </w:p>
        </w:tc>
        <w:tc>
          <w:tcPr>
            <w:tcW w:w="283" w:type="dxa"/>
            <w:tcBorders>
              <w:top w:val="nil"/>
              <w:bottom w:val="single" w:sz="2" w:space="0" w:color="1F4E79"/>
            </w:tcBorders>
            <w:shd w:val="clear" w:color="auto" w:fill="auto"/>
            <w:vAlign w:val="center"/>
          </w:tcPr>
          <w:p w14:paraId="0397D15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nil"/>
              <w:bottom w:val="single" w:sz="2" w:space="0" w:color="1F4E79"/>
            </w:tcBorders>
            <w:shd w:val="clear" w:color="auto" w:fill="auto"/>
            <w:vAlign w:val="center"/>
          </w:tcPr>
          <w:p w14:paraId="72468EF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(1,707,636)</w:t>
            </w:r>
          </w:p>
        </w:tc>
        <w:tc>
          <w:tcPr>
            <w:tcW w:w="1559" w:type="dxa"/>
            <w:tcBorders>
              <w:top w:val="nil"/>
              <w:bottom w:val="single" w:sz="2" w:space="0" w:color="1F4E79"/>
            </w:tcBorders>
            <w:shd w:val="clear" w:color="auto" w:fill="auto"/>
            <w:vAlign w:val="center"/>
          </w:tcPr>
          <w:p w14:paraId="17E7281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(1,546,109)</w:t>
            </w:r>
          </w:p>
        </w:tc>
      </w:tr>
    </w:tbl>
    <w:p w14:paraId="47D48C9C" w14:textId="77777777" w:rsidR="007249CE" w:rsidRPr="007249CE" w:rsidRDefault="007249CE" w:rsidP="007249CE">
      <w:pPr>
        <w:spacing w:after="0" w:line="240" w:lineRule="auto"/>
        <w:jc w:val="right"/>
        <w:rPr>
          <w:rFonts w:ascii="Arial" w:eastAsia="MS Mincho" w:hAnsi="Arial" w:cs="Arial"/>
          <w:b/>
          <w:sz w:val="14"/>
          <w:szCs w:val="22"/>
          <w:lang w:eastAsia="pt-BR"/>
        </w:rPr>
      </w:pPr>
    </w:p>
    <w:p w14:paraId="40231144" w14:textId="77777777" w:rsidR="007249CE" w:rsidRPr="007249CE" w:rsidRDefault="007249CE" w:rsidP="007249CE">
      <w:pPr>
        <w:spacing w:after="0" w:line="240" w:lineRule="auto"/>
        <w:jc w:val="right"/>
        <w:rPr>
          <w:rFonts w:ascii="Arial" w:eastAsia="MS Mincho" w:hAnsi="Arial" w:cs="Arial"/>
          <w:b/>
          <w:sz w:val="14"/>
          <w:szCs w:val="22"/>
          <w:lang w:eastAsia="pt-BR"/>
        </w:rPr>
      </w:pPr>
    </w:p>
    <w:p w14:paraId="1C5A3A51" w14:textId="77777777" w:rsidR="007249CE" w:rsidRPr="007249CE" w:rsidRDefault="007249CE" w:rsidP="007249CE">
      <w:pPr>
        <w:spacing w:after="0" w:line="240" w:lineRule="auto"/>
        <w:jc w:val="right"/>
        <w:rPr>
          <w:rFonts w:ascii="Arial" w:eastAsia="MS Mincho" w:hAnsi="Arial" w:cs="Arial"/>
          <w:b/>
          <w:sz w:val="14"/>
          <w:szCs w:val="22"/>
          <w:lang w:eastAsia="pt-BR"/>
        </w:rPr>
      </w:pPr>
    </w:p>
    <w:p w14:paraId="4C7BFC62" w14:textId="77777777" w:rsidR="007249CE" w:rsidRPr="007249CE" w:rsidRDefault="007249CE" w:rsidP="007249CE">
      <w:pPr>
        <w:keepNext/>
        <w:keepLines/>
        <w:spacing w:after="40" w:line="276" w:lineRule="auto"/>
        <w:rPr>
          <w:rFonts w:ascii="Arial" w:eastAsia="MS Mincho" w:hAnsi="Arial" w:cs="Arial"/>
          <w:b/>
          <w:color w:val="1F4E79"/>
          <w:sz w:val="20"/>
          <w:szCs w:val="20"/>
        </w:rPr>
      </w:pPr>
      <w:r w:rsidRPr="007249CE">
        <w:rPr>
          <w:rFonts w:ascii="Arial" w:eastAsia="MS Mincho" w:hAnsi="Arial" w:cs="Arial"/>
          <w:b/>
          <w:color w:val="1F4E79"/>
          <w:sz w:val="20"/>
          <w:szCs w:val="20"/>
        </w:rPr>
        <w:lastRenderedPageBreak/>
        <w:t xml:space="preserve">c) </w:t>
      </w:r>
      <w:proofErr w:type="spellStart"/>
      <w:r w:rsidRPr="007249CE">
        <w:rPr>
          <w:rFonts w:ascii="Arial" w:eastAsia="MS Mincho" w:hAnsi="Arial" w:cs="Arial"/>
          <w:b/>
          <w:color w:val="1F4E79"/>
          <w:sz w:val="20"/>
          <w:szCs w:val="20"/>
        </w:rPr>
        <w:t>Tax</w:t>
      </w:r>
      <w:proofErr w:type="spellEnd"/>
      <w:r w:rsidRPr="007249CE">
        <w:rPr>
          <w:rFonts w:ascii="Arial" w:eastAsia="MS Mincho" w:hAnsi="Arial" w:cs="Arial"/>
          <w:b/>
          <w:color w:val="1F4E79"/>
          <w:sz w:val="20"/>
          <w:szCs w:val="20"/>
        </w:rPr>
        <w:t xml:space="preserve"> </w:t>
      </w:r>
      <w:proofErr w:type="spellStart"/>
      <w:r w:rsidRPr="007249CE">
        <w:rPr>
          <w:rFonts w:ascii="Arial" w:eastAsia="MS Mincho" w:hAnsi="Arial" w:cs="Arial"/>
          <w:b/>
          <w:color w:val="1F4E79"/>
          <w:sz w:val="20"/>
          <w:szCs w:val="20"/>
        </w:rPr>
        <w:t>Expenses</w:t>
      </w:r>
      <w:proofErr w:type="spellEnd"/>
    </w:p>
    <w:p w14:paraId="4B8E15F7" w14:textId="77777777" w:rsidR="007249CE" w:rsidRPr="007249CE" w:rsidRDefault="007249CE" w:rsidP="007249CE">
      <w:pPr>
        <w:keepNext/>
        <w:keepLines/>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249CE" w:rsidRPr="007249CE" w14:paraId="0B65315E" w14:textId="77777777" w:rsidTr="007249CE">
        <w:trPr>
          <w:trHeight w:val="238"/>
        </w:trPr>
        <w:tc>
          <w:tcPr>
            <w:tcW w:w="3094" w:type="dxa"/>
            <w:tcBorders>
              <w:top w:val="single" w:sz="2" w:space="0" w:color="1F4E79"/>
              <w:bottom w:val="nil"/>
            </w:tcBorders>
            <w:shd w:val="clear" w:color="auto" w:fill="auto"/>
            <w:vAlign w:val="center"/>
          </w:tcPr>
          <w:p w14:paraId="24ED80D2" w14:textId="77777777" w:rsidR="007249CE" w:rsidRPr="007249CE" w:rsidRDefault="007249CE" w:rsidP="007249CE">
            <w:pPr>
              <w:keepNext/>
              <w:keepLines/>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4673B4D5" w14:textId="77777777" w:rsidR="007249CE" w:rsidRPr="007249CE" w:rsidRDefault="007249CE" w:rsidP="007249CE">
            <w:pPr>
              <w:keepNext/>
              <w:keepLines/>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5FED203A" w14:textId="77777777" w:rsidR="007249CE" w:rsidRPr="007249CE" w:rsidRDefault="007249CE" w:rsidP="007249CE">
            <w:pPr>
              <w:keepNext/>
              <w:keepLines/>
              <w:spacing w:after="0" w:line="276" w:lineRule="auto"/>
              <w:jc w:val="center"/>
              <w:rPr>
                <w:rFonts w:ascii="Arial" w:eastAsia="MS Mincho" w:hAnsi="Arial" w:cs="Arial"/>
                <w:b/>
                <w:sz w:val="14"/>
                <w:szCs w:val="18"/>
              </w:rPr>
            </w:pPr>
            <w:proofErr w:type="spellStart"/>
            <w:r w:rsidRPr="007249CE">
              <w:rPr>
                <w:rFonts w:ascii="Arial" w:eastAsia="MS Mincho"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26FA2A89" w14:textId="77777777" w:rsidR="007249CE" w:rsidRPr="007249CE" w:rsidRDefault="007249CE" w:rsidP="007249CE">
            <w:pPr>
              <w:keepNext/>
              <w:keepLines/>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663E9EF6" w14:textId="77777777" w:rsidR="007249CE" w:rsidRPr="007249CE" w:rsidRDefault="007249CE" w:rsidP="007249CE">
            <w:pPr>
              <w:keepNext/>
              <w:keepLines/>
              <w:spacing w:after="0" w:line="276" w:lineRule="auto"/>
              <w:jc w:val="center"/>
              <w:rPr>
                <w:rFonts w:ascii="Arial" w:eastAsia="MS Mincho" w:hAnsi="Arial" w:cs="Arial"/>
                <w:b/>
                <w:sz w:val="18"/>
                <w:szCs w:val="18"/>
              </w:rPr>
            </w:pPr>
            <w:proofErr w:type="spellStart"/>
            <w:r w:rsidRPr="007249CE">
              <w:rPr>
                <w:rFonts w:ascii="Arial" w:eastAsia="MS Mincho" w:hAnsi="Arial" w:cs="Arial"/>
                <w:b/>
                <w:sz w:val="14"/>
                <w:szCs w:val="18"/>
              </w:rPr>
              <w:t>Consolidated</w:t>
            </w:r>
            <w:proofErr w:type="spellEnd"/>
          </w:p>
        </w:tc>
      </w:tr>
      <w:tr w:rsidR="007249CE" w:rsidRPr="007249CE" w14:paraId="15515260" w14:textId="77777777" w:rsidTr="007249CE">
        <w:trPr>
          <w:trHeight w:val="238"/>
        </w:trPr>
        <w:tc>
          <w:tcPr>
            <w:tcW w:w="3094" w:type="dxa"/>
            <w:tcBorders>
              <w:top w:val="nil"/>
              <w:bottom w:val="single" w:sz="2" w:space="0" w:color="1F4E79"/>
            </w:tcBorders>
            <w:shd w:val="clear" w:color="auto" w:fill="auto"/>
            <w:vAlign w:val="center"/>
          </w:tcPr>
          <w:p w14:paraId="44238923"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2250E114"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13D77C2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2024</w:t>
            </w:r>
          </w:p>
        </w:tc>
        <w:tc>
          <w:tcPr>
            <w:tcW w:w="1412" w:type="dxa"/>
            <w:tcBorders>
              <w:top w:val="single" w:sz="2" w:space="0" w:color="1F4E79"/>
              <w:bottom w:val="single" w:sz="2" w:space="0" w:color="1F4E79"/>
            </w:tcBorders>
            <w:shd w:val="clear" w:color="auto" w:fill="auto"/>
          </w:tcPr>
          <w:p w14:paraId="4CC3C83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 xml:space="preserve"> 2023</w:t>
            </w:r>
          </w:p>
        </w:tc>
        <w:tc>
          <w:tcPr>
            <w:tcW w:w="283" w:type="dxa"/>
            <w:tcBorders>
              <w:top w:val="nil"/>
              <w:bottom w:val="single" w:sz="2" w:space="0" w:color="1F4E79"/>
            </w:tcBorders>
            <w:shd w:val="clear" w:color="auto" w:fill="auto"/>
          </w:tcPr>
          <w:p w14:paraId="0DE538E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2DC4DBF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2024</w:t>
            </w:r>
          </w:p>
        </w:tc>
        <w:tc>
          <w:tcPr>
            <w:tcW w:w="1418" w:type="dxa"/>
            <w:tcBorders>
              <w:top w:val="single" w:sz="2" w:space="0" w:color="1F4E79"/>
              <w:bottom w:val="single" w:sz="2" w:space="0" w:color="1F4E79"/>
            </w:tcBorders>
            <w:shd w:val="clear" w:color="auto" w:fill="auto"/>
          </w:tcPr>
          <w:p w14:paraId="7437A21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4C5A7A">
              <w:rPr>
                <w:rFonts w:ascii="Arial" w:eastAsia="Times New Roman" w:hAnsi="Arial" w:cs="Arial"/>
                <w:b/>
                <w:spacing w:val="-2"/>
                <w:sz w:val="14"/>
                <w:szCs w:val="18"/>
                <w:lang w:eastAsia="pt-BR"/>
              </w:rPr>
              <w:t>2023</w:t>
            </w:r>
          </w:p>
        </w:tc>
      </w:tr>
      <w:tr w:rsidR="007249CE" w:rsidRPr="001A7DD8" w14:paraId="66706451" w14:textId="77777777" w:rsidTr="007249CE">
        <w:trPr>
          <w:trHeight w:val="238"/>
        </w:trPr>
        <w:tc>
          <w:tcPr>
            <w:tcW w:w="3094" w:type="dxa"/>
            <w:tcBorders>
              <w:top w:val="single" w:sz="2" w:space="0" w:color="1F4E79"/>
            </w:tcBorders>
            <w:shd w:val="clear" w:color="auto" w:fill="auto"/>
            <w:vAlign w:val="center"/>
          </w:tcPr>
          <w:p w14:paraId="6BD1EB70"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val="en-US" w:eastAsia="pt-BR"/>
              </w:rPr>
            </w:pPr>
            <w:r w:rsidRPr="007249CE">
              <w:rPr>
                <w:rFonts w:ascii="Arial" w:eastAsia="Times New Roman" w:hAnsi="Arial" w:cs="Arial"/>
                <w:b/>
                <w:spacing w:val="-2"/>
                <w:sz w:val="14"/>
                <w:szCs w:val="14"/>
                <w:lang w:val="en-US" w:eastAsia="pt-BR"/>
              </w:rPr>
              <w:t>On financial income and other</w:t>
            </w:r>
          </w:p>
        </w:tc>
        <w:tc>
          <w:tcPr>
            <w:tcW w:w="604" w:type="dxa"/>
            <w:tcBorders>
              <w:top w:val="single" w:sz="2" w:space="0" w:color="1F4E79"/>
            </w:tcBorders>
            <w:shd w:val="clear" w:color="auto" w:fill="auto"/>
            <w:vAlign w:val="center"/>
          </w:tcPr>
          <w:p w14:paraId="6F421B39"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val="en-US" w:eastAsia="pt-BR"/>
              </w:rPr>
            </w:pPr>
          </w:p>
        </w:tc>
        <w:tc>
          <w:tcPr>
            <w:tcW w:w="1411" w:type="dxa"/>
            <w:tcBorders>
              <w:top w:val="single" w:sz="2" w:space="0" w:color="1F4E79"/>
            </w:tcBorders>
            <w:shd w:val="clear" w:color="auto" w:fill="auto"/>
            <w:vAlign w:val="center"/>
          </w:tcPr>
          <w:p w14:paraId="561B5D8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412" w:type="dxa"/>
            <w:tcBorders>
              <w:top w:val="single" w:sz="2" w:space="0" w:color="1F4E79"/>
            </w:tcBorders>
            <w:shd w:val="clear" w:color="auto" w:fill="auto"/>
            <w:vAlign w:val="center"/>
          </w:tcPr>
          <w:p w14:paraId="72DF0B2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val="en-US" w:eastAsia="pt-BR"/>
              </w:rPr>
            </w:pPr>
          </w:p>
        </w:tc>
        <w:tc>
          <w:tcPr>
            <w:tcW w:w="283" w:type="dxa"/>
            <w:tcBorders>
              <w:top w:val="single" w:sz="2" w:space="0" w:color="1F4E79"/>
            </w:tcBorders>
            <w:shd w:val="clear" w:color="auto" w:fill="auto"/>
            <w:vAlign w:val="center"/>
          </w:tcPr>
          <w:p w14:paraId="71BCE46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417" w:type="dxa"/>
            <w:tcBorders>
              <w:top w:val="single" w:sz="2" w:space="0" w:color="1F4E79"/>
            </w:tcBorders>
            <w:shd w:val="clear" w:color="auto" w:fill="auto"/>
            <w:vAlign w:val="center"/>
          </w:tcPr>
          <w:p w14:paraId="769478E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val="en-US" w:eastAsia="pt-BR"/>
              </w:rPr>
            </w:pPr>
          </w:p>
        </w:tc>
        <w:tc>
          <w:tcPr>
            <w:tcW w:w="1418" w:type="dxa"/>
            <w:tcBorders>
              <w:top w:val="single" w:sz="2" w:space="0" w:color="1F4E79"/>
            </w:tcBorders>
            <w:shd w:val="clear" w:color="auto" w:fill="auto"/>
            <w:vAlign w:val="center"/>
          </w:tcPr>
          <w:p w14:paraId="38EFE6A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val="en-US" w:eastAsia="pt-BR"/>
              </w:rPr>
            </w:pPr>
          </w:p>
        </w:tc>
      </w:tr>
      <w:tr w:rsidR="007249CE" w:rsidRPr="007249CE" w14:paraId="32298D9E" w14:textId="77777777" w:rsidTr="007249CE">
        <w:trPr>
          <w:trHeight w:val="238"/>
        </w:trPr>
        <w:tc>
          <w:tcPr>
            <w:tcW w:w="3094" w:type="dxa"/>
            <w:shd w:val="clear" w:color="auto" w:fill="auto"/>
            <w:vAlign w:val="center"/>
          </w:tcPr>
          <w:p w14:paraId="00C5547E"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Cofins</w:t>
            </w:r>
            <w:proofErr w:type="spellEnd"/>
          </w:p>
        </w:tc>
        <w:tc>
          <w:tcPr>
            <w:tcW w:w="604" w:type="dxa"/>
            <w:shd w:val="clear" w:color="auto" w:fill="auto"/>
            <w:vAlign w:val="center"/>
          </w:tcPr>
          <w:p w14:paraId="2D4709D1"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tcBorders>
            <w:shd w:val="clear" w:color="auto" w:fill="auto"/>
            <w:vAlign w:val="center"/>
          </w:tcPr>
          <w:p w14:paraId="19505891"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(3,805)</w:t>
            </w:r>
          </w:p>
        </w:tc>
        <w:tc>
          <w:tcPr>
            <w:tcW w:w="1412" w:type="dxa"/>
            <w:tcBorders>
              <w:top w:val="nil"/>
            </w:tcBorders>
            <w:shd w:val="clear" w:color="auto" w:fill="auto"/>
            <w:vAlign w:val="center"/>
          </w:tcPr>
          <w:p w14:paraId="3A627626"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(5,723)</w:t>
            </w:r>
          </w:p>
        </w:tc>
        <w:tc>
          <w:tcPr>
            <w:tcW w:w="283" w:type="dxa"/>
            <w:tcBorders>
              <w:top w:val="nil"/>
            </w:tcBorders>
            <w:shd w:val="clear" w:color="auto" w:fill="auto"/>
            <w:vAlign w:val="center"/>
          </w:tcPr>
          <w:p w14:paraId="6E5B6C3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shd w:val="clear" w:color="auto" w:fill="auto"/>
            <w:vAlign w:val="center"/>
          </w:tcPr>
          <w:p w14:paraId="4453DC1D"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(29,377)</w:t>
            </w:r>
          </w:p>
        </w:tc>
        <w:tc>
          <w:tcPr>
            <w:tcW w:w="1418" w:type="dxa"/>
            <w:tcBorders>
              <w:top w:val="nil"/>
            </w:tcBorders>
            <w:shd w:val="clear" w:color="auto" w:fill="auto"/>
            <w:vAlign w:val="center"/>
          </w:tcPr>
          <w:p w14:paraId="603025D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(30,297)</w:t>
            </w:r>
          </w:p>
        </w:tc>
      </w:tr>
      <w:tr w:rsidR="007249CE" w:rsidRPr="007249CE" w14:paraId="2FA2092B" w14:textId="77777777" w:rsidTr="007249CE">
        <w:trPr>
          <w:trHeight w:val="238"/>
        </w:trPr>
        <w:tc>
          <w:tcPr>
            <w:tcW w:w="3094" w:type="dxa"/>
            <w:shd w:val="clear" w:color="auto" w:fill="auto"/>
            <w:vAlign w:val="center"/>
          </w:tcPr>
          <w:p w14:paraId="7F2AA350"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PIS/Pasep</w:t>
            </w:r>
          </w:p>
        </w:tc>
        <w:tc>
          <w:tcPr>
            <w:tcW w:w="604" w:type="dxa"/>
            <w:shd w:val="clear" w:color="auto" w:fill="auto"/>
            <w:vAlign w:val="center"/>
          </w:tcPr>
          <w:p w14:paraId="21C827C1"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16A9DBF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(632)</w:t>
            </w:r>
          </w:p>
        </w:tc>
        <w:tc>
          <w:tcPr>
            <w:tcW w:w="1412" w:type="dxa"/>
            <w:shd w:val="clear" w:color="auto" w:fill="auto"/>
            <w:vAlign w:val="center"/>
          </w:tcPr>
          <w:p w14:paraId="0D68B687"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(952)</w:t>
            </w:r>
          </w:p>
        </w:tc>
        <w:tc>
          <w:tcPr>
            <w:tcW w:w="283" w:type="dxa"/>
            <w:shd w:val="clear" w:color="auto" w:fill="auto"/>
            <w:vAlign w:val="center"/>
          </w:tcPr>
          <w:p w14:paraId="052F0F12"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7961D79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(4,784)</w:t>
            </w:r>
          </w:p>
        </w:tc>
        <w:tc>
          <w:tcPr>
            <w:tcW w:w="1418" w:type="dxa"/>
            <w:shd w:val="clear" w:color="auto" w:fill="auto"/>
            <w:vAlign w:val="center"/>
          </w:tcPr>
          <w:p w14:paraId="3998A295"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(4,943)</w:t>
            </w:r>
          </w:p>
        </w:tc>
      </w:tr>
      <w:tr w:rsidR="007249CE" w:rsidRPr="007249CE" w14:paraId="3517A724" w14:textId="77777777" w:rsidTr="007249CE">
        <w:trPr>
          <w:trHeight w:val="238"/>
        </w:trPr>
        <w:tc>
          <w:tcPr>
            <w:tcW w:w="3094" w:type="dxa"/>
            <w:shd w:val="clear" w:color="auto" w:fill="auto"/>
            <w:vAlign w:val="center"/>
          </w:tcPr>
          <w:p w14:paraId="764684B2"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IOF</w:t>
            </w:r>
          </w:p>
        </w:tc>
        <w:tc>
          <w:tcPr>
            <w:tcW w:w="604" w:type="dxa"/>
            <w:shd w:val="clear" w:color="auto" w:fill="auto"/>
            <w:vAlign w:val="center"/>
          </w:tcPr>
          <w:p w14:paraId="0A5D84D9"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vAlign w:val="center"/>
          </w:tcPr>
          <w:p w14:paraId="40BE26C3"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(22)</w:t>
            </w:r>
          </w:p>
        </w:tc>
        <w:tc>
          <w:tcPr>
            <w:tcW w:w="1412" w:type="dxa"/>
            <w:shd w:val="clear" w:color="auto" w:fill="auto"/>
            <w:vAlign w:val="center"/>
          </w:tcPr>
          <w:p w14:paraId="59E1EDF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(14)</w:t>
            </w:r>
          </w:p>
        </w:tc>
        <w:tc>
          <w:tcPr>
            <w:tcW w:w="283" w:type="dxa"/>
            <w:shd w:val="clear" w:color="auto" w:fill="auto"/>
            <w:vAlign w:val="center"/>
          </w:tcPr>
          <w:p w14:paraId="4B720DF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vAlign w:val="center"/>
          </w:tcPr>
          <w:p w14:paraId="718FA223"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(22)</w:t>
            </w:r>
          </w:p>
        </w:tc>
        <w:tc>
          <w:tcPr>
            <w:tcW w:w="1418" w:type="dxa"/>
            <w:shd w:val="clear" w:color="auto" w:fill="auto"/>
            <w:vAlign w:val="center"/>
          </w:tcPr>
          <w:p w14:paraId="2E4C02E4"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(14)</w:t>
            </w:r>
          </w:p>
        </w:tc>
      </w:tr>
      <w:tr w:rsidR="007249CE" w:rsidRPr="007249CE" w14:paraId="775B1972" w14:textId="77777777" w:rsidTr="007249CE">
        <w:trPr>
          <w:trHeight w:val="238"/>
        </w:trPr>
        <w:tc>
          <w:tcPr>
            <w:tcW w:w="3094" w:type="dxa"/>
            <w:tcBorders>
              <w:bottom w:val="nil"/>
            </w:tcBorders>
            <w:shd w:val="clear" w:color="auto" w:fill="auto"/>
            <w:vAlign w:val="center"/>
          </w:tcPr>
          <w:p w14:paraId="6773E066"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Other</w:t>
            </w:r>
          </w:p>
        </w:tc>
        <w:tc>
          <w:tcPr>
            <w:tcW w:w="604" w:type="dxa"/>
            <w:tcBorders>
              <w:bottom w:val="nil"/>
            </w:tcBorders>
            <w:shd w:val="clear" w:color="auto" w:fill="auto"/>
            <w:vAlign w:val="center"/>
          </w:tcPr>
          <w:p w14:paraId="63749E77"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0BF02D46"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(103)</w:t>
            </w:r>
          </w:p>
        </w:tc>
        <w:tc>
          <w:tcPr>
            <w:tcW w:w="1412" w:type="dxa"/>
            <w:tcBorders>
              <w:bottom w:val="nil"/>
            </w:tcBorders>
            <w:shd w:val="clear" w:color="auto" w:fill="auto"/>
            <w:vAlign w:val="center"/>
          </w:tcPr>
          <w:p w14:paraId="18059B7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(109)</w:t>
            </w:r>
          </w:p>
        </w:tc>
        <w:tc>
          <w:tcPr>
            <w:tcW w:w="283" w:type="dxa"/>
            <w:tcBorders>
              <w:bottom w:val="nil"/>
            </w:tcBorders>
            <w:shd w:val="clear" w:color="auto" w:fill="auto"/>
            <w:vAlign w:val="center"/>
          </w:tcPr>
          <w:p w14:paraId="2A28FCB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0172E673"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(190)</w:t>
            </w:r>
          </w:p>
        </w:tc>
        <w:tc>
          <w:tcPr>
            <w:tcW w:w="1418" w:type="dxa"/>
            <w:tcBorders>
              <w:bottom w:val="nil"/>
            </w:tcBorders>
            <w:shd w:val="clear" w:color="auto" w:fill="auto"/>
            <w:vAlign w:val="center"/>
          </w:tcPr>
          <w:p w14:paraId="2FFF7C94"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4"/>
                <w:lang w:eastAsia="pt-BR"/>
              </w:rPr>
              <w:t>(430)</w:t>
            </w:r>
          </w:p>
        </w:tc>
      </w:tr>
      <w:tr w:rsidR="007249CE" w:rsidRPr="007249CE" w14:paraId="0F2B21B6" w14:textId="77777777" w:rsidTr="007249CE">
        <w:trPr>
          <w:trHeight w:val="238"/>
        </w:trPr>
        <w:tc>
          <w:tcPr>
            <w:tcW w:w="3094" w:type="dxa"/>
            <w:tcBorders>
              <w:top w:val="nil"/>
              <w:bottom w:val="single" w:sz="2" w:space="0" w:color="1F4E79"/>
            </w:tcBorders>
            <w:shd w:val="clear" w:color="auto" w:fill="auto"/>
            <w:vAlign w:val="center"/>
          </w:tcPr>
          <w:p w14:paraId="7CEC3464"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7249CE">
              <w:rPr>
                <w:rFonts w:ascii="Arial" w:eastAsia="Times New Roman" w:hAnsi="Arial" w:cs="Arial"/>
                <w:b/>
                <w:spacing w:val="-2"/>
                <w:sz w:val="14"/>
                <w:szCs w:val="18"/>
                <w:lang w:eastAsia="pt-BR"/>
              </w:rPr>
              <w:t>Total</w:t>
            </w:r>
          </w:p>
        </w:tc>
        <w:tc>
          <w:tcPr>
            <w:tcW w:w="604" w:type="dxa"/>
            <w:tcBorders>
              <w:top w:val="nil"/>
              <w:bottom w:val="single" w:sz="2" w:space="0" w:color="1F4E79"/>
            </w:tcBorders>
            <w:shd w:val="clear" w:color="auto" w:fill="auto"/>
            <w:vAlign w:val="center"/>
          </w:tcPr>
          <w:p w14:paraId="0CA2E03C"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5F8113A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(4,562)</w:t>
            </w:r>
          </w:p>
        </w:tc>
        <w:tc>
          <w:tcPr>
            <w:tcW w:w="1412" w:type="dxa"/>
            <w:tcBorders>
              <w:top w:val="nil"/>
              <w:bottom w:val="single" w:sz="2" w:space="0" w:color="1F4E79"/>
            </w:tcBorders>
            <w:shd w:val="clear" w:color="auto" w:fill="auto"/>
            <w:vAlign w:val="center"/>
          </w:tcPr>
          <w:p w14:paraId="75DC77F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(6,798)</w:t>
            </w:r>
          </w:p>
        </w:tc>
        <w:tc>
          <w:tcPr>
            <w:tcW w:w="283" w:type="dxa"/>
            <w:tcBorders>
              <w:top w:val="nil"/>
              <w:bottom w:val="single" w:sz="2" w:space="0" w:color="1F4E79"/>
            </w:tcBorders>
            <w:shd w:val="clear" w:color="auto" w:fill="auto"/>
            <w:vAlign w:val="center"/>
          </w:tcPr>
          <w:p w14:paraId="25F3075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776D488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(34,373)</w:t>
            </w:r>
          </w:p>
        </w:tc>
        <w:tc>
          <w:tcPr>
            <w:tcW w:w="1418" w:type="dxa"/>
            <w:tcBorders>
              <w:top w:val="nil"/>
              <w:bottom w:val="single" w:sz="2" w:space="0" w:color="1F4E79"/>
            </w:tcBorders>
            <w:shd w:val="clear" w:color="auto" w:fill="auto"/>
            <w:vAlign w:val="center"/>
          </w:tcPr>
          <w:p w14:paraId="36845E8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4"/>
                <w:lang w:eastAsia="pt-BR"/>
              </w:rPr>
              <w:t>(35,684)</w:t>
            </w:r>
          </w:p>
        </w:tc>
      </w:tr>
    </w:tbl>
    <w:p w14:paraId="04B8ED3B" w14:textId="77777777" w:rsidR="007249CE" w:rsidRPr="007249CE" w:rsidRDefault="007249CE" w:rsidP="00641018">
      <w:pPr>
        <w:widowControl w:val="0"/>
        <w:spacing w:line="276" w:lineRule="auto"/>
        <w:rPr>
          <w:rFonts w:ascii="Arial" w:eastAsia="MS Mincho" w:hAnsi="Arial" w:cs="Arial"/>
          <w:b/>
          <w:color w:val="1F4E79"/>
          <w:sz w:val="18"/>
          <w:szCs w:val="18"/>
        </w:rPr>
      </w:pPr>
    </w:p>
    <w:p w14:paraId="3422ADE3" w14:textId="77777777" w:rsidR="007249CE" w:rsidRPr="007249CE" w:rsidRDefault="007249CE" w:rsidP="00641018">
      <w:pPr>
        <w:widowControl w:val="0"/>
        <w:spacing w:after="40" w:line="276" w:lineRule="auto"/>
        <w:rPr>
          <w:rFonts w:ascii="Arial" w:eastAsia="MS Mincho" w:hAnsi="Arial" w:cs="Arial"/>
          <w:b/>
          <w:color w:val="1F4E79"/>
          <w:sz w:val="20"/>
          <w:szCs w:val="20"/>
        </w:rPr>
      </w:pPr>
      <w:r w:rsidRPr="007249CE">
        <w:rPr>
          <w:rFonts w:ascii="Arial" w:eastAsia="MS Mincho" w:hAnsi="Arial" w:cs="Arial"/>
          <w:b/>
          <w:color w:val="1F4E79"/>
          <w:sz w:val="20"/>
          <w:szCs w:val="20"/>
        </w:rPr>
        <w:t xml:space="preserve">d) </w:t>
      </w:r>
      <w:proofErr w:type="spellStart"/>
      <w:r w:rsidRPr="007249CE">
        <w:rPr>
          <w:rFonts w:ascii="Arial" w:eastAsia="MS Mincho" w:hAnsi="Arial" w:cs="Arial"/>
          <w:b/>
          <w:color w:val="1F4E79"/>
          <w:sz w:val="18"/>
          <w:szCs w:val="18"/>
        </w:rPr>
        <w:t>Current</w:t>
      </w:r>
      <w:proofErr w:type="spellEnd"/>
      <w:r w:rsidRPr="007249CE">
        <w:rPr>
          <w:rFonts w:ascii="Arial" w:eastAsia="MS Mincho" w:hAnsi="Arial" w:cs="Arial"/>
          <w:b/>
          <w:color w:val="1F4E79"/>
          <w:sz w:val="18"/>
          <w:szCs w:val="18"/>
        </w:rPr>
        <w:t xml:space="preserve"> </w:t>
      </w:r>
      <w:proofErr w:type="spellStart"/>
      <w:r w:rsidRPr="007249CE">
        <w:rPr>
          <w:rFonts w:ascii="Arial" w:eastAsia="MS Mincho" w:hAnsi="Arial" w:cs="Arial"/>
          <w:b/>
          <w:color w:val="1F4E79"/>
          <w:sz w:val="18"/>
          <w:szCs w:val="18"/>
        </w:rPr>
        <w:t>tax</w:t>
      </w:r>
      <w:proofErr w:type="spellEnd"/>
      <w:r w:rsidRPr="007249CE">
        <w:rPr>
          <w:rFonts w:ascii="Arial" w:eastAsia="MS Mincho" w:hAnsi="Arial" w:cs="Arial"/>
          <w:b/>
          <w:color w:val="1F4E79"/>
          <w:sz w:val="18"/>
          <w:szCs w:val="18"/>
        </w:rPr>
        <w:t xml:space="preserve"> </w:t>
      </w:r>
      <w:proofErr w:type="spellStart"/>
      <w:r w:rsidRPr="007249CE">
        <w:rPr>
          <w:rFonts w:ascii="Arial" w:eastAsia="MS Mincho" w:hAnsi="Arial" w:cs="Arial"/>
          <w:b/>
          <w:color w:val="1F4E79"/>
          <w:sz w:val="18"/>
          <w:szCs w:val="18"/>
        </w:rPr>
        <w:t>assets</w:t>
      </w:r>
      <w:proofErr w:type="spellEnd"/>
    </w:p>
    <w:p w14:paraId="3175A339" w14:textId="77777777" w:rsidR="007249CE" w:rsidRPr="007249CE" w:rsidRDefault="007249CE" w:rsidP="007249CE">
      <w:pPr>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r w:rsidRPr="007249CE">
        <w:rPr>
          <w:rFonts w:ascii="Arial" w:eastAsia="MS Mincho" w:hAnsi="Arial" w:cs="Arial"/>
          <w:b/>
          <w:sz w:val="14"/>
          <w:szCs w:val="22"/>
          <w:lang w:eastAsia="pt-BR"/>
        </w:rPr>
        <w:t xml:space="preserve">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7249CE" w:rsidRPr="007249CE" w14:paraId="2F0E2578" w14:textId="77777777" w:rsidTr="007249CE">
        <w:trPr>
          <w:trHeight w:val="238"/>
        </w:trPr>
        <w:tc>
          <w:tcPr>
            <w:tcW w:w="3261" w:type="dxa"/>
            <w:tcBorders>
              <w:top w:val="single" w:sz="2" w:space="0" w:color="1F4E79"/>
              <w:bottom w:val="nil"/>
            </w:tcBorders>
            <w:shd w:val="clear" w:color="auto" w:fill="auto"/>
          </w:tcPr>
          <w:p w14:paraId="09039FAC" w14:textId="77777777" w:rsidR="007249CE" w:rsidRPr="007249CE" w:rsidRDefault="007249CE" w:rsidP="007249CE">
            <w:pPr>
              <w:spacing w:after="0" w:line="276" w:lineRule="auto"/>
              <w:jc w:val="center"/>
              <w:rPr>
                <w:rFonts w:ascii="Arial" w:eastAsia="MS Mincho" w:hAnsi="Arial" w:cs="Arial"/>
                <w:b/>
                <w:sz w:val="18"/>
                <w:szCs w:val="18"/>
              </w:rPr>
            </w:pPr>
          </w:p>
        </w:tc>
        <w:tc>
          <w:tcPr>
            <w:tcW w:w="437" w:type="dxa"/>
            <w:tcBorders>
              <w:top w:val="single" w:sz="2" w:space="0" w:color="1F4E79"/>
              <w:bottom w:val="nil"/>
            </w:tcBorders>
            <w:shd w:val="clear" w:color="auto" w:fill="auto"/>
          </w:tcPr>
          <w:p w14:paraId="6B11346A" w14:textId="77777777" w:rsidR="007249CE" w:rsidRPr="007249CE" w:rsidRDefault="007249CE" w:rsidP="007249CE">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0E14C9C9" w14:textId="77777777" w:rsidR="007249CE" w:rsidRPr="007249CE" w:rsidRDefault="007249CE" w:rsidP="007249CE">
            <w:pPr>
              <w:spacing w:after="0" w:line="276" w:lineRule="auto"/>
              <w:jc w:val="center"/>
              <w:rPr>
                <w:rFonts w:ascii="Arial" w:eastAsia="MS Mincho" w:hAnsi="Arial" w:cs="Arial"/>
                <w:b/>
                <w:sz w:val="14"/>
                <w:szCs w:val="18"/>
              </w:rPr>
            </w:pPr>
            <w:proofErr w:type="spellStart"/>
            <w:r w:rsidRPr="007249CE">
              <w:rPr>
                <w:rFonts w:ascii="Arial" w:eastAsia="MS Mincho"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4E8DE07C" w14:textId="77777777" w:rsidR="007249CE" w:rsidRPr="007249CE" w:rsidRDefault="007249CE" w:rsidP="007249CE">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33E9E54A" w14:textId="77777777" w:rsidR="007249CE" w:rsidRPr="007249CE" w:rsidRDefault="007249CE" w:rsidP="007249CE">
            <w:pPr>
              <w:spacing w:after="0" w:line="276" w:lineRule="auto"/>
              <w:jc w:val="center"/>
              <w:rPr>
                <w:rFonts w:ascii="Arial" w:eastAsia="MS Mincho" w:hAnsi="Arial" w:cs="Arial"/>
                <w:b/>
                <w:sz w:val="18"/>
                <w:szCs w:val="18"/>
              </w:rPr>
            </w:pPr>
            <w:proofErr w:type="spellStart"/>
            <w:r w:rsidRPr="007249CE">
              <w:rPr>
                <w:rFonts w:ascii="Arial" w:eastAsia="MS Mincho" w:hAnsi="Arial" w:cs="Arial"/>
                <w:b/>
                <w:sz w:val="14"/>
                <w:szCs w:val="18"/>
              </w:rPr>
              <w:t>Consolidated</w:t>
            </w:r>
            <w:proofErr w:type="spellEnd"/>
          </w:p>
        </w:tc>
      </w:tr>
      <w:tr w:rsidR="007249CE" w:rsidRPr="007249CE" w14:paraId="54D7F3AA" w14:textId="77777777" w:rsidTr="007249CE">
        <w:trPr>
          <w:trHeight w:val="238"/>
        </w:trPr>
        <w:tc>
          <w:tcPr>
            <w:tcW w:w="3261" w:type="dxa"/>
            <w:tcBorders>
              <w:top w:val="nil"/>
              <w:bottom w:val="single" w:sz="2" w:space="0" w:color="1F4E79"/>
            </w:tcBorders>
            <w:shd w:val="clear" w:color="auto" w:fill="auto"/>
          </w:tcPr>
          <w:p w14:paraId="4CC0416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shd w:val="clear" w:color="auto" w:fill="auto"/>
          </w:tcPr>
          <w:p w14:paraId="069A4AA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682F165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31, 2024</w:t>
            </w:r>
          </w:p>
        </w:tc>
        <w:tc>
          <w:tcPr>
            <w:tcW w:w="1412" w:type="dxa"/>
            <w:tcBorders>
              <w:top w:val="single" w:sz="2" w:space="0" w:color="1F4E79"/>
              <w:bottom w:val="single" w:sz="2" w:space="0" w:color="1F4E79"/>
            </w:tcBorders>
            <w:shd w:val="clear" w:color="auto" w:fill="auto"/>
          </w:tcPr>
          <w:p w14:paraId="7179562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31, 2023</w:t>
            </w:r>
          </w:p>
        </w:tc>
        <w:tc>
          <w:tcPr>
            <w:tcW w:w="283" w:type="dxa"/>
            <w:tcBorders>
              <w:top w:val="nil"/>
              <w:bottom w:val="single" w:sz="2" w:space="0" w:color="1F4E79"/>
            </w:tcBorders>
            <w:shd w:val="clear" w:color="auto" w:fill="auto"/>
          </w:tcPr>
          <w:p w14:paraId="56EC1A9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3AC52B09" w14:textId="578370E2" w:rsidR="007249CE" w:rsidRPr="007249CE" w:rsidRDefault="007249CE" w:rsidP="007249CE">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31, 2024</w:t>
            </w:r>
          </w:p>
        </w:tc>
        <w:tc>
          <w:tcPr>
            <w:tcW w:w="1418" w:type="dxa"/>
            <w:tcBorders>
              <w:top w:val="single" w:sz="2" w:space="0" w:color="1F4E79"/>
              <w:bottom w:val="single" w:sz="2" w:space="0" w:color="1F4E79"/>
            </w:tcBorders>
            <w:shd w:val="clear" w:color="auto" w:fill="auto"/>
          </w:tcPr>
          <w:p w14:paraId="3910CEB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31, 2023</w:t>
            </w:r>
          </w:p>
        </w:tc>
      </w:tr>
      <w:tr w:rsidR="007249CE" w:rsidRPr="007249CE" w14:paraId="544904CA" w14:textId="77777777" w:rsidTr="007249CE">
        <w:trPr>
          <w:trHeight w:val="238"/>
        </w:trPr>
        <w:tc>
          <w:tcPr>
            <w:tcW w:w="3261" w:type="dxa"/>
            <w:tcBorders>
              <w:top w:val="single" w:sz="2" w:space="0" w:color="1F4E79"/>
              <w:bottom w:val="nil"/>
            </w:tcBorders>
            <w:shd w:val="clear" w:color="auto" w:fill="auto"/>
          </w:tcPr>
          <w:p w14:paraId="7BAB93C6" w14:textId="77777777" w:rsidR="007249CE" w:rsidRPr="007249CE" w:rsidRDefault="007249CE" w:rsidP="007249CE">
            <w:pPr>
              <w:keepNext/>
              <w:keepLines/>
              <w:spacing w:before="40" w:after="40" w:line="240" w:lineRule="auto"/>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val="en-US" w:eastAsia="pt-BR"/>
              </w:rPr>
              <w:t>Current Assets</w:t>
            </w:r>
          </w:p>
        </w:tc>
        <w:tc>
          <w:tcPr>
            <w:tcW w:w="437" w:type="dxa"/>
            <w:tcBorders>
              <w:top w:val="single" w:sz="2" w:space="0" w:color="1F4E79"/>
              <w:bottom w:val="nil"/>
            </w:tcBorders>
            <w:shd w:val="clear" w:color="auto" w:fill="auto"/>
          </w:tcPr>
          <w:p w14:paraId="00511D0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nil"/>
            </w:tcBorders>
            <w:shd w:val="clear" w:color="auto" w:fill="auto"/>
            <w:vAlign w:val="center"/>
          </w:tcPr>
          <w:p w14:paraId="42D34007"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8,909</w:t>
            </w:r>
          </w:p>
        </w:tc>
        <w:tc>
          <w:tcPr>
            <w:tcW w:w="1412" w:type="dxa"/>
            <w:tcBorders>
              <w:top w:val="single" w:sz="2" w:space="0" w:color="1F4E79"/>
              <w:bottom w:val="nil"/>
            </w:tcBorders>
            <w:shd w:val="clear" w:color="auto" w:fill="auto"/>
            <w:vAlign w:val="center"/>
          </w:tcPr>
          <w:p w14:paraId="3D4C2602"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18,827</w:t>
            </w:r>
          </w:p>
        </w:tc>
        <w:tc>
          <w:tcPr>
            <w:tcW w:w="283" w:type="dxa"/>
            <w:tcBorders>
              <w:top w:val="single" w:sz="2" w:space="0" w:color="1F4E79"/>
              <w:bottom w:val="nil"/>
            </w:tcBorders>
            <w:shd w:val="clear" w:color="auto" w:fill="auto"/>
            <w:vAlign w:val="center"/>
          </w:tcPr>
          <w:p w14:paraId="2D5AFE4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nil"/>
            </w:tcBorders>
            <w:shd w:val="clear" w:color="auto" w:fill="auto"/>
            <w:vAlign w:val="center"/>
          </w:tcPr>
          <w:p w14:paraId="16DADF8A"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8,909</w:t>
            </w:r>
          </w:p>
        </w:tc>
        <w:tc>
          <w:tcPr>
            <w:tcW w:w="1418" w:type="dxa"/>
            <w:tcBorders>
              <w:top w:val="single" w:sz="2" w:space="0" w:color="1F4E79"/>
              <w:bottom w:val="nil"/>
            </w:tcBorders>
            <w:shd w:val="clear" w:color="auto" w:fill="auto"/>
            <w:vAlign w:val="center"/>
          </w:tcPr>
          <w:p w14:paraId="65BE6581"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42,584</w:t>
            </w:r>
          </w:p>
        </w:tc>
      </w:tr>
      <w:tr w:rsidR="007249CE" w:rsidRPr="007249CE" w14:paraId="207481ED" w14:textId="77777777" w:rsidTr="007249CE">
        <w:trPr>
          <w:trHeight w:val="238"/>
        </w:trPr>
        <w:tc>
          <w:tcPr>
            <w:tcW w:w="3261" w:type="dxa"/>
            <w:tcBorders>
              <w:top w:val="nil"/>
              <w:bottom w:val="nil"/>
            </w:tcBorders>
            <w:shd w:val="clear" w:color="auto" w:fill="auto"/>
          </w:tcPr>
          <w:p w14:paraId="1049AE0D" w14:textId="77777777" w:rsidR="007249CE" w:rsidRPr="007249CE" w:rsidRDefault="007249CE" w:rsidP="007249CE">
            <w:pPr>
              <w:keepNext/>
              <w:keepLines/>
              <w:spacing w:before="40" w:after="40" w:line="240" w:lineRule="auto"/>
              <w:ind w:left="113"/>
              <w:rPr>
                <w:rFonts w:ascii="Arial" w:eastAsia="Times New Roman" w:hAnsi="Arial" w:cs="Arial"/>
                <w:b/>
                <w:spacing w:val="-2"/>
                <w:sz w:val="14"/>
                <w:szCs w:val="18"/>
                <w:vertAlign w:val="superscript"/>
                <w:lang w:val="en-US" w:eastAsia="pt-BR"/>
              </w:rPr>
            </w:pPr>
            <w:proofErr w:type="spellStart"/>
            <w:r w:rsidRPr="007249CE">
              <w:rPr>
                <w:rFonts w:ascii="Arial" w:eastAsia="Times New Roman" w:hAnsi="Arial" w:cs="Arial"/>
                <w:spacing w:val="-2"/>
                <w:sz w:val="14"/>
                <w:szCs w:val="14"/>
                <w:lang w:eastAsia="pt-BR"/>
              </w:rPr>
              <w:t>Antecipation</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of</w:t>
            </w:r>
            <w:proofErr w:type="spellEnd"/>
            <w:r w:rsidRPr="007249CE">
              <w:rPr>
                <w:rFonts w:ascii="Arial" w:eastAsia="Times New Roman" w:hAnsi="Arial" w:cs="Arial"/>
                <w:spacing w:val="-2"/>
                <w:sz w:val="14"/>
                <w:szCs w:val="14"/>
                <w:lang w:eastAsia="pt-BR"/>
              </w:rPr>
              <w:t xml:space="preserve"> IR e CS</w:t>
            </w:r>
            <w:r w:rsidRPr="007249CE">
              <w:rPr>
                <w:rFonts w:ascii="Arial" w:eastAsia="Times New Roman" w:hAnsi="Arial" w:cs="Arial"/>
                <w:spacing w:val="-2"/>
                <w:sz w:val="14"/>
                <w:szCs w:val="14"/>
                <w:vertAlign w:val="superscript"/>
                <w:lang w:eastAsia="pt-BR"/>
              </w:rPr>
              <w:t xml:space="preserve"> </w:t>
            </w:r>
          </w:p>
        </w:tc>
        <w:tc>
          <w:tcPr>
            <w:tcW w:w="437" w:type="dxa"/>
            <w:tcBorders>
              <w:top w:val="nil"/>
              <w:bottom w:val="nil"/>
            </w:tcBorders>
            <w:shd w:val="clear" w:color="auto" w:fill="auto"/>
          </w:tcPr>
          <w:p w14:paraId="75A6D51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nil"/>
              <w:bottom w:val="nil"/>
            </w:tcBorders>
            <w:shd w:val="clear" w:color="auto" w:fill="auto"/>
            <w:vAlign w:val="center"/>
          </w:tcPr>
          <w:p w14:paraId="1C494E7D"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spacing w:val="-2"/>
                <w:sz w:val="14"/>
                <w:szCs w:val="14"/>
                <w:lang w:eastAsia="pt-BR"/>
              </w:rPr>
              <w:t>9,829</w:t>
            </w:r>
          </w:p>
        </w:tc>
        <w:tc>
          <w:tcPr>
            <w:tcW w:w="1412" w:type="dxa"/>
            <w:tcBorders>
              <w:top w:val="nil"/>
              <w:bottom w:val="nil"/>
            </w:tcBorders>
            <w:shd w:val="clear" w:color="auto" w:fill="auto"/>
            <w:vAlign w:val="center"/>
          </w:tcPr>
          <w:p w14:paraId="4354CC61"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spacing w:val="-2"/>
                <w:sz w:val="14"/>
                <w:szCs w:val="14"/>
                <w:lang w:eastAsia="pt-BR"/>
              </w:rPr>
              <w:t>20,790</w:t>
            </w:r>
          </w:p>
        </w:tc>
        <w:tc>
          <w:tcPr>
            <w:tcW w:w="283" w:type="dxa"/>
            <w:tcBorders>
              <w:top w:val="nil"/>
              <w:bottom w:val="nil"/>
            </w:tcBorders>
            <w:shd w:val="clear" w:color="auto" w:fill="auto"/>
            <w:vAlign w:val="center"/>
          </w:tcPr>
          <w:p w14:paraId="27317D3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nil"/>
              <w:bottom w:val="nil"/>
            </w:tcBorders>
            <w:shd w:val="clear" w:color="auto" w:fill="auto"/>
            <w:vAlign w:val="center"/>
          </w:tcPr>
          <w:p w14:paraId="309D172C"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spacing w:val="-2"/>
                <w:sz w:val="14"/>
                <w:szCs w:val="14"/>
                <w:lang w:eastAsia="pt-BR"/>
              </w:rPr>
              <w:t>54,545</w:t>
            </w:r>
          </w:p>
        </w:tc>
        <w:tc>
          <w:tcPr>
            <w:tcW w:w="1418" w:type="dxa"/>
            <w:tcBorders>
              <w:top w:val="nil"/>
              <w:bottom w:val="nil"/>
            </w:tcBorders>
            <w:shd w:val="clear" w:color="auto" w:fill="auto"/>
            <w:vAlign w:val="center"/>
          </w:tcPr>
          <w:p w14:paraId="158EC050" w14:textId="77777777" w:rsidR="007249CE" w:rsidRPr="004C5A7A"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spacing w:val="-2"/>
                <w:sz w:val="14"/>
                <w:szCs w:val="14"/>
                <w:lang w:eastAsia="pt-BR"/>
              </w:rPr>
              <w:t>129,812</w:t>
            </w:r>
          </w:p>
        </w:tc>
      </w:tr>
      <w:tr w:rsidR="007249CE" w:rsidRPr="007249CE" w14:paraId="00643C50" w14:textId="77777777" w:rsidTr="007249CE">
        <w:trPr>
          <w:trHeight w:val="238"/>
        </w:trPr>
        <w:tc>
          <w:tcPr>
            <w:tcW w:w="3261" w:type="dxa"/>
            <w:tcBorders>
              <w:top w:val="nil"/>
              <w:bottom w:val="nil"/>
            </w:tcBorders>
            <w:shd w:val="clear" w:color="auto" w:fill="auto"/>
          </w:tcPr>
          <w:p w14:paraId="30A911CD"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Current</w:t>
            </w:r>
            <w:proofErr w:type="spellEnd"/>
            <w:r w:rsidRPr="007249CE">
              <w:rPr>
                <w:rFonts w:ascii="Arial" w:eastAsia="Times New Roman" w:hAnsi="Arial" w:cs="Arial"/>
                <w:spacing w:val="-2"/>
                <w:sz w:val="14"/>
                <w:szCs w:val="14"/>
                <w:lang w:eastAsia="pt-BR"/>
              </w:rPr>
              <w:t xml:space="preserve"> taxes </w:t>
            </w:r>
            <w:proofErr w:type="spellStart"/>
            <w:r w:rsidRPr="007249CE">
              <w:rPr>
                <w:rFonts w:ascii="Arial" w:eastAsia="Times New Roman" w:hAnsi="Arial" w:cs="Arial"/>
                <w:spacing w:val="-2"/>
                <w:sz w:val="14"/>
                <w:szCs w:val="14"/>
                <w:lang w:eastAsia="pt-BR"/>
              </w:rPr>
              <w:t>deducted</w:t>
            </w:r>
            <w:proofErr w:type="spellEnd"/>
            <w:r w:rsidRPr="007249CE">
              <w:rPr>
                <w:rFonts w:ascii="Arial" w:eastAsia="Times New Roman" w:hAnsi="Arial" w:cs="Arial"/>
                <w:spacing w:val="-2"/>
                <w:sz w:val="14"/>
                <w:szCs w:val="14"/>
                <w:lang w:eastAsia="pt-BR"/>
              </w:rPr>
              <w:t>/offset</w:t>
            </w:r>
          </w:p>
        </w:tc>
        <w:tc>
          <w:tcPr>
            <w:tcW w:w="437" w:type="dxa"/>
            <w:tcBorders>
              <w:top w:val="nil"/>
              <w:bottom w:val="nil"/>
            </w:tcBorders>
            <w:shd w:val="clear" w:color="auto" w:fill="auto"/>
          </w:tcPr>
          <w:p w14:paraId="611CC1DC"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2745ED57"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(920)</w:t>
            </w:r>
          </w:p>
        </w:tc>
        <w:tc>
          <w:tcPr>
            <w:tcW w:w="1412" w:type="dxa"/>
            <w:tcBorders>
              <w:top w:val="nil"/>
              <w:bottom w:val="nil"/>
            </w:tcBorders>
            <w:shd w:val="clear" w:color="auto" w:fill="auto"/>
            <w:vAlign w:val="center"/>
          </w:tcPr>
          <w:p w14:paraId="40AEE2F8"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(1,963)</w:t>
            </w:r>
          </w:p>
        </w:tc>
        <w:tc>
          <w:tcPr>
            <w:tcW w:w="283" w:type="dxa"/>
            <w:tcBorders>
              <w:top w:val="nil"/>
              <w:bottom w:val="nil"/>
            </w:tcBorders>
            <w:shd w:val="clear" w:color="auto" w:fill="auto"/>
            <w:vAlign w:val="center"/>
          </w:tcPr>
          <w:p w14:paraId="10461F0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6D22498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(45,636)</w:t>
            </w:r>
          </w:p>
        </w:tc>
        <w:tc>
          <w:tcPr>
            <w:tcW w:w="1418" w:type="dxa"/>
            <w:tcBorders>
              <w:top w:val="nil"/>
              <w:bottom w:val="nil"/>
            </w:tcBorders>
            <w:shd w:val="clear" w:color="auto" w:fill="auto"/>
            <w:vAlign w:val="center"/>
          </w:tcPr>
          <w:p w14:paraId="576CB4E3"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(87,228)</w:t>
            </w:r>
          </w:p>
        </w:tc>
      </w:tr>
      <w:tr w:rsidR="007249CE" w:rsidRPr="007249CE" w14:paraId="65655FC8" w14:textId="77777777" w:rsidTr="007249CE">
        <w:trPr>
          <w:trHeight w:val="238"/>
        </w:trPr>
        <w:tc>
          <w:tcPr>
            <w:tcW w:w="3261" w:type="dxa"/>
            <w:tcBorders>
              <w:top w:val="nil"/>
              <w:bottom w:val="nil"/>
            </w:tcBorders>
            <w:shd w:val="clear" w:color="auto" w:fill="auto"/>
          </w:tcPr>
          <w:p w14:paraId="206A865B" w14:textId="77777777" w:rsidR="007249CE" w:rsidRPr="007249CE" w:rsidRDefault="007249CE" w:rsidP="007249CE">
            <w:pPr>
              <w:keepNext/>
              <w:keepLines/>
              <w:spacing w:before="40" w:after="40" w:line="240" w:lineRule="auto"/>
              <w:ind w:left="177" w:hanging="170"/>
              <w:rPr>
                <w:rFonts w:ascii="Arial" w:eastAsia="Times New Roman" w:hAnsi="Arial" w:cs="Arial"/>
                <w:b/>
                <w:spacing w:val="-2"/>
                <w:sz w:val="14"/>
                <w:szCs w:val="14"/>
                <w:lang w:eastAsia="pt-BR"/>
              </w:rPr>
            </w:pPr>
            <w:r w:rsidRPr="007249CE">
              <w:rPr>
                <w:rFonts w:ascii="Arial" w:eastAsia="Times New Roman" w:hAnsi="Arial" w:cs="Arial"/>
                <w:b/>
                <w:spacing w:val="-2"/>
                <w:sz w:val="14"/>
                <w:szCs w:val="18"/>
                <w:lang w:val="en-US" w:eastAsia="pt-BR"/>
              </w:rPr>
              <w:t>Non-Current Assets</w:t>
            </w:r>
          </w:p>
        </w:tc>
        <w:tc>
          <w:tcPr>
            <w:tcW w:w="437" w:type="dxa"/>
            <w:tcBorders>
              <w:top w:val="nil"/>
              <w:bottom w:val="nil"/>
            </w:tcBorders>
            <w:shd w:val="clear" w:color="auto" w:fill="auto"/>
          </w:tcPr>
          <w:p w14:paraId="31B11ADE"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nil"/>
            </w:tcBorders>
            <w:shd w:val="clear" w:color="auto" w:fill="auto"/>
            <w:vAlign w:val="center"/>
          </w:tcPr>
          <w:p w14:paraId="7260754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115,651</w:t>
            </w:r>
          </w:p>
        </w:tc>
        <w:tc>
          <w:tcPr>
            <w:tcW w:w="1412" w:type="dxa"/>
            <w:tcBorders>
              <w:top w:val="nil"/>
              <w:bottom w:val="nil"/>
            </w:tcBorders>
            <w:shd w:val="clear" w:color="auto" w:fill="auto"/>
            <w:vAlign w:val="center"/>
          </w:tcPr>
          <w:p w14:paraId="79806C0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93,591</w:t>
            </w:r>
          </w:p>
        </w:tc>
        <w:tc>
          <w:tcPr>
            <w:tcW w:w="283" w:type="dxa"/>
            <w:tcBorders>
              <w:top w:val="nil"/>
              <w:bottom w:val="nil"/>
            </w:tcBorders>
            <w:shd w:val="clear" w:color="auto" w:fill="auto"/>
            <w:vAlign w:val="center"/>
          </w:tcPr>
          <w:p w14:paraId="4EBD21C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nil"/>
            </w:tcBorders>
            <w:shd w:val="clear" w:color="auto" w:fill="auto"/>
            <w:vAlign w:val="center"/>
          </w:tcPr>
          <w:p w14:paraId="48C5DC62"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144,477</w:t>
            </w:r>
          </w:p>
        </w:tc>
        <w:tc>
          <w:tcPr>
            <w:tcW w:w="1418" w:type="dxa"/>
            <w:tcBorders>
              <w:top w:val="nil"/>
              <w:bottom w:val="nil"/>
            </w:tcBorders>
            <w:shd w:val="clear" w:color="auto" w:fill="auto"/>
            <w:vAlign w:val="center"/>
          </w:tcPr>
          <w:p w14:paraId="69A47690"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100,967</w:t>
            </w:r>
          </w:p>
        </w:tc>
      </w:tr>
      <w:tr w:rsidR="007249CE" w:rsidRPr="007249CE" w14:paraId="1BA1A35F" w14:textId="77777777" w:rsidTr="007249CE">
        <w:trPr>
          <w:trHeight w:val="238"/>
        </w:trPr>
        <w:tc>
          <w:tcPr>
            <w:tcW w:w="3261" w:type="dxa"/>
            <w:tcBorders>
              <w:top w:val="nil"/>
              <w:bottom w:val="nil"/>
            </w:tcBorders>
            <w:shd w:val="clear" w:color="auto" w:fill="auto"/>
          </w:tcPr>
          <w:p w14:paraId="7D1863F4"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 xml:space="preserve">Taxes </w:t>
            </w:r>
            <w:proofErr w:type="spellStart"/>
            <w:r w:rsidRPr="007249CE">
              <w:rPr>
                <w:rFonts w:ascii="Arial" w:eastAsia="Times New Roman" w:hAnsi="Arial" w:cs="Arial"/>
                <w:spacing w:val="-2"/>
                <w:sz w:val="14"/>
                <w:szCs w:val="14"/>
                <w:lang w:eastAsia="pt-BR"/>
              </w:rPr>
              <w:t>to</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compensate</w:t>
            </w:r>
            <w:proofErr w:type="spellEnd"/>
          </w:p>
        </w:tc>
        <w:tc>
          <w:tcPr>
            <w:tcW w:w="437" w:type="dxa"/>
            <w:tcBorders>
              <w:top w:val="nil"/>
              <w:bottom w:val="nil"/>
            </w:tcBorders>
            <w:shd w:val="clear" w:color="auto" w:fill="auto"/>
          </w:tcPr>
          <w:p w14:paraId="2BBF81DA"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6CE5458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115,831</w:t>
            </w:r>
          </w:p>
        </w:tc>
        <w:tc>
          <w:tcPr>
            <w:tcW w:w="1412" w:type="dxa"/>
            <w:tcBorders>
              <w:top w:val="nil"/>
              <w:bottom w:val="nil"/>
            </w:tcBorders>
            <w:shd w:val="clear" w:color="auto" w:fill="auto"/>
            <w:vAlign w:val="center"/>
          </w:tcPr>
          <w:p w14:paraId="32AA7616"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93,738</w:t>
            </w:r>
          </w:p>
        </w:tc>
        <w:tc>
          <w:tcPr>
            <w:tcW w:w="283" w:type="dxa"/>
            <w:tcBorders>
              <w:top w:val="nil"/>
              <w:bottom w:val="nil"/>
            </w:tcBorders>
            <w:shd w:val="clear" w:color="auto" w:fill="auto"/>
            <w:vAlign w:val="center"/>
          </w:tcPr>
          <w:p w14:paraId="5080FCA3"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7F68E076"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145,913</w:t>
            </w:r>
          </w:p>
        </w:tc>
        <w:tc>
          <w:tcPr>
            <w:tcW w:w="1418" w:type="dxa"/>
            <w:tcBorders>
              <w:top w:val="nil"/>
              <w:bottom w:val="nil"/>
            </w:tcBorders>
            <w:shd w:val="clear" w:color="auto" w:fill="auto"/>
            <w:vAlign w:val="center"/>
          </w:tcPr>
          <w:p w14:paraId="75781A9B"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101,114</w:t>
            </w:r>
          </w:p>
        </w:tc>
      </w:tr>
      <w:tr w:rsidR="007249CE" w:rsidRPr="007249CE" w14:paraId="3D9BF466" w14:textId="77777777" w:rsidTr="007249CE">
        <w:trPr>
          <w:trHeight w:val="238"/>
        </w:trPr>
        <w:tc>
          <w:tcPr>
            <w:tcW w:w="3261" w:type="dxa"/>
            <w:tcBorders>
              <w:top w:val="nil"/>
              <w:bottom w:val="nil"/>
            </w:tcBorders>
            <w:shd w:val="clear" w:color="auto" w:fill="auto"/>
          </w:tcPr>
          <w:p w14:paraId="23053F1E" w14:textId="77777777" w:rsidR="007249CE" w:rsidRPr="007249CE" w:rsidRDefault="007249CE" w:rsidP="007249CE">
            <w:pPr>
              <w:keepNext/>
              <w:keepLines/>
              <w:spacing w:before="40" w:after="40" w:line="240" w:lineRule="auto"/>
              <w:ind w:left="283" w:hanging="170"/>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Current</w:t>
            </w:r>
            <w:proofErr w:type="spellEnd"/>
            <w:r w:rsidRPr="007249CE">
              <w:rPr>
                <w:rFonts w:ascii="Arial" w:eastAsia="Times New Roman" w:hAnsi="Arial" w:cs="Arial"/>
                <w:spacing w:val="-2"/>
                <w:sz w:val="14"/>
                <w:szCs w:val="14"/>
                <w:lang w:eastAsia="pt-BR"/>
              </w:rPr>
              <w:t xml:space="preserve"> taxes </w:t>
            </w:r>
            <w:proofErr w:type="spellStart"/>
            <w:r w:rsidRPr="007249CE">
              <w:rPr>
                <w:rFonts w:ascii="Arial" w:eastAsia="Times New Roman" w:hAnsi="Arial" w:cs="Arial"/>
                <w:spacing w:val="-2"/>
                <w:sz w:val="14"/>
                <w:szCs w:val="14"/>
                <w:lang w:eastAsia="pt-BR"/>
              </w:rPr>
              <w:t>deducted</w:t>
            </w:r>
            <w:proofErr w:type="spellEnd"/>
            <w:r w:rsidRPr="007249CE">
              <w:rPr>
                <w:rFonts w:ascii="Arial" w:eastAsia="Times New Roman" w:hAnsi="Arial" w:cs="Arial"/>
                <w:spacing w:val="-2"/>
                <w:sz w:val="14"/>
                <w:szCs w:val="14"/>
                <w:lang w:eastAsia="pt-BR"/>
              </w:rPr>
              <w:t>/offset</w:t>
            </w:r>
          </w:p>
        </w:tc>
        <w:tc>
          <w:tcPr>
            <w:tcW w:w="437" w:type="dxa"/>
            <w:tcBorders>
              <w:top w:val="nil"/>
              <w:bottom w:val="nil"/>
            </w:tcBorders>
            <w:shd w:val="clear" w:color="auto" w:fill="auto"/>
          </w:tcPr>
          <w:p w14:paraId="1B531FF1"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5EFD234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(180)</w:t>
            </w:r>
          </w:p>
        </w:tc>
        <w:tc>
          <w:tcPr>
            <w:tcW w:w="1412" w:type="dxa"/>
            <w:tcBorders>
              <w:top w:val="nil"/>
              <w:bottom w:val="nil"/>
            </w:tcBorders>
            <w:shd w:val="clear" w:color="auto" w:fill="auto"/>
            <w:vAlign w:val="center"/>
          </w:tcPr>
          <w:p w14:paraId="304087D5"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(147)</w:t>
            </w:r>
          </w:p>
        </w:tc>
        <w:tc>
          <w:tcPr>
            <w:tcW w:w="283" w:type="dxa"/>
            <w:tcBorders>
              <w:top w:val="nil"/>
              <w:bottom w:val="nil"/>
            </w:tcBorders>
            <w:shd w:val="clear" w:color="auto" w:fill="auto"/>
            <w:vAlign w:val="center"/>
          </w:tcPr>
          <w:p w14:paraId="36A7D31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5F59011A"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(1,436)</w:t>
            </w:r>
          </w:p>
        </w:tc>
        <w:tc>
          <w:tcPr>
            <w:tcW w:w="1418" w:type="dxa"/>
            <w:tcBorders>
              <w:top w:val="nil"/>
              <w:bottom w:val="nil"/>
            </w:tcBorders>
            <w:shd w:val="clear" w:color="auto" w:fill="auto"/>
            <w:vAlign w:val="center"/>
          </w:tcPr>
          <w:p w14:paraId="748C18A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(147)</w:t>
            </w:r>
          </w:p>
        </w:tc>
      </w:tr>
      <w:tr w:rsidR="007249CE" w:rsidRPr="007249CE" w14:paraId="531F7F6C" w14:textId="77777777" w:rsidTr="007249CE">
        <w:trPr>
          <w:trHeight w:val="238"/>
        </w:trPr>
        <w:tc>
          <w:tcPr>
            <w:tcW w:w="3261" w:type="dxa"/>
            <w:tcBorders>
              <w:top w:val="nil"/>
              <w:bottom w:val="single" w:sz="2" w:space="0" w:color="1F4E79"/>
            </w:tcBorders>
            <w:shd w:val="clear" w:color="auto" w:fill="auto"/>
          </w:tcPr>
          <w:p w14:paraId="22FBCC97"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7249CE">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shd w:val="clear" w:color="auto" w:fill="auto"/>
          </w:tcPr>
          <w:p w14:paraId="30E48709"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4A1D375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124,560</w:t>
            </w:r>
          </w:p>
        </w:tc>
        <w:tc>
          <w:tcPr>
            <w:tcW w:w="1412" w:type="dxa"/>
            <w:tcBorders>
              <w:top w:val="nil"/>
              <w:bottom w:val="single" w:sz="2" w:space="0" w:color="1F4E79"/>
            </w:tcBorders>
            <w:shd w:val="clear" w:color="auto" w:fill="auto"/>
            <w:vAlign w:val="center"/>
          </w:tcPr>
          <w:p w14:paraId="5DE1D57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112,418</w:t>
            </w:r>
          </w:p>
        </w:tc>
        <w:tc>
          <w:tcPr>
            <w:tcW w:w="283" w:type="dxa"/>
            <w:tcBorders>
              <w:top w:val="nil"/>
              <w:bottom w:val="single" w:sz="2" w:space="0" w:color="1F4E79"/>
            </w:tcBorders>
            <w:shd w:val="clear" w:color="auto" w:fill="auto"/>
            <w:vAlign w:val="center"/>
          </w:tcPr>
          <w:p w14:paraId="3BC7C2B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79851FE5"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153,386</w:t>
            </w:r>
          </w:p>
        </w:tc>
        <w:tc>
          <w:tcPr>
            <w:tcW w:w="1418" w:type="dxa"/>
            <w:tcBorders>
              <w:top w:val="nil"/>
              <w:bottom w:val="single" w:sz="2" w:space="0" w:color="1F4E79"/>
            </w:tcBorders>
            <w:shd w:val="clear" w:color="auto" w:fill="auto"/>
            <w:vAlign w:val="center"/>
          </w:tcPr>
          <w:p w14:paraId="0325905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143,551</w:t>
            </w:r>
          </w:p>
        </w:tc>
      </w:tr>
    </w:tbl>
    <w:p w14:paraId="7A682AF3" w14:textId="77777777" w:rsidR="007249CE" w:rsidRPr="007249CE" w:rsidRDefault="007249CE" w:rsidP="007249CE">
      <w:pPr>
        <w:keepNext/>
        <w:keepLines/>
        <w:spacing w:after="40" w:line="240" w:lineRule="auto"/>
        <w:ind w:left="284" w:hanging="284"/>
        <w:rPr>
          <w:rFonts w:ascii="Arial" w:eastAsia="MS Mincho" w:hAnsi="Arial" w:cs="Arial"/>
          <w:b/>
          <w:color w:val="1F4E79"/>
          <w:sz w:val="20"/>
          <w:szCs w:val="20"/>
          <w:lang w:val="en-US"/>
        </w:rPr>
      </w:pPr>
    </w:p>
    <w:p w14:paraId="09449F85" w14:textId="77777777" w:rsidR="007249CE" w:rsidRPr="007249CE" w:rsidRDefault="007249CE" w:rsidP="007249CE">
      <w:pPr>
        <w:keepNext/>
        <w:keepLines/>
        <w:spacing w:after="40" w:line="240" w:lineRule="auto"/>
        <w:ind w:left="284" w:hanging="284"/>
        <w:rPr>
          <w:rFonts w:ascii="Arial" w:eastAsia="MS Mincho" w:hAnsi="Arial" w:cs="Arial"/>
          <w:b/>
          <w:color w:val="1F4E79"/>
          <w:sz w:val="18"/>
          <w:szCs w:val="18"/>
        </w:rPr>
      </w:pPr>
      <w:r w:rsidRPr="007249CE">
        <w:rPr>
          <w:rFonts w:ascii="Arial" w:eastAsia="MS Mincho" w:hAnsi="Arial" w:cs="Arial"/>
          <w:b/>
          <w:color w:val="1F4E79"/>
          <w:sz w:val="20"/>
          <w:szCs w:val="20"/>
        </w:rPr>
        <w:t xml:space="preserve">e) </w:t>
      </w:r>
      <w:proofErr w:type="spellStart"/>
      <w:r w:rsidRPr="007249CE">
        <w:rPr>
          <w:rFonts w:ascii="Arial" w:eastAsia="MS Mincho" w:hAnsi="Arial" w:cs="Arial"/>
          <w:b/>
          <w:color w:val="1F4E79"/>
          <w:sz w:val="18"/>
          <w:szCs w:val="18"/>
        </w:rPr>
        <w:t>Deferred</w:t>
      </w:r>
      <w:proofErr w:type="spellEnd"/>
      <w:r w:rsidRPr="007249CE">
        <w:rPr>
          <w:rFonts w:ascii="Arial" w:eastAsia="MS Mincho" w:hAnsi="Arial" w:cs="Arial"/>
          <w:b/>
          <w:color w:val="1F4E79"/>
          <w:sz w:val="18"/>
          <w:szCs w:val="18"/>
        </w:rPr>
        <w:t xml:space="preserve"> </w:t>
      </w:r>
      <w:proofErr w:type="spellStart"/>
      <w:r w:rsidRPr="007249CE">
        <w:rPr>
          <w:rFonts w:ascii="Arial" w:eastAsia="MS Mincho" w:hAnsi="Arial" w:cs="Arial"/>
          <w:b/>
          <w:color w:val="1F4E79"/>
          <w:sz w:val="18"/>
          <w:szCs w:val="18"/>
        </w:rPr>
        <w:t>Tax</w:t>
      </w:r>
      <w:proofErr w:type="spellEnd"/>
      <w:r w:rsidRPr="007249CE">
        <w:rPr>
          <w:rFonts w:ascii="Arial" w:eastAsia="MS Mincho" w:hAnsi="Arial" w:cs="Arial"/>
          <w:b/>
          <w:color w:val="1F4E79"/>
          <w:sz w:val="18"/>
          <w:szCs w:val="18"/>
        </w:rPr>
        <w:t xml:space="preserve"> </w:t>
      </w:r>
      <w:proofErr w:type="spellStart"/>
      <w:r w:rsidRPr="007249CE">
        <w:rPr>
          <w:rFonts w:ascii="Arial" w:eastAsia="MS Mincho" w:hAnsi="Arial" w:cs="Arial"/>
          <w:b/>
          <w:color w:val="1F4E79"/>
          <w:sz w:val="18"/>
          <w:szCs w:val="18"/>
        </w:rPr>
        <w:t>Assets</w:t>
      </w:r>
      <w:proofErr w:type="spellEnd"/>
    </w:p>
    <w:p w14:paraId="28A872E1" w14:textId="77777777" w:rsidR="007249CE" w:rsidRPr="007249CE" w:rsidRDefault="007249CE" w:rsidP="007249CE">
      <w:pPr>
        <w:keepNext/>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R</w:t>
      </w:r>
      <w:bookmarkStart w:id="72" w:name="_Hlk180591266"/>
      <w:r w:rsidRPr="007249CE">
        <w:rPr>
          <w:rFonts w:ascii="Arial" w:eastAsia="MS Mincho" w:hAnsi="Arial" w:cs="Arial"/>
          <w:b/>
          <w:sz w:val="14"/>
          <w:szCs w:val="22"/>
          <w:lang w:eastAsia="pt-BR"/>
        </w:rPr>
        <w:t xml:space="preserve">$ </w:t>
      </w:r>
      <w:proofErr w:type="spellStart"/>
      <w:r w:rsidRPr="007249CE">
        <w:rPr>
          <w:rFonts w:ascii="Arial" w:eastAsia="MS Mincho" w:hAnsi="Arial" w:cs="Arial"/>
          <w:b/>
          <w:sz w:val="14"/>
          <w:szCs w:val="22"/>
          <w:lang w:eastAsia="pt-BR"/>
        </w:rPr>
        <w:t>thousand</w:t>
      </w:r>
      <w:bookmarkEnd w:id="72"/>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249CE" w:rsidRPr="007249CE" w14:paraId="775A6ECC" w14:textId="77777777" w:rsidTr="007249CE">
        <w:trPr>
          <w:trHeight w:val="238"/>
        </w:trPr>
        <w:tc>
          <w:tcPr>
            <w:tcW w:w="3094" w:type="dxa"/>
            <w:tcBorders>
              <w:top w:val="single" w:sz="2" w:space="0" w:color="1F4E79"/>
              <w:bottom w:val="nil"/>
            </w:tcBorders>
            <w:shd w:val="clear" w:color="auto" w:fill="auto"/>
            <w:vAlign w:val="center"/>
          </w:tcPr>
          <w:p w14:paraId="614BF91A" w14:textId="77777777" w:rsidR="007249CE" w:rsidRPr="007249CE" w:rsidRDefault="007249CE" w:rsidP="007249CE">
            <w:pPr>
              <w:keepNext/>
              <w:keepLines/>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3AA052B5" w14:textId="77777777" w:rsidR="007249CE" w:rsidRPr="007249CE" w:rsidRDefault="007249CE" w:rsidP="007249CE">
            <w:pPr>
              <w:keepNext/>
              <w:keepLines/>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3391B1B0" w14:textId="77777777" w:rsidR="007249CE" w:rsidRPr="007249CE" w:rsidRDefault="007249CE" w:rsidP="007249CE">
            <w:pPr>
              <w:keepNext/>
              <w:keepLines/>
              <w:spacing w:after="0" w:line="276" w:lineRule="auto"/>
              <w:jc w:val="center"/>
              <w:rPr>
                <w:rFonts w:ascii="Arial" w:eastAsia="MS Mincho" w:hAnsi="Arial" w:cs="Arial"/>
                <w:b/>
                <w:sz w:val="14"/>
                <w:szCs w:val="14"/>
              </w:rPr>
            </w:pPr>
            <w:proofErr w:type="spellStart"/>
            <w:r w:rsidRPr="007249CE">
              <w:rPr>
                <w:rFonts w:ascii="Arial" w:eastAsia="MS Mincho" w:hAnsi="Arial" w:cs="Arial"/>
                <w:b/>
                <w:sz w:val="14"/>
                <w:szCs w:val="14"/>
              </w:rPr>
              <w:t>Parent</w:t>
            </w:r>
            <w:proofErr w:type="spellEnd"/>
          </w:p>
        </w:tc>
      </w:tr>
      <w:tr w:rsidR="007249CE" w:rsidRPr="007249CE" w14:paraId="3FB9417A" w14:textId="77777777" w:rsidTr="007249CE">
        <w:trPr>
          <w:trHeight w:val="238"/>
        </w:trPr>
        <w:tc>
          <w:tcPr>
            <w:tcW w:w="3094" w:type="dxa"/>
            <w:tcBorders>
              <w:top w:val="nil"/>
              <w:bottom w:val="single" w:sz="2" w:space="0" w:color="1F4E79"/>
            </w:tcBorders>
            <w:shd w:val="clear" w:color="auto" w:fill="auto"/>
            <w:vAlign w:val="center"/>
          </w:tcPr>
          <w:p w14:paraId="63597B59"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7ADDED41"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2EE3D45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7249CE">
              <w:rPr>
                <w:rFonts w:ascii="Arial" w:eastAsia="Times New Roman" w:hAnsi="Arial" w:cs="Arial"/>
                <w:b/>
                <w:spacing w:val="-2"/>
                <w:sz w:val="14"/>
                <w:szCs w:val="18"/>
                <w:lang w:eastAsia="pt-BR"/>
              </w:rPr>
              <w:t>Dec</w:t>
            </w:r>
            <w:proofErr w:type="spellEnd"/>
            <w:r w:rsidRPr="007249CE">
              <w:rPr>
                <w:rFonts w:ascii="Arial" w:eastAsia="Times New Roman" w:hAnsi="Arial" w:cs="Arial"/>
                <w:b/>
                <w:spacing w:val="-2"/>
                <w:sz w:val="14"/>
                <w:szCs w:val="18"/>
                <w:lang w:eastAsia="pt-BR"/>
              </w:rPr>
              <w:t xml:space="preserve"> 31, 2023</w:t>
            </w:r>
          </w:p>
        </w:tc>
        <w:tc>
          <w:tcPr>
            <w:tcW w:w="1412" w:type="dxa"/>
            <w:tcBorders>
              <w:top w:val="single" w:sz="2" w:space="0" w:color="1F4E79"/>
              <w:bottom w:val="single" w:sz="2" w:space="0" w:color="1F4E79"/>
            </w:tcBorders>
            <w:shd w:val="clear" w:color="auto" w:fill="auto"/>
            <w:vAlign w:val="center"/>
          </w:tcPr>
          <w:p w14:paraId="7556060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7249CE">
              <w:rPr>
                <w:rFonts w:ascii="Arial" w:eastAsia="Times New Roman" w:hAnsi="Arial" w:cs="Arial"/>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vAlign w:val="center"/>
          </w:tcPr>
          <w:p w14:paraId="00319D5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0A6D32E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7249CE">
              <w:rPr>
                <w:rFonts w:ascii="Arial" w:eastAsia="Times New Roman" w:hAnsi="Arial" w:cs="Arial"/>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vAlign w:val="center"/>
          </w:tcPr>
          <w:p w14:paraId="1A47634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7249CE">
              <w:rPr>
                <w:rFonts w:ascii="Arial" w:eastAsia="Times New Roman" w:hAnsi="Arial" w:cs="Arial"/>
                <w:b/>
                <w:spacing w:val="-2"/>
                <w:sz w:val="14"/>
                <w:szCs w:val="18"/>
                <w:lang w:eastAsia="pt-BR"/>
              </w:rPr>
              <w:t>Dec</w:t>
            </w:r>
            <w:proofErr w:type="spellEnd"/>
            <w:r w:rsidRPr="007249CE">
              <w:rPr>
                <w:rFonts w:ascii="Arial" w:eastAsia="Times New Roman" w:hAnsi="Arial" w:cs="Arial"/>
                <w:b/>
                <w:spacing w:val="-2"/>
                <w:sz w:val="14"/>
                <w:szCs w:val="18"/>
                <w:lang w:eastAsia="pt-BR"/>
              </w:rPr>
              <w:t xml:space="preserve"> 31, 2024</w:t>
            </w:r>
          </w:p>
        </w:tc>
      </w:tr>
      <w:tr w:rsidR="007249CE" w:rsidRPr="007249CE" w14:paraId="11C5B28B" w14:textId="77777777" w:rsidTr="007249CE">
        <w:trPr>
          <w:trHeight w:val="238"/>
        </w:trPr>
        <w:tc>
          <w:tcPr>
            <w:tcW w:w="3094" w:type="dxa"/>
            <w:tcBorders>
              <w:top w:val="single" w:sz="2" w:space="0" w:color="1F4E79"/>
              <w:bottom w:val="nil"/>
            </w:tcBorders>
            <w:shd w:val="clear" w:color="auto" w:fill="auto"/>
          </w:tcPr>
          <w:p w14:paraId="4111BEF9"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roofErr w:type="spellStart"/>
            <w:r w:rsidRPr="007249CE">
              <w:rPr>
                <w:rFonts w:ascii="Arial" w:eastAsia="Times New Roman" w:hAnsi="Arial" w:cs="Arial"/>
                <w:b/>
                <w:spacing w:val="-2"/>
                <w:sz w:val="14"/>
                <w:szCs w:val="14"/>
                <w:lang w:eastAsia="pt-BR"/>
              </w:rPr>
              <w:t>Temporary</w:t>
            </w:r>
            <w:proofErr w:type="spellEnd"/>
            <w:r w:rsidRPr="007249CE">
              <w:rPr>
                <w:rFonts w:ascii="Arial" w:eastAsia="Times New Roman" w:hAnsi="Arial" w:cs="Arial"/>
                <w:b/>
                <w:spacing w:val="-2"/>
                <w:sz w:val="14"/>
                <w:szCs w:val="14"/>
                <w:lang w:eastAsia="pt-BR"/>
              </w:rPr>
              <w:t xml:space="preserve"> </w:t>
            </w:r>
            <w:proofErr w:type="spellStart"/>
            <w:r w:rsidRPr="007249CE">
              <w:rPr>
                <w:rFonts w:ascii="Arial" w:eastAsia="Times New Roman" w:hAnsi="Arial" w:cs="Arial"/>
                <w:b/>
                <w:spacing w:val="-2"/>
                <w:sz w:val="14"/>
                <w:szCs w:val="14"/>
                <w:lang w:eastAsia="pt-BR"/>
              </w:rPr>
              <w:t>differences</w:t>
            </w:r>
            <w:proofErr w:type="spellEnd"/>
          </w:p>
        </w:tc>
        <w:tc>
          <w:tcPr>
            <w:tcW w:w="604" w:type="dxa"/>
            <w:tcBorders>
              <w:top w:val="single" w:sz="2" w:space="0" w:color="1F4E79"/>
              <w:bottom w:val="nil"/>
            </w:tcBorders>
            <w:shd w:val="clear" w:color="auto" w:fill="auto"/>
          </w:tcPr>
          <w:p w14:paraId="60D829ED"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bottom w:val="nil"/>
            </w:tcBorders>
            <w:shd w:val="clear" w:color="auto" w:fill="auto"/>
          </w:tcPr>
          <w:p w14:paraId="5FCD5046"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bottom w:val="nil"/>
            </w:tcBorders>
            <w:shd w:val="clear" w:color="auto" w:fill="auto"/>
          </w:tcPr>
          <w:p w14:paraId="628D6BD6"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bottom w:val="nil"/>
            </w:tcBorders>
            <w:shd w:val="clear" w:color="auto" w:fill="auto"/>
          </w:tcPr>
          <w:p w14:paraId="666EEBD9"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bottom w:val="nil"/>
            </w:tcBorders>
            <w:shd w:val="clear" w:color="auto" w:fill="auto"/>
          </w:tcPr>
          <w:p w14:paraId="485ACE61"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bottom w:val="nil"/>
            </w:tcBorders>
            <w:shd w:val="clear" w:color="auto" w:fill="auto"/>
          </w:tcPr>
          <w:p w14:paraId="5EAC4451"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r>
      <w:tr w:rsidR="007249CE" w:rsidRPr="007249CE" w14:paraId="63BFE2D3" w14:textId="77777777" w:rsidTr="004E4139">
        <w:trPr>
          <w:trHeight w:val="238"/>
        </w:trPr>
        <w:tc>
          <w:tcPr>
            <w:tcW w:w="3094" w:type="dxa"/>
            <w:shd w:val="clear" w:color="auto" w:fill="auto"/>
          </w:tcPr>
          <w:p w14:paraId="685F2D2D"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Liabilities</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provision</w:t>
            </w:r>
            <w:proofErr w:type="spellEnd"/>
          </w:p>
        </w:tc>
        <w:tc>
          <w:tcPr>
            <w:tcW w:w="604" w:type="dxa"/>
            <w:shd w:val="clear" w:color="auto" w:fill="auto"/>
          </w:tcPr>
          <w:p w14:paraId="2654F768"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left w:val="nil"/>
              <w:bottom w:val="nil"/>
              <w:right w:val="nil"/>
            </w:tcBorders>
          </w:tcPr>
          <w:p w14:paraId="24A4256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222</w:t>
            </w:r>
          </w:p>
        </w:tc>
        <w:tc>
          <w:tcPr>
            <w:tcW w:w="1412" w:type="dxa"/>
            <w:shd w:val="clear" w:color="auto" w:fill="auto"/>
          </w:tcPr>
          <w:p w14:paraId="483AB07C"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961</w:t>
            </w:r>
          </w:p>
        </w:tc>
        <w:tc>
          <w:tcPr>
            <w:tcW w:w="283" w:type="dxa"/>
            <w:shd w:val="clear" w:color="auto" w:fill="auto"/>
          </w:tcPr>
          <w:p w14:paraId="0E91725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tcPr>
          <w:p w14:paraId="7CDD5A82"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(557)</w:t>
            </w:r>
          </w:p>
        </w:tc>
        <w:tc>
          <w:tcPr>
            <w:tcW w:w="1418" w:type="dxa"/>
            <w:shd w:val="clear" w:color="auto" w:fill="auto"/>
          </w:tcPr>
          <w:p w14:paraId="52E62FAD"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626</w:t>
            </w:r>
          </w:p>
        </w:tc>
      </w:tr>
      <w:tr w:rsidR="007249CE" w:rsidRPr="007249CE" w14:paraId="23D4AF73" w14:textId="77777777" w:rsidTr="007249CE">
        <w:trPr>
          <w:trHeight w:val="238"/>
        </w:trPr>
        <w:tc>
          <w:tcPr>
            <w:tcW w:w="3094" w:type="dxa"/>
            <w:shd w:val="clear" w:color="auto" w:fill="auto"/>
          </w:tcPr>
          <w:p w14:paraId="536DB6D5" w14:textId="77777777" w:rsidR="007249CE" w:rsidRPr="004C5A7A" w:rsidRDefault="007249CE" w:rsidP="007249CE">
            <w:pPr>
              <w:keepNext/>
              <w:keepLines/>
              <w:spacing w:before="40" w:after="40" w:line="240" w:lineRule="auto"/>
              <w:rPr>
                <w:rFonts w:ascii="Arial" w:eastAsia="MS Mincho" w:hAnsi="Arial" w:cs="Arial"/>
                <w:b/>
                <w:sz w:val="22"/>
                <w:szCs w:val="22"/>
              </w:rPr>
            </w:pPr>
            <w:r w:rsidRPr="007249CE">
              <w:rPr>
                <w:rFonts w:ascii="Arial" w:eastAsia="Times New Roman" w:hAnsi="Arial" w:cs="Arial"/>
                <w:b/>
                <w:spacing w:val="-2"/>
                <w:sz w:val="14"/>
                <w:szCs w:val="18"/>
                <w:lang w:eastAsia="pt-BR"/>
              </w:rPr>
              <w:t xml:space="preserve">Total </w:t>
            </w:r>
            <w:proofErr w:type="spellStart"/>
            <w:r w:rsidRPr="007249CE">
              <w:rPr>
                <w:rFonts w:ascii="Arial" w:eastAsia="Times New Roman" w:hAnsi="Arial" w:cs="Arial"/>
                <w:b/>
                <w:spacing w:val="-2"/>
                <w:sz w:val="14"/>
                <w:szCs w:val="18"/>
                <w:lang w:eastAsia="pt-BR"/>
              </w:rPr>
              <w:t>deferred</w:t>
            </w:r>
            <w:proofErr w:type="spellEnd"/>
            <w:r w:rsidRPr="007249CE">
              <w:rPr>
                <w:rFonts w:ascii="Arial" w:eastAsia="Times New Roman" w:hAnsi="Arial" w:cs="Arial"/>
                <w:b/>
                <w:spacing w:val="-2"/>
                <w:sz w:val="14"/>
                <w:szCs w:val="18"/>
                <w:lang w:eastAsia="pt-BR"/>
              </w:rPr>
              <w:t xml:space="preserve"> </w:t>
            </w:r>
            <w:proofErr w:type="spellStart"/>
            <w:r w:rsidRPr="007249CE">
              <w:rPr>
                <w:rFonts w:ascii="Arial" w:eastAsia="Times New Roman" w:hAnsi="Arial" w:cs="Arial"/>
                <w:b/>
                <w:spacing w:val="-2"/>
                <w:sz w:val="14"/>
                <w:szCs w:val="18"/>
                <w:lang w:eastAsia="pt-BR"/>
              </w:rPr>
              <w:t>tax</w:t>
            </w:r>
            <w:proofErr w:type="spellEnd"/>
            <w:r w:rsidRPr="007249CE">
              <w:rPr>
                <w:rFonts w:ascii="Arial" w:eastAsia="Times New Roman" w:hAnsi="Arial" w:cs="Arial"/>
                <w:b/>
                <w:spacing w:val="-2"/>
                <w:sz w:val="14"/>
                <w:szCs w:val="18"/>
                <w:lang w:eastAsia="pt-BR"/>
              </w:rPr>
              <w:t xml:space="preserve"> </w:t>
            </w:r>
            <w:proofErr w:type="spellStart"/>
            <w:r w:rsidRPr="007249CE">
              <w:rPr>
                <w:rFonts w:ascii="Arial" w:eastAsia="Times New Roman" w:hAnsi="Arial" w:cs="Arial"/>
                <w:b/>
                <w:spacing w:val="-2"/>
                <w:sz w:val="14"/>
                <w:szCs w:val="18"/>
                <w:lang w:eastAsia="pt-BR"/>
              </w:rPr>
              <w:t>assets</w:t>
            </w:r>
            <w:proofErr w:type="spellEnd"/>
          </w:p>
        </w:tc>
        <w:tc>
          <w:tcPr>
            <w:tcW w:w="604" w:type="dxa"/>
            <w:shd w:val="clear" w:color="auto" w:fill="auto"/>
          </w:tcPr>
          <w:p w14:paraId="330BDEB9"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left w:val="nil"/>
              <w:bottom w:val="nil"/>
              <w:right w:val="nil"/>
            </w:tcBorders>
          </w:tcPr>
          <w:p w14:paraId="696C34C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rPr>
              <w:t>222</w:t>
            </w:r>
          </w:p>
        </w:tc>
        <w:tc>
          <w:tcPr>
            <w:tcW w:w="1412" w:type="dxa"/>
            <w:shd w:val="clear" w:color="auto" w:fill="auto"/>
          </w:tcPr>
          <w:p w14:paraId="77317A6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961</w:t>
            </w:r>
          </w:p>
        </w:tc>
        <w:tc>
          <w:tcPr>
            <w:tcW w:w="283" w:type="dxa"/>
            <w:shd w:val="clear" w:color="auto" w:fill="auto"/>
          </w:tcPr>
          <w:p w14:paraId="40319F8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4AC1DD4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(557)</w:t>
            </w:r>
          </w:p>
        </w:tc>
        <w:tc>
          <w:tcPr>
            <w:tcW w:w="1418" w:type="dxa"/>
            <w:shd w:val="clear" w:color="auto" w:fill="auto"/>
          </w:tcPr>
          <w:p w14:paraId="0A52C17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626</w:t>
            </w:r>
          </w:p>
        </w:tc>
      </w:tr>
      <w:tr w:rsidR="007249CE" w:rsidRPr="007249CE" w14:paraId="48B164F9" w14:textId="77777777" w:rsidTr="007249CE">
        <w:trPr>
          <w:trHeight w:val="238"/>
        </w:trPr>
        <w:tc>
          <w:tcPr>
            <w:tcW w:w="3094" w:type="dxa"/>
            <w:tcBorders>
              <w:bottom w:val="nil"/>
            </w:tcBorders>
            <w:shd w:val="clear" w:color="auto" w:fill="auto"/>
          </w:tcPr>
          <w:p w14:paraId="315B919D"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8"/>
                <w:lang w:eastAsia="pt-BR"/>
              </w:rPr>
            </w:pPr>
            <w:proofErr w:type="spellStart"/>
            <w:r w:rsidRPr="007249CE">
              <w:rPr>
                <w:rFonts w:ascii="Arial" w:eastAsia="Times New Roman" w:hAnsi="Arial" w:cs="Arial"/>
                <w:spacing w:val="-2"/>
                <w:sz w:val="14"/>
                <w:szCs w:val="18"/>
                <w:lang w:eastAsia="pt-BR"/>
              </w:rPr>
              <w:t>Incone</w:t>
            </w:r>
            <w:proofErr w:type="spellEnd"/>
            <w:r w:rsidRPr="007249CE">
              <w:rPr>
                <w:rFonts w:ascii="Arial" w:eastAsia="Times New Roman" w:hAnsi="Arial" w:cs="Arial"/>
                <w:spacing w:val="-2"/>
                <w:sz w:val="14"/>
                <w:szCs w:val="18"/>
                <w:lang w:eastAsia="pt-BR"/>
              </w:rPr>
              <w:t xml:space="preserve"> </w:t>
            </w:r>
            <w:proofErr w:type="spellStart"/>
            <w:r w:rsidRPr="007249CE">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20EE0EC7"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left w:val="nil"/>
              <w:bottom w:val="nil"/>
              <w:right w:val="nil"/>
            </w:tcBorders>
          </w:tcPr>
          <w:p w14:paraId="67B99A7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163</w:t>
            </w:r>
          </w:p>
        </w:tc>
        <w:tc>
          <w:tcPr>
            <w:tcW w:w="1412" w:type="dxa"/>
            <w:tcBorders>
              <w:bottom w:val="nil"/>
            </w:tcBorders>
            <w:shd w:val="clear" w:color="auto" w:fill="auto"/>
          </w:tcPr>
          <w:p w14:paraId="5668C870"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707</w:t>
            </w:r>
          </w:p>
        </w:tc>
        <w:tc>
          <w:tcPr>
            <w:tcW w:w="283" w:type="dxa"/>
            <w:tcBorders>
              <w:bottom w:val="nil"/>
            </w:tcBorders>
            <w:shd w:val="clear" w:color="auto" w:fill="auto"/>
          </w:tcPr>
          <w:p w14:paraId="0CDE4369"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45CCDB00"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(409)</w:t>
            </w:r>
          </w:p>
        </w:tc>
        <w:tc>
          <w:tcPr>
            <w:tcW w:w="1418" w:type="dxa"/>
            <w:tcBorders>
              <w:bottom w:val="nil"/>
            </w:tcBorders>
            <w:shd w:val="clear" w:color="auto" w:fill="auto"/>
          </w:tcPr>
          <w:p w14:paraId="5EFA704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461</w:t>
            </w:r>
          </w:p>
        </w:tc>
      </w:tr>
      <w:tr w:rsidR="007249CE" w:rsidRPr="007249CE" w14:paraId="1C2040B9" w14:textId="77777777" w:rsidTr="007249CE">
        <w:trPr>
          <w:trHeight w:val="238"/>
        </w:trPr>
        <w:tc>
          <w:tcPr>
            <w:tcW w:w="3094" w:type="dxa"/>
            <w:tcBorders>
              <w:top w:val="nil"/>
              <w:bottom w:val="single" w:sz="2" w:space="0" w:color="1F4E79"/>
            </w:tcBorders>
            <w:shd w:val="clear" w:color="auto" w:fill="auto"/>
          </w:tcPr>
          <w:p w14:paraId="587B8BDB"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 xml:space="preserve">Social </w:t>
            </w:r>
            <w:proofErr w:type="spellStart"/>
            <w:r w:rsidRPr="007249CE">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16B143E0"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left w:val="nil"/>
              <w:bottom w:val="single" w:sz="2" w:space="0" w:color="1F4E79"/>
              <w:right w:val="nil"/>
            </w:tcBorders>
          </w:tcPr>
          <w:p w14:paraId="2985B0C2"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59</w:t>
            </w:r>
          </w:p>
        </w:tc>
        <w:tc>
          <w:tcPr>
            <w:tcW w:w="1412" w:type="dxa"/>
            <w:tcBorders>
              <w:top w:val="nil"/>
              <w:bottom w:val="single" w:sz="2" w:space="0" w:color="1F4E79"/>
            </w:tcBorders>
            <w:shd w:val="clear" w:color="auto" w:fill="auto"/>
          </w:tcPr>
          <w:p w14:paraId="08DAC7CA"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254</w:t>
            </w:r>
          </w:p>
        </w:tc>
        <w:tc>
          <w:tcPr>
            <w:tcW w:w="283" w:type="dxa"/>
            <w:tcBorders>
              <w:top w:val="nil"/>
              <w:bottom w:val="single" w:sz="2" w:space="0" w:color="1F4E79"/>
            </w:tcBorders>
            <w:shd w:val="clear" w:color="auto" w:fill="auto"/>
          </w:tcPr>
          <w:p w14:paraId="4C2F4488"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4C64FF6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(148)</w:t>
            </w:r>
          </w:p>
        </w:tc>
        <w:tc>
          <w:tcPr>
            <w:tcW w:w="1418" w:type="dxa"/>
            <w:tcBorders>
              <w:top w:val="nil"/>
              <w:bottom w:val="single" w:sz="2" w:space="0" w:color="1F4E79"/>
            </w:tcBorders>
            <w:shd w:val="clear" w:color="auto" w:fill="auto"/>
          </w:tcPr>
          <w:p w14:paraId="59A7F99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165</w:t>
            </w:r>
          </w:p>
        </w:tc>
      </w:tr>
    </w:tbl>
    <w:p w14:paraId="1C5FCBA1" w14:textId="77777777" w:rsidR="007249CE" w:rsidRPr="007249CE" w:rsidRDefault="007249CE" w:rsidP="007249CE">
      <w:pPr>
        <w:spacing w:after="0" w:line="240" w:lineRule="auto"/>
        <w:jc w:val="right"/>
        <w:rPr>
          <w:rFonts w:ascii="Arial" w:eastAsia="MS Mincho" w:hAnsi="Arial" w:cs="Arial"/>
          <w:b/>
          <w:sz w:val="14"/>
          <w:szCs w:val="22"/>
          <w:lang w:eastAsia="pt-BR"/>
        </w:rPr>
      </w:pPr>
    </w:p>
    <w:p w14:paraId="2213B1D6" w14:textId="77777777" w:rsidR="007249CE" w:rsidRPr="007249CE" w:rsidRDefault="007249CE" w:rsidP="007249CE">
      <w:pPr>
        <w:widowControl w:val="0"/>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249CE" w:rsidRPr="007249CE" w14:paraId="7FAB475F" w14:textId="77777777" w:rsidTr="007249CE">
        <w:trPr>
          <w:trHeight w:val="238"/>
        </w:trPr>
        <w:tc>
          <w:tcPr>
            <w:tcW w:w="3094" w:type="dxa"/>
            <w:tcBorders>
              <w:top w:val="single" w:sz="2" w:space="0" w:color="1F4E79"/>
              <w:left w:val="nil"/>
              <w:bottom w:val="nil"/>
              <w:right w:val="nil"/>
            </w:tcBorders>
            <w:vAlign w:val="center"/>
          </w:tcPr>
          <w:p w14:paraId="689A2A1E" w14:textId="77777777" w:rsidR="007249CE" w:rsidRPr="007249CE" w:rsidRDefault="007249CE" w:rsidP="007249CE">
            <w:pPr>
              <w:widowControl w:val="0"/>
              <w:spacing w:after="0" w:line="276" w:lineRule="auto"/>
              <w:jc w:val="center"/>
              <w:rPr>
                <w:rFonts w:ascii="Arial" w:eastAsia="MS Mincho" w:hAnsi="Arial" w:cs="Arial"/>
                <w:b/>
                <w:sz w:val="18"/>
                <w:szCs w:val="18"/>
              </w:rPr>
            </w:pPr>
          </w:p>
        </w:tc>
        <w:tc>
          <w:tcPr>
            <w:tcW w:w="604" w:type="dxa"/>
            <w:tcBorders>
              <w:top w:val="single" w:sz="2" w:space="0" w:color="1F4E79"/>
              <w:left w:val="nil"/>
              <w:bottom w:val="nil"/>
              <w:right w:val="nil"/>
            </w:tcBorders>
            <w:vAlign w:val="center"/>
          </w:tcPr>
          <w:p w14:paraId="7D4EB6C2" w14:textId="77777777" w:rsidR="007249CE" w:rsidRPr="007249CE" w:rsidRDefault="007249CE" w:rsidP="007249CE">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left w:val="nil"/>
              <w:bottom w:val="single" w:sz="2" w:space="0" w:color="1F4E79"/>
              <w:right w:val="nil"/>
            </w:tcBorders>
            <w:vAlign w:val="center"/>
            <w:hideMark/>
          </w:tcPr>
          <w:p w14:paraId="4FC625F7" w14:textId="77777777" w:rsidR="007249CE" w:rsidRPr="007249CE" w:rsidRDefault="007249CE" w:rsidP="007249CE">
            <w:pPr>
              <w:widowControl w:val="0"/>
              <w:spacing w:after="0" w:line="276" w:lineRule="auto"/>
              <w:jc w:val="center"/>
              <w:rPr>
                <w:rFonts w:ascii="Arial" w:eastAsia="MS Mincho" w:hAnsi="Arial" w:cs="Arial"/>
                <w:b/>
                <w:sz w:val="14"/>
                <w:szCs w:val="14"/>
              </w:rPr>
            </w:pPr>
            <w:proofErr w:type="spellStart"/>
            <w:r w:rsidRPr="007249CE">
              <w:rPr>
                <w:rFonts w:ascii="Arial" w:eastAsia="MS Mincho" w:hAnsi="Arial" w:cs="Arial"/>
                <w:b/>
                <w:sz w:val="14"/>
                <w:szCs w:val="14"/>
              </w:rPr>
              <w:t>Parent</w:t>
            </w:r>
            <w:proofErr w:type="spellEnd"/>
          </w:p>
        </w:tc>
      </w:tr>
      <w:tr w:rsidR="007249CE" w:rsidRPr="007249CE" w14:paraId="1527B1F7" w14:textId="77777777" w:rsidTr="007249CE">
        <w:trPr>
          <w:trHeight w:val="238"/>
        </w:trPr>
        <w:tc>
          <w:tcPr>
            <w:tcW w:w="3094" w:type="dxa"/>
            <w:tcBorders>
              <w:top w:val="nil"/>
              <w:left w:val="nil"/>
              <w:bottom w:val="single" w:sz="2" w:space="0" w:color="1F4E79"/>
              <w:right w:val="nil"/>
            </w:tcBorders>
            <w:vAlign w:val="center"/>
          </w:tcPr>
          <w:p w14:paraId="68DE1520" w14:textId="77777777" w:rsidR="007249CE" w:rsidRPr="007249CE" w:rsidRDefault="007249CE" w:rsidP="007249CE">
            <w:pPr>
              <w:widowControl w:val="0"/>
              <w:spacing w:before="40" w:after="40" w:line="256" w:lineRule="auto"/>
              <w:jc w:val="center"/>
              <w:rPr>
                <w:rFonts w:ascii="Arial" w:eastAsia="Times New Roman" w:hAnsi="Arial" w:cs="Arial"/>
                <w:b/>
                <w:spacing w:val="-2"/>
                <w:sz w:val="14"/>
                <w:szCs w:val="18"/>
              </w:rPr>
            </w:pPr>
          </w:p>
        </w:tc>
        <w:tc>
          <w:tcPr>
            <w:tcW w:w="604" w:type="dxa"/>
            <w:tcBorders>
              <w:top w:val="nil"/>
              <w:left w:val="nil"/>
              <w:bottom w:val="single" w:sz="2" w:space="0" w:color="1F4E79"/>
              <w:right w:val="nil"/>
            </w:tcBorders>
            <w:vAlign w:val="center"/>
          </w:tcPr>
          <w:p w14:paraId="2ADD5228" w14:textId="77777777" w:rsidR="007249CE" w:rsidRPr="007249CE" w:rsidRDefault="007249CE" w:rsidP="007249CE">
            <w:pPr>
              <w:widowControl w:val="0"/>
              <w:spacing w:before="40" w:after="40" w:line="256" w:lineRule="auto"/>
              <w:jc w:val="center"/>
              <w:rPr>
                <w:rFonts w:ascii="Arial" w:eastAsia="Times New Roman" w:hAnsi="Arial" w:cs="Arial"/>
                <w:b/>
                <w:spacing w:val="-2"/>
                <w:sz w:val="14"/>
                <w:szCs w:val="18"/>
              </w:rPr>
            </w:pPr>
          </w:p>
        </w:tc>
        <w:tc>
          <w:tcPr>
            <w:tcW w:w="1411" w:type="dxa"/>
            <w:tcBorders>
              <w:top w:val="single" w:sz="2" w:space="0" w:color="1F4E79"/>
              <w:bottom w:val="single" w:sz="2" w:space="0" w:color="1F4E79"/>
            </w:tcBorders>
            <w:shd w:val="clear" w:color="auto" w:fill="auto"/>
            <w:vAlign w:val="center"/>
            <w:hideMark/>
          </w:tcPr>
          <w:p w14:paraId="07A580BB"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8"/>
              </w:rPr>
            </w:pPr>
            <w:proofErr w:type="spellStart"/>
            <w:r w:rsidRPr="007249CE">
              <w:rPr>
                <w:rFonts w:ascii="Arial" w:eastAsia="Times New Roman" w:hAnsi="Arial" w:cs="Arial"/>
                <w:b/>
                <w:spacing w:val="-2"/>
                <w:sz w:val="14"/>
                <w:szCs w:val="18"/>
                <w:lang w:eastAsia="pt-BR"/>
              </w:rPr>
              <w:t>Dec</w:t>
            </w:r>
            <w:proofErr w:type="spellEnd"/>
            <w:r w:rsidRPr="007249CE">
              <w:rPr>
                <w:rFonts w:ascii="Arial" w:eastAsia="Times New Roman" w:hAnsi="Arial" w:cs="Arial"/>
                <w:b/>
                <w:spacing w:val="-2"/>
                <w:sz w:val="14"/>
                <w:szCs w:val="18"/>
                <w:lang w:eastAsia="pt-BR"/>
              </w:rPr>
              <w:t xml:space="preserve"> 31, 2022</w:t>
            </w:r>
          </w:p>
        </w:tc>
        <w:tc>
          <w:tcPr>
            <w:tcW w:w="1412" w:type="dxa"/>
            <w:tcBorders>
              <w:top w:val="single" w:sz="2" w:space="0" w:color="1F4E79"/>
              <w:bottom w:val="single" w:sz="2" w:space="0" w:color="1F4E79"/>
            </w:tcBorders>
            <w:shd w:val="clear" w:color="auto" w:fill="auto"/>
            <w:vAlign w:val="center"/>
            <w:hideMark/>
          </w:tcPr>
          <w:p w14:paraId="73484240"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8"/>
              </w:rPr>
            </w:pPr>
            <w:proofErr w:type="spellStart"/>
            <w:r w:rsidRPr="007249CE">
              <w:rPr>
                <w:rFonts w:ascii="Arial" w:eastAsia="Times New Roman" w:hAnsi="Arial" w:cs="Arial"/>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vAlign w:val="center"/>
          </w:tcPr>
          <w:p w14:paraId="3622738F"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8"/>
              </w:rPr>
            </w:pPr>
          </w:p>
        </w:tc>
        <w:tc>
          <w:tcPr>
            <w:tcW w:w="1417" w:type="dxa"/>
            <w:tcBorders>
              <w:top w:val="single" w:sz="2" w:space="0" w:color="1F4E79"/>
              <w:bottom w:val="single" w:sz="2" w:space="0" w:color="1F4E79"/>
            </w:tcBorders>
            <w:shd w:val="clear" w:color="auto" w:fill="auto"/>
            <w:vAlign w:val="center"/>
            <w:hideMark/>
          </w:tcPr>
          <w:p w14:paraId="62B7F469"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8"/>
              </w:rPr>
            </w:pPr>
            <w:proofErr w:type="spellStart"/>
            <w:r w:rsidRPr="007249CE">
              <w:rPr>
                <w:rFonts w:ascii="Arial" w:eastAsia="Times New Roman" w:hAnsi="Arial" w:cs="Arial"/>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vAlign w:val="center"/>
            <w:hideMark/>
          </w:tcPr>
          <w:p w14:paraId="46285A94"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8"/>
              </w:rPr>
            </w:pPr>
            <w:proofErr w:type="spellStart"/>
            <w:r w:rsidRPr="007249CE">
              <w:rPr>
                <w:rFonts w:ascii="Arial" w:eastAsia="Times New Roman" w:hAnsi="Arial" w:cs="Arial"/>
                <w:b/>
                <w:spacing w:val="-2"/>
                <w:sz w:val="14"/>
                <w:szCs w:val="18"/>
                <w:lang w:eastAsia="pt-BR"/>
              </w:rPr>
              <w:t>Dec</w:t>
            </w:r>
            <w:proofErr w:type="spellEnd"/>
            <w:r w:rsidRPr="007249CE">
              <w:rPr>
                <w:rFonts w:ascii="Arial" w:eastAsia="Times New Roman" w:hAnsi="Arial" w:cs="Arial"/>
                <w:b/>
                <w:spacing w:val="-2"/>
                <w:sz w:val="14"/>
                <w:szCs w:val="18"/>
                <w:lang w:eastAsia="pt-BR"/>
              </w:rPr>
              <w:t xml:space="preserve"> 31, 2023</w:t>
            </w:r>
          </w:p>
        </w:tc>
      </w:tr>
      <w:tr w:rsidR="007249CE" w:rsidRPr="007249CE" w14:paraId="5780B786" w14:textId="77777777" w:rsidTr="007249CE">
        <w:trPr>
          <w:trHeight w:val="238"/>
        </w:trPr>
        <w:tc>
          <w:tcPr>
            <w:tcW w:w="3094" w:type="dxa"/>
            <w:tcBorders>
              <w:top w:val="single" w:sz="2" w:space="0" w:color="1F4E79"/>
              <w:left w:val="nil"/>
              <w:bottom w:val="nil"/>
              <w:right w:val="nil"/>
            </w:tcBorders>
            <w:hideMark/>
          </w:tcPr>
          <w:p w14:paraId="2EE30E2C" w14:textId="77777777" w:rsidR="007249CE" w:rsidRPr="007249CE" w:rsidRDefault="007249CE" w:rsidP="007249CE">
            <w:pPr>
              <w:widowControl w:val="0"/>
              <w:spacing w:before="40" w:after="40" w:line="256" w:lineRule="auto"/>
              <w:rPr>
                <w:rFonts w:ascii="Arial" w:eastAsia="Times New Roman" w:hAnsi="Arial" w:cs="Arial"/>
                <w:b/>
                <w:bCs/>
                <w:spacing w:val="-2"/>
                <w:sz w:val="14"/>
                <w:szCs w:val="14"/>
              </w:rPr>
            </w:pPr>
            <w:r w:rsidRPr="007249CE">
              <w:rPr>
                <w:rFonts w:ascii="Arial" w:eastAsia="Times New Roman" w:hAnsi="Arial" w:cs="Arial"/>
                <w:b/>
                <w:bCs/>
                <w:spacing w:val="-2"/>
                <w:sz w:val="14"/>
                <w:szCs w:val="14"/>
              </w:rPr>
              <w:t>Diferenças Temporárias</w:t>
            </w:r>
          </w:p>
        </w:tc>
        <w:tc>
          <w:tcPr>
            <w:tcW w:w="604" w:type="dxa"/>
            <w:tcBorders>
              <w:top w:val="single" w:sz="2" w:space="0" w:color="1F4E79"/>
              <w:left w:val="nil"/>
              <w:bottom w:val="nil"/>
              <w:right w:val="nil"/>
            </w:tcBorders>
          </w:tcPr>
          <w:p w14:paraId="57A385B9" w14:textId="77777777" w:rsidR="007249CE" w:rsidRPr="007249CE" w:rsidRDefault="007249CE" w:rsidP="007249CE">
            <w:pPr>
              <w:widowControl w:val="0"/>
              <w:spacing w:before="40" w:after="40" w:line="256" w:lineRule="auto"/>
              <w:rPr>
                <w:rFonts w:ascii="Arial" w:eastAsia="Times New Roman" w:hAnsi="Arial" w:cs="Arial"/>
                <w:b/>
                <w:bCs/>
                <w:spacing w:val="-2"/>
                <w:sz w:val="14"/>
                <w:szCs w:val="14"/>
              </w:rPr>
            </w:pPr>
          </w:p>
        </w:tc>
        <w:tc>
          <w:tcPr>
            <w:tcW w:w="1411" w:type="dxa"/>
            <w:tcBorders>
              <w:top w:val="single" w:sz="2" w:space="0" w:color="1F4E79"/>
              <w:left w:val="nil"/>
              <w:bottom w:val="nil"/>
              <w:right w:val="nil"/>
            </w:tcBorders>
          </w:tcPr>
          <w:p w14:paraId="374DFEF2" w14:textId="77777777" w:rsidR="007249CE" w:rsidRPr="007249CE" w:rsidRDefault="007249CE" w:rsidP="007249CE">
            <w:pPr>
              <w:widowControl w:val="0"/>
              <w:spacing w:before="40" w:after="40" w:line="256" w:lineRule="auto"/>
              <w:jc w:val="right"/>
              <w:rPr>
                <w:rFonts w:ascii="Arial" w:eastAsia="Times New Roman" w:hAnsi="Arial" w:cs="Arial"/>
                <w:b/>
                <w:bCs/>
                <w:spacing w:val="-2"/>
                <w:sz w:val="14"/>
                <w:szCs w:val="14"/>
              </w:rPr>
            </w:pPr>
          </w:p>
        </w:tc>
        <w:tc>
          <w:tcPr>
            <w:tcW w:w="1412" w:type="dxa"/>
            <w:tcBorders>
              <w:top w:val="single" w:sz="2" w:space="0" w:color="1F4E79"/>
              <w:left w:val="nil"/>
              <w:bottom w:val="nil"/>
              <w:right w:val="nil"/>
            </w:tcBorders>
          </w:tcPr>
          <w:p w14:paraId="463A639A" w14:textId="77777777" w:rsidR="007249CE" w:rsidRPr="007249CE" w:rsidRDefault="007249CE" w:rsidP="007249CE">
            <w:pPr>
              <w:widowControl w:val="0"/>
              <w:spacing w:before="40" w:after="40" w:line="256" w:lineRule="auto"/>
              <w:jc w:val="right"/>
              <w:rPr>
                <w:rFonts w:ascii="Arial" w:eastAsia="Times New Roman" w:hAnsi="Arial" w:cs="Arial"/>
                <w:b/>
                <w:bCs/>
                <w:spacing w:val="-2"/>
                <w:sz w:val="14"/>
                <w:szCs w:val="14"/>
              </w:rPr>
            </w:pPr>
          </w:p>
        </w:tc>
        <w:tc>
          <w:tcPr>
            <w:tcW w:w="283" w:type="dxa"/>
            <w:tcBorders>
              <w:top w:val="single" w:sz="2" w:space="0" w:color="1F4E79"/>
              <w:left w:val="nil"/>
              <w:bottom w:val="nil"/>
              <w:right w:val="nil"/>
            </w:tcBorders>
          </w:tcPr>
          <w:p w14:paraId="490BF50B" w14:textId="77777777" w:rsidR="007249CE" w:rsidRPr="007249CE" w:rsidRDefault="007249CE" w:rsidP="007249CE">
            <w:pPr>
              <w:widowControl w:val="0"/>
              <w:spacing w:before="40" w:after="40" w:line="256" w:lineRule="auto"/>
              <w:rPr>
                <w:rFonts w:ascii="Arial" w:eastAsia="Times New Roman" w:hAnsi="Arial" w:cs="Arial"/>
                <w:b/>
                <w:bCs/>
                <w:spacing w:val="-2"/>
                <w:sz w:val="14"/>
                <w:szCs w:val="14"/>
              </w:rPr>
            </w:pPr>
          </w:p>
        </w:tc>
        <w:tc>
          <w:tcPr>
            <w:tcW w:w="1417" w:type="dxa"/>
            <w:tcBorders>
              <w:top w:val="single" w:sz="2" w:space="0" w:color="1F4E79"/>
              <w:left w:val="nil"/>
              <w:bottom w:val="nil"/>
              <w:right w:val="nil"/>
            </w:tcBorders>
          </w:tcPr>
          <w:p w14:paraId="6AC488A0" w14:textId="77777777" w:rsidR="007249CE" w:rsidRPr="007249CE" w:rsidRDefault="007249CE" w:rsidP="007249CE">
            <w:pPr>
              <w:widowControl w:val="0"/>
              <w:spacing w:before="40" w:after="40" w:line="256" w:lineRule="auto"/>
              <w:jc w:val="right"/>
              <w:rPr>
                <w:rFonts w:ascii="Arial" w:eastAsia="Times New Roman" w:hAnsi="Arial" w:cs="Arial"/>
                <w:b/>
                <w:bCs/>
                <w:spacing w:val="-2"/>
                <w:sz w:val="14"/>
                <w:szCs w:val="14"/>
              </w:rPr>
            </w:pPr>
          </w:p>
        </w:tc>
        <w:tc>
          <w:tcPr>
            <w:tcW w:w="1418" w:type="dxa"/>
            <w:tcBorders>
              <w:top w:val="single" w:sz="2" w:space="0" w:color="1F4E79"/>
              <w:left w:val="nil"/>
              <w:bottom w:val="nil"/>
              <w:right w:val="nil"/>
            </w:tcBorders>
          </w:tcPr>
          <w:p w14:paraId="10BA55F8" w14:textId="77777777" w:rsidR="007249CE" w:rsidRPr="007249CE" w:rsidRDefault="007249CE" w:rsidP="007249CE">
            <w:pPr>
              <w:widowControl w:val="0"/>
              <w:spacing w:before="40" w:after="40" w:line="256" w:lineRule="auto"/>
              <w:jc w:val="right"/>
              <w:rPr>
                <w:rFonts w:ascii="Arial" w:eastAsia="Times New Roman" w:hAnsi="Arial" w:cs="Arial"/>
                <w:b/>
                <w:bCs/>
                <w:spacing w:val="-2"/>
                <w:sz w:val="14"/>
                <w:szCs w:val="14"/>
              </w:rPr>
            </w:pPr>
          </w:p>
        </w:tc>
      </w:tr>
      <w:tr w:rsidR="007249CE" w:rsidRPr="007249CE" w14:paraId="49CF6A47" w14:textId="77777777" w:rsidTr="007249CE">
        <w:trPr>
          <w:trHeight w:val="238"/>
        </w:trPr>
        <w:tc>
          <w:tcPr>
            <w:tcW w:w="3094" w:type="dxa"/>
            <w:tcBorders>
              <w:top w:val="nil"/>
              <w:left w:val="nil"/>
              <w:bottom w:val="nil"/>
              <w:right w:val="nil"/>
            </w:tcBorders>
            <w:hideMark/>
          </w:tcPr>
          <w:p w14:paraId="000D84DF" w14:textId="77777777" w:rsidR="007249CE" w:rsidRPr="007249CE" w:rsidRDefault="007249CE" w:rsidP="007249CE">
            <w:pPr>
              <w:widowControl w:val="0"/>
              <w:spacing w:before="40" w:after="40" w:line="256" w:lineRule="auto"/>
              <w:ind w:left="113"/>
              <w:rPr>
                <w:rFonts w:ascii="Arial" w:eastAsia="Times New Roman" w:hAnsi="Arial" w:cs="Arial"/>
                <w:spacing w:val="-2"/>
                <w:sz w:val="14"/>
                <w:szCs w:val="14"/>
              </w:rPr>
            </w:pPr>
            <w:r w:rsidRPr="007249CE">
              <w:rPr>
                <w:rFonts w:ascii="Arial" w:eastAsia="Times New Roman" w:hAnsi="Arial" w:cs="Arial"/>
                <w:spacing w:val="-2"/>
                <w:sz w:val="14"/>
                <w:szCs w:val="14"/>
              </w:rPr>
              <w:t>Provisões passivas</w:t>
            </w:r>
          </w:p>
        </w:tc>
        <w:tc>
          <w:tcPr>
            <w:tcW w:w="604" w:type="dxa"/>
            <w:tcBorders>
              <w:top w:val="nil"/>
              <w:left w:val="nil"/>
              <w:bottom w:val="nil"/>
              <w:right w:val="nil"/>
            </w:tcBorders>
          </w:tcPr>
          <w:p w14:paraId="21AF15C9" w14:textId="77777777" w:rsidR="007249CE" w:rsidRPr="007249CE" w:rsidRDefault="007249CE" w:rsidP="007249CE">
            <w:pPr>
              <w:widowControl w:val="0"/>
              <w:spacing w:before="40" w:after="40" w:line="256" w:lineRule="auto"/>
              <w:jc w:val="center"/>
              <w:rPr>
                <w:rFonts w:ascii="Arial" w:eastAsia="Times New Roman" w:hAnsi="Arial" w:cs="Arial"/>
                <w:spacing w:val="-2"/>
                <w:sz w:val="14"/>
                <w:szCs w:val="14"/>
              </w:rPr>
            </w:pPr>
          </w:p>
        </w:tc>
        <w:tc>
          <w:tcPr>
            <w:tcW w:w="1411" w:type="dxa"/>
            <w:tcBorders>
              <w:top w:val="nil"/>
              <w:left w:val="nil"/>
              <w:bottom w:val="nil"/>
              <w:right w:val="nil"/>
            </w:tcBorders>
            <w:hideMark/>
          </w:tcPr>
          <w:p w14:paraId="54E39164"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28</w:t>
            </w:r>
          </w:p>
        </w:tc>
        <w:tc>
          <w:tcPr>
            <w:tcW w:w="1412" w:type="dxa"/>
            <w:tcBorders>
              <w:top w:val="nil"/>
              <w:left w:val="nil"/>
              <w:bottom w:val="nil"/>
              <w:right w:val="nil"/>
            </w:tcBorders>
            <w:hideMark/>
          </w:tcPr>
          <w:p w14:paraId="394D9AD8"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8"/>
              </w:rPr>
            </w:pPr>
            <w:r w:rsidRPr="007249CE">
              <w:rPr>
                <w:rFonts w:ascii="Arial" w:eastAsia="Times New Roman" w:hAnsi="Arial" w:cs="Arial"/>
                <w:spacing w:val="-2"/>
                <w:sz w:val="14"/>
                <w:szCs w:val="18"/>
              </w:rPr>
              <w:t>277</w:t>
            </w:r>
          </w:p>
        </w:tc>
        <w:tc>
          <w:tcPr>
            <w:tcW w:w="283" w:type="dxa"/>
            <w:tcBorders>
              <w:top w:val="nil"/>
              <w:left w:val="nil"/>
              <w:bottom w:val="nil"/>
              <w:right w:val="nil"/>
            </w:tcBorders>
          </w:tcPr>
          <w:p w14:paraId="713A316C"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hideMark/>
          </w:tcPr>
          <w:p w14:paraId="6086FE15"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(83)</w:t>
            </w:r>
          </w:p>
        </w:tc>
        <w:tc>
          <w:tcPr>
            <w:tcW w:w="1418" w:type="dxa"/>
            <w:tcBorders>
              <w:top w:val="nil"/>
              <w:left w:val="nil"/>
              <w:bottom w:val="nil"/>
              <w:right w:val="nil"/>
            </w:tcBorders>
            <w:hideMark/>
          </w:tcPr>
          <w:p w14:paraId="35CE6397"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222</w:t>
            </w:r>
          </w:p>
        </w:tc>
      </w:tr>
      <w:tr w:rsidR="007249CE" w:rsidRPr="007249CE" w14:paraId="0A649763" w14:textId="77777777" w:rsidTr="007249CE">
        <w:trPr>
          <w:trHeight w:val="238"/>
        </w:trPr>
        <w:tc>
          <w:tcPr>
            <w:tcW w:w="3094" w:type="dxa"/>
            <w:tcBorders>
              <w:top w:val="nil"/>
              <w:left w:val="nil"/>
              <w:bottom w:val="nil"/>
              <w:right w:val="nil"/>
            </w:tcBorders>
            <w:hideMark/>
          </w:tcPr>
          <w:p w14:paraId="352CF824" w14:textId="77777777" w:rsidR="007249CE" w:rsidRPr="007249CE" w:rsidRDefault="007249CE" w:rsidP="007249CE">
            <w:pPr>
              <w:widowControl w:val="0"/>
              <w:spacing w:before="40" w:after="40" w:line="256" w:lineRule="auto"/>
              <w:rPr>
                <w:rFonts w:ascii="Arial" w:eastAsia="Times New Roman" w:hAnsi="Arial" w:cs="Arial"/>
                <w:b/>
                <w:spacing w:val="-2"/>
                <w:sz w:val="14"/>
                <w:szCs w:val="18"/>
              </w:rPr>
            </w:pPr>
            <w:r w:rsidRPr="007249CE">
              <w:rPr>
                <w:rFonts w:ascii="Arial" w:eastAsia="Times New Roman" w:hAnsi="Arial" w:cs="Arial"/>
                <w:b/>
                <w:spacing w:val="-2"/>
                <w:sz w:val="14"/>
                <w:szCs w:val="18"/>
              </w:rPr>
              <w:t>Total dos Créditos Tributários Ativados</w:t>
            </w:r>
          </w:p>
        </w:tc>
        <w:tc>
          <w:tcPr>
            <w:tcW w:w="604" w:type="dxa"/>
            <w:tcBorders>
              <w:top w:val="nil"/>
              <w:left w:val="nil"/>
              <w:bottom w:val="nil"/>
              <w:right w:val="nil"/>
            </w:tcBorders>
          </w:tcPr>
          <w:p w14:paraId="19384875" w14:textId="77777777" w:rsidR="007249CE" w:rsidRPr="007249CE" w:rsidRDefault="007249CE" w:rsidP="007249CE">
            <w:pPr>
              <w:widowControl w:val="0"/>
              <w:spacing w:before="40" w:after="40" w:line="256" w:lineRule="auto"/>
              <w:jc w:val="center"/>
              <w:rPr>
                <w:rFonts w:ascii="Arial" w:eastAsia="Times New Roman" w:hAnsi="Arial" w:cs="Arial"/>
                <w:b/>
                <w:spacing w:val="-2"/>
                <w:sz w:val="14"/>
                <w:szCs w:val="14"/>
              </w:rPr>
            </w:pPr>
          </w:p>
        </w:tc>
        <w:tc>
          <w:tcPr>
            <w:tcW w:w="1411" w:type="dxa"/>
            <w:tcBorders>
              <w:top w:val="nil"/>
              <w:left w:val="nil"/>
              <w:bottom w:val="nil"/>
              <w:right w:val="nil"/>
            </w:tcBorders>
            <w:hideMark/>
          </w:tcPr>
          <w:p w14:paraId="1F408001"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4"/>
              </w:rPr>
            </w:pPr>
            <w:r w:rsidRPr="007249CE">
              <w:rPr>
                <w:rFonts w:ascii="Arial" w:eastAsia="Times New Roman" w:hAnsi="Arial" w:cs="Arial"/>
                <w:b/>
                <w:spacing w:val="-2"/>
                <w:sz w:val="14"/>
                <w:szCs w:val="14"/>
              </w:rPr>
              <w:t>28</w:t>
            </w:r>
          </w:p>
        </w:tc>
        <w:tc>
          <w:tcPr>
            <w:tcW w:w="1412" w:type="dxa"/>
            <w:tcBorders>
              <w:top w:val="nil"/>
              <w:left w:val="nil"/>
              <w:bottom w:val="nil"/>
              <w:right w:val="nil"/>
            </w:tcBorders>
            <w:hideMark/>
          </w:tcPr>
          <w:p w14:paraId="087B757E"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8"/>
              </w:rPr>
            </w:pPr>
            <w:r w:rsidRPr="007249CE">
              <w:rPr>
                <w:rFonts w:ascii="Arial" w:eastAsia="Times New Roman" w:hAnsi="Arial" w:cs="Arial"/>
                <w:b/>
                <w:spacing w:val="-2"/>
                <w:sz w:val="14"/>
                <w:szCs w:val="18"/>
              </w:rPr>
              <w:t>277</w:t>
            </w:r>
          </w:p>
        </w:tc>
        <w:tc>
          <w:tcPr>
            <w:tcW w:w="283" w:type="dxa"/>
            <w:tcBorders>
              <w:top w:val="nil"/>
              <w:left w:val="nil"/>
              <w:bottom w:val="nil"/>
              <w:right w:val="nil"/>
            </w:tcBorders>
          </w:tcPr>
          <w:p w14:paraId="03570F0F"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4"/>
              </w:rPr>
            </w:pPr>
          </w:p>
        </w:tc>
        <w:tc>
          <w:tcPr>
            <w:tcW w:w="1417" w:type="dxa"/>
            <w:tcBorders>
              <w:top w:val="nil"/>
              <w:left w:val="nil"/>
              <w:bottom w:val="nil"/>
              <w:right w:val="nil"/>
            </w:tcBorders>
            <w:hideMark/>
          </w:tcPr>
          <w:p w14:paraId="3DE97356"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4"/>
              </w:rPr>
            </w:pPr>
            <w:r w:rsidRPr="007249CE">
              <w:rPr>
                <w:rFonts w:ascii="Arial" w:eastAsia="Times New Roman" w:hAnsi="Arial" w:cs="Arial"/>
                <w:b/>
                <w:spacing w:val="-2"/>
                <w:sz w:val="14"/>
                <w:szCs w:val="14"/>
              </w:rPr>
              <w:t>(83)</w:t>
            </w:r>
          </w:p>
        </w:tc>
        <w:tc>
          <w:tcPr>
            <w:tcW w:w="1418" w:type="dxa"/>
            <w:tcBorders>
              <w:top w:val="nil"/>
              <w:left w:val="nil"/>
              <w:bottom w:val="nil"/>
              <w:right w:val="nil"/>
            </w:tcBorders>
            <w:hideMark/>
          </w:tcPr>
          <w:p w14:paraId="3FFA8F9F" w14:textId="77777777" w:rsidR="007249CE" w:rsidRPr="007249CE" w:rsidRDefault="007249CE" w:rsidP="007249CE">
            <w:pPr>
              <w:widowControl w:val="0"/>
              <w:spacing w:before="40" w:after="40" w:line="256" w:lineRule="auto"/>
              <w:jc w:val="right"/>
              <w:rPr>
                <w:rFonts w:ascii="Arial" w:eastAsia="Times New Roman" w:hAnsi="Arial" w:cs="Arial"/>
                <w:b/>
                <w:spacing w:val="-2"/>
                <w:sz w:val="14"/>
                <w:szCs w:val="14"/>
              </w:rPr>
            </w:pPr>
            <w:r w:rsidRPr="007249CE">
              <w:rPr>
                <w:rFonts w:ascii="Arial" w:eastAsia="Times New Roman" w:hAnsi="Arial" w:cs="Arial"/>
                <w:b/>
                <w:spacing w:val="-2"/>
                <w:sz w:val="14"/>
                <w:szCs w:val="14"/>
              </w:rPr>
              <w:t>222</w:t>
            </w:r>
          </w:p>
        </w:tc>
      </w:tr>
      <w:tr w:rsidR="007249CE" w:rsidRPr="007249CE" w14:paraId="25BD4C38" w14:textId="77777777" w:rsidTr="007249CE">
        <w:trPr>
          <w:trHeight w:val="238"/>
        </w:trPr>
        <w:tc>
          <w:tcPr>
            <w:tcW w:w="3094" w:type="dxa"/>
            <w:tcBorders>
              <w:top w:val="nil"/>
              <w:left w:val="nil"/>
              <w:bottom w:val="nil"/>
              <w:right w:val="nil"/>
            </w:tcBorders>
            <w:hideMark/>
          </w:tcPr>
          <w:p w14:paraId="50107586" w14:textId="77777777" w:rsidR="007249CE" w:rsidRPr="007249CE" w:rsidRDefault="007249CE" w:rsidP="007249CE">
            <w:pPr>
              <w:widowControl w:val="0"/>
              <w:spacing w:before="40" w:after="40" w:line="256" w:lineRule="auto"/>
              <w:ind w:left="113"/>
              <w:rPr>
                <w:rFonts w:ascii="Arial" w:eastAsia="Times New Roman" w:hAnsi="Arial" w:cs="Arial"/>
                <w:spacing w:val="-2"/>
                <w:sz w:val="14"/>
                <w:szCs w:val="18"/>
              </w:rPr>
            </w:pPr>
            <w:r w:rsidRPr="007249CE">
              <w:rPr>
                <w:rFonts w:ascii="Arial" w:eastAsia="Times New Roman" w:hAnsi="Arial" w:cs="Arial"/>
                <w:spacing w:val="-2"/>
                <w:sz w:val="14"/>
                <w:szCs w:val="18"/>
              </w:rPr>
              <w:t>Imposto de renda</w:t>
            </w:r>
          </w:p>
        </w:tc>
        <w:tc>
          <w:tcPr>
            <w:tcW w:w="604" w:type="dxa"/>
            <w:tcBorders>
              <w:top w:val="nil"/>
              <w:left w:val="nil"/>
              <w:bottom w:val="nil"/>
              <w:right w:val="nil"/>
            </w:tcBorders>
          </w:tcPr>
          <w:p w14:paraId="2279773D" w14:textId="77777777" w:rsidR="007249CE" w:rsidRPr="007249CE" w:rsidRDefault="007249CE" w:rsidP="007249CE">
            <w:pPr>
              <w:widowControl w:val="0"/>
              <w:spacing w:before="40" w:after="40" w:line="256" w:lineRule="auto"/>
              <w:jc w:val="center"/>
              <w:rPr>
                <w:rFonts w:ascii="Arial" w:eastAsia="Times New Roman" w:hAnsi="Arial" w:cs="Arial"/>
                <w:spacing w:val="-2"/>
                <w:sz w:val="14"/>
                <w:szCs w:val="14"/>
              </w:rPr>
            </w:pPr>
          </w:p>
        </w:tc>
        <w:tc>
          <w:tcPr>
            <w:tcW w:w="1411" w:type="dxa"/>
            <w:tcBorders>
              <w:top w:val="nil"/>
              <w:left w:val="nil"/>
              <w:bottom w:val="nil"/>
              <w:right w:val="nil"/>
            </w:tcBorders>
            <w:hideMark/>
          </w:tcPr>
          <w:p w14:paraId="28E025AB"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20</w:t>
            </w:r>
          </w:p>
        </w:tc>
        <w:tc>
          <w:tcPr>
            <w:tcW w:w="1412" w:type="dxa"/>
            <w:tcBorders>
              <w:top w:val="nil"/>
              <w:left w:val="nil"/>
              <w:bottom w:val="nil"/>
              <w:right w:val="nil"/>
            </w:tcBorders>
            <w:hideMark/>
          </w:tcPr>
          <w:p w14:paraId="3A11E80A"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8"/>
              </w:rPr>
            </w:pPr>
            <w:r w:rsidRPr="007249CE">
              <w:rPr>
                <w:rFonts w:ascii="Arial" w:eastAsia="Times New Roman" w:hAnsi="Arial" w:cs="Arial"/>
                <w:spacing w:val="-2"/>
                <w:sz w:val="14"/>
                <w:szCs w:val="18"/>
              </w:rPr>
              <w:t>204</w:t>
            </w:r>
          </w:p>
        </w:tc>
        <w:tc>
          <w:tcPr>
            <w:tcW w:w="283" w:type="dxa"/>
            <w:tcBorders>
              <w:top w:val="nil"/>
              <w:left w:val="nil"/>
              <w:bottom w:val="nil"/>
              <w:right w:val="nil"/>
            </w:tcBorders>
          </w:tcPr>
          <w:p w14:paraId="5BFF9615"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hideMark/>
          </w:tcPr>
          <w:p w14:paraId="772D8449"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(61)</w:t>
            </w:r>
          </w:p>
        </w:tc>
        <w:tc>
          <w:tcPr>
            <w:tcW w:w="1418" w:type="dxa"/>
            <w:tcBorders>
              <w:top w:val="nil"/>
              <w:left w:val="nil"/>
              <w:bottom w:val="nil"/>
              <w:right w:val="nil"/>
            </w:tcBorders>
            <w:hideMark/>
          </w:tcPr>
          <w:p w14:paraId="2838CA80"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163</w:t>
            </w:r>
          </w:p>
        </w:tc>
      </w:tr>
      <w:tr w:rsidR="007249CE" w:rsidRPr="007249CE" w14:paraId="3B42326A" w14:textId="77777777" w:rsidTr="007249CE">
        <w:trPr>
          <w:trHeight w:val="238"/>
        </w:trPr>
        <w:tc>
          <w:tcPr>
            <w:tcW w:w="3094" w:type="dxa"/>
            <w:tcBorders>
              <w:top w:val="nil"/>
              <w:left w:val="nil"/>
              <w:bottom w:val="single" w:sz="2" w:space="0" w:color="1F4E79"/>
              <w:right w:val="nil"/>
            </w:tcBorders>
            <w:hideMark/>
          </w:tcPr>
          <w:p w14:paraId="6A21D144" w14:textId="77777777" w:rsidR="007249CE" w:rsidRPr="007249CE" w:rsidRDefault="007249CE" w:rsidP="007249CE">
            <w:pPr>
              <w:widowControl w:val="0"/>
              <w:spacing w:before="40" w:after="40" w:line="256" w:lineRule="auto"/>
              <w:ind w:left="113"/>
              <w:rPr>
                <w:rFonts w:ascii="Arial" w:eastAsia="Times New Roman" w:hAnsi="Arial" w:cs="Arial"/>
                <w:spacing w:val="-2"/>
                <w:sz w:val="14"/>
                <w:szCs w:val="18"/>
              </w:rPr>
            </w:pPr>
            <w:r w:rsidRPr="007249CE">
              <w:rPr>
                <w:rFonts w:ascii="Arial" w:eastAsia="Times New Roman" w:hAnsi="Arial" w:cs="Arial"/>
                <w:spacing w:val="-2"/>
                <w:sz w:val="14"/>
                <w:szCs w:val="18"/>
              </w:rPr>
              <w:t>Contribuição social</w:t>
            </w:r>
          </w:p>
        </w:tc>
        <w:tc>
          <w:tcPr>
            <w:tcW w:w="604" w:type="dxa"/>
            <w:tcBorders>
              <w:top w:val="nil"/>
              <w:left w:val="nil"/>
              <w:bottom w:val="single" w:sz="2" w:space="0" w:color="1F4E79"/>
              <w:right w:val="nil"/>
            </w:tcBorders>
          </w:tcPr>
          <w:p w14:paraId="2E65FE23" w14:textId="77777777" w:rsidR="007249CE" w:rsidRPr="007249CE" w:rsidRDefault="007249CE" w:rsidP="007249CE">
            <w:pPr>
              <w:widowControl w:val="0"/>
              <w:spacing w:before="40" w:after="40" w:line="256" w:lineRule="auto"/>
              <w:jc w:val="center"/>
              <w:rPr>
                <w:rFonts w:ascii="Arial" w:eastAsia="Times New Roman" w:hAnsi="Arial" w:cs="Arial"/>
                <w:spacing w:val="-2"/>
                <w:sz w:val="14"/>
                <w:szCs w:val="14"/>
              </w:rPr>
            </w:pPr>
          </w:p>
        </w:tc>
        <w:tc>
          <w:tcPr>
            <w:tcW w:w="1411" w:type="dxa"/>
            <w:tcBorders>
              <w:top w:val="nil"/>
              <w:left w:val="nil"/>
              <w:bottom w:val="single" w:sz="2" w:space="0" w:color="1F4E79"/>
              <w:right w:val="nil"/>
            </w:tcBorders>
            <w:hideMark/>
          </w:tcPr>
          <w:p w14:paraId="19D355CA"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8</w:t>
            </w:r>
          </w:p>
        </w:tc>
        <w:tc>
          <w:tcPr>
            <w:tcW w:w="1412" w:type="dxa"/>
            <w:tcBorders>
              <w:top w:val="nil"/>
              <w:left w:val="nil"/>
              <w:bottom w:val="single" w:sz="2" w:space="0" w:color="1F4E79"/>
              <w:right w:val="nil"/>
            </w:tcBorders>
            <w:hideMark/>
          </w:tcPr>
          <w:p w14:paraId="5B8EEE63"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8"/>
              </w:rPr>
            </w:pPr>
            <w:r w:rsidRPr="007249CE">
              <w:rPr>
                <w:rFonts w:ascii="Arial" w:eastAsia="Times New Roman" w:hAnsi="Arial" w:cs="Arial"/>
                <w:spacing w:val="-2"/>
                <w:sz w:val="14"/>
                <w:szCs w:val="18"/>
              </w:rPr>
              <w:t>73</w:t>
            </w:r>
          </w:p>
        </w:tc>
        <w:tc>
          <w:tcPr>
            <w:tcW w:w="283" w:type="dxa"/>
            <w:tcBorders>
              <w:top w:val="nil"/>
              <w:left w:val="nil"/>
              <w:bottom w:val="single" w:sz="2" w:space="0" w:color="1F4E79"/>
              <w:right w:val="nil"/>
            </w:tcBorders>
          </w:tcPr>
          <w:p w14:paraId="155C3B29"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p>
        </w:tc>
        <w:tc>
          <w:tcPr>
            <w:tcW w:w="1417" w:type="dxa"/>
            <w:tcBorders>
              <w:top w:val="nil"/>
              <w:left w:val="nil"/>
              <w:bottom w:val="single" w:sz="2" w:space="0" w:color="1F4E79"/>
              <w:right w:val="nil"/>
            </w:tcBorders>
            <w:hideMark/>
          </w:tcPr>
          <w:p w14:paraId="0E565CA7"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(22)</w:t>
            </w:r>
          </w:p>
        </w:tc>
        <w:tc>
          <w:tcPr>
            <w:tcW w:w="1418" w:type="dxa"/>
            <w:tcBorders>
              <w:top w:val="nil"/>
              <w:left w:val="nil"/>
              <w:bottom w:val="single" w:sz="2" w:space="0" w:color="1F4E79"/>
              <w:right w:val="nil"/>
            </w:tcBorders>
            <w:hideMark/>
          </w:tcPr>
          <w:p w14:paraId="222D3475" w14:textId="77777777" w:rsidR="007249CE" w:rsidRPr="007249CE" w:rsidRDefault="007249CE" w:rsidP="007249CE">
            <w:pPr>
              <w:widowControl w:val="0"/>
              <w:spacing w:before="40" w:after="40" w:line="256" w:lineRule="auto"/>
              <w:jc w:val="right"/>
              <w:rPr>
                <w:rFonts w:ascii="Arial" w:eastAsia="Times New Roman" w:hAnsi="Arial" w:cs="Arial"/>
                <w:spacing w:val="-2"/>
                <w:sz w:val="14"/>
                <w:szCs w:val="14"/>
              </w:rPr>
            </w:pPr>
            <w:r w:rsidRPr="007249CE">
              <w:rPr>
                <w:rFonts w:ascii="Arial" w:eastAsia="Times New Roman" w:hAnsi="Arial" w:cs="Arial"/>
                <w:spacing w:val="-2"/>
                <w:sz w:val="14"/>
                <w:szCs w:val="14"/>
              </w:rPr>
              <w:t>59</w:t>
            </w:r>
          </w:p>
        </w:tc>
      </w:tr>
    </w:tbl>
    <w:p w14:paraId="7594D20A" w14:textId="77777777" w:rsidR="007249CE" w:rsidRPr="007249CE" w:rsidRDefault="007249CE" w:rsidP="007249CE">
      <w:pPr>
        <w:spacing w:after="0" w:line="240" w:lineRule="auto"/>
        <w:jc w:val="right"/>
        <w:rPr>
          <w:rFonts w:ascii="Arial" w:eastAsia="MS Mincho" w:hAnsi="Arial" w:cs="Arial"/>
          <w:b/>
          <w:sz w:val="14"/>
          <w:szCs w:val="22"/>
          <w:lang w:eastAsia="pt-BR"/>
        </w:rPr>
      </w:pPr>
    </w:p>
    <w:p w14:paraId="694AB90D" w14:textId="77777777" w:rsidR="007249CE" w:rsidRPr="007249CE" w:rsidRDefault="007249CE" w:rsidP="007249CE">
      <w:pPr>
        <w:spacing w:after="0" w:line="240" w:lineRule="auto"/>
        <w:jc w:val="right"/>
        <w:rPr>
          <w:rFonts w:ascii="Arial" w:eastAsia="MS Mincho" w:hAnsi="Arial" w:cs="Arial"/>
          <w:b/>
          <w:sz w:val="14"/>
          <w:szCs w:val="22"/>
          <w:lang w:eastAsia="pt-BR"/>
        </w:rPr>
      </w:pPr>
    </w:p>
    <w:p w14:paraId="72AA0575" w14:textId="77777777" w:rsidR="007249CE" w:rsidRPr="007249CE" w:rsidRDefault="007249CE" w:rsidP="007249CE">
      <w:pPr>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249CE" w:rsidRPr="007249CE" w14:paraId="52FBF819" w14:textId="77777777" w:rsidTr="007249CE">
        <w:trPr>
          <w:trHeight w:val="238"/>
        </w:trPr>
        <w:tc>
          <w:tcPr>
            <w:tcW w:w="3094" w:type="dxa"/>
            <w:tcBorders>
              <w:top w:val="single" w:sz="2" w:space="0" w:color="1F4E79"/>
              <w:bottom w:val="nil"/>
            </w:tcBorders>
            <w:shd w:val="clear" w:color="auto" w:fill="auto"/>
          </w:tcPr>
          <w:p w14:paraId="7FA03C41" w14:textId="77777777" w:rsidR="007249CE" w:rsidRPr="007249CE" w:rsidRDefault="007249CE" w:rsidP="007249CE">
            <w:pPr>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tcPr>
          <w:p w14:paraId="41349967" w14:textId="77777777" w:rsidR="007249CE" w:rsidRPr="007249CE" w:rsidRDefault="007249CE" w:rsidP="007249CE">
            <w:pPr>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19EDCDC7" w14:textId="77777777" w:rsidR="007249CE" w:rsidRPr="007249CE" w:rsidRDefault="007249CE" w:rsidP="007249CE">
            <w:pPr>
              <w:spacing w:after="0" w:line="276" w:lineRule="auto"/>
              <w:jc w:val="center"/>
              <w:rPr>
                <w:rFonts w:ascii="Arial" w:eastAsia="MS Mincho" w:hAnsi="Arial" w:cs="Arial"/>
                <w:b/>
                <w:sz w:val="14"/>
                <w:szCs w:val="14"/>
              </w:rPr>
            </w:pPr>
            <w:proofErr w:type="spellStart"/>
            <w:r w:rsidRPr="007249CE">
              <w:rPr>
                <w:rFonts w:ascii="Arial" w:eastAsia="MS Mincho" w:hAnsi="Arial" w:cs="Arial"/>
                <w:b/>
                <w:sz w:val="14"/>
                <w:szCs w:val="14"/>
              </w:rPr>
              <w:t>Consolidated</w:t>
            </w:r>
            <w:proofErr w:type="spellEnd"/>
          </w:p>
        </w:tc>
      </w:tr>
      <w:tr w:rsidR="007249CE" w:rsidRPr="007249CE" w14:paraId="32AD5250" w14:textId="77777777" w:rsidTr="007249CE">
        <w:trPr>
          <w:trHeight w:val="238"/>
        </w:trPr>
        <w:tc>
          <w:tcPr>
            <w:tcW w:w="3094" w:type="dxa"/>
            <w:tcBorders>
              <w:top w:val="nil"/>
              <w:bottom w:val="single" w:sz="2" w:space="0" w:color="1F4E79"/>
            </w:tcBorders>
            <w:shd w:val="clear" w:color="auto" w:fill="auto"/>
          </w:tcPr>
          <w:p w14:paraId="2769C8C0"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tcPr>
          <w:p w14:paraId="2047364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66FA3B6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31, 2023</w:t>
            </w:r>
          </w:p>
        </w:tc>
        <w:tc>
          <w:tcPr>
            <w:tcW w:w="1412" w:type="dxa"/>
            <w:tcBorders>
              <w:top w:val="single" w:sz="2" w:space="0" w:color="1F4E79"/>
              <w:bottom w:val="single" w:sz="2" w:space="0" w:color="1F4E79"/>
            </w:tcBorders>
            <w:shd w:val="clear" w:color="auto" w:fill="auto"/>
          </w:tcPr>
          <w:p w14:paraId="28C5B0B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tcPr>
          <w:p w14:paraId="43183AB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13912BB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tcPr>
          <w:p w14:paraId="4347C06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31, 2024</w:t>
            </w:r>
          </w:p>
        </w:tc>
      </w:tr>
      <w:tr w:rsidR="007249CE" w:rsidRPr="007249CE" w14:paraId="4C6E7BD1" w14:textId="77777777" w:rsidTr="007249CE">
        <w:trPr>
          <w:trHeight w:val="238"/>
        </w:trPr>
        <w:tc>
          <w:tcPr>
            <w:tcW w:w="3094" w:type="dxa"/>
            <w:tcBorders>
              <w:top w:val="single" w:sz="2" w:space="0" w:color="1F4E79"/>
            </w:tcBorders>
            <w:shd w:val="clear" w:color="auto" w:fill="auto"/>
          </w:tcPr>
          <w:p w14:paraId="3E3B9C8E"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roofErr w:type="spellStart"/>
            <w:r w:rsidRPr="007249CE">
              <w:rPr>
                <w:rFonts w:ascii="Arial" w:eastAsia="Times New Roman" w:hAnsi="Arial" w:cs="Arial"/>
                <w:b/>
                <w:spacing w:val="-2"/>
                <w:sz w:val="14"/>
                <w:szCs w:val="14"/>
                <w:lang w:eastAsia="pt-BR"/>
              </w:rPr>
              <w:t>Temporary</w:t>
            </w:r>
            <w:proofErr w:type="spellEnd"/>
            <w:r w:rsidRPr="007249CE">
              <w:rPr>
                <w:rFonts w:ascii="Arial" w:eastAsia="Times New Roman" w:hAnsi="Arial" w:cs="Arial"/>
                <w:b/>
                <w:spacing w:val="-2"/>
                <w:sz w:val="14"/>
                <w:szCs w:val="14"/>
                <w:lang w:eastAsia="pt-BR"/>
              </w:rPr>
              <w:t xml:space="preserve"> </w:t>
            </w:r>
            <w:proofErr w:type="spellStart"/>
            <w:r w:rsidRPr="007249CE">
              <w:rPr>
                <w:rFonts w:ascii="Arial" w:eastAsia="Times New Roman" w:hAnsi="Arial" w:cs="Arial"/>
                <w:b/>
                <w:spacing w:val="-2"/>
                <w:sz w:val="14"/>
                <w:szCs w:val="14"/>
                <w:lang w:eastAsia="pt-BR"/>
              </w:rPr>
              <w:t>differences</w:t>
            </w:r>
            <w:proofErr w:type="spellEnd"/>
          </w:p>
        </w:tc>
        <w:tc>
          <w:tcPr>
            <w:tcW w:w="604" w:type="dxa"/>
            <w:tcBorders>
              <w:top w:val="single" w:sz="2" w:space="0" w:color="1F4E79"/>
            </w:tcBorders>
            <w:shd w:val="clear" w:color="auto" w:fill="auto"/>
          </w:tcPr>
          <w:p w14:paraId="0FF1D718"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4BD56F96"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5626AC5A"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24AED0E3"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61906649"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7BB0E5D8"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r>
      <w:tr w:rsidR="007249CE" w:rsidRPr="007249CE" w14:paraId="6D8DB904" w14:textId="77777777" w:rsidTr="007249CE">
        <w:trPr>
          <w:trHeight w:val="238"/>
        </w:trPr>
        <w:tc>
          <w:tcPr>
            <w:tcW w:w="3094" w:type="dxa"/>
            <w:shd w:val="clear" w:color="auto" w:fill="auto"/>
          </w:tcPr>
          <w:p w14:paraId="4590CD94"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Liabilities</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provision</w:t>
            </w:r>
            <w:proofErr w:type="spellEnd"/>
          </w:p>
        </w:tc>
        <w:tc>
          <w:tcPr>
            <w:tcW w:w="604" w:type="dxa"/>
            <w:shd w:val="clear" w:color="auto" w:fill="auto"/>
          </w:tcPr>
          <w:p w14:paraId="5F2B79A2"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21E63803" w14:textId="69F76879"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10</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191</w:t>
            </w:r>
          </w:p>
        </w:tc>
        <w:tc>
          <w:tcPr>
            <w:tcW w:w="1412" w:type="dxa"/>
            <w:shd w:val="clear" w:color="auto" w:fill="auto"/>
          </w:tcPr>
          <w:p w14:paraId="17FF7DBF" w14:textId="49EC9F4D"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22</w:t>
            </w:r>
            <w:r w:rsidR="00A905E5">
              <w:rPr>
                <w:rFonts w:ascii="Arial" w:eastAsia="Times New Roman" w:hAnsi="Arial" w:cs="Arial"/>
                <w:spacing w:val="-2"/>
                <w:sz w:val="14"/>
                <w:szCs w:val="18"/>
                <w:lang w:eastAsia="pt-BR"/>
              </w:rPr>
              <w:t>,</w:t>
            </w:r>
            <w:r w:rsidRPr="007249CE">
              <w:rPr>
                <w:rFonts w:ascii="Arial" w:eastAsia="Times New Roman" w:hAnsi="Arial" w:cs="Arial"/>
                <w:spacing w:val="-2"/>
                <w:sz w:val="14"/>
                <w:szCs w:val="18"/>
                <w:lang w:eastAsia="pt-BR"/>
              </w:rPr>
              <w:t>718</w:t>
            </w:r>
          </w:p>
        </w:tc>
        <w:tc>
          <w:tcPr>
            <w:tcW w:w="283" w:type="dxa"/>
            <w:shd w:val="clear" w:color="auto" w:fill="auto"/>
          </w:tcPr>
          <w:p w14:paraId="3F87B3C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54086CEC" w14:textId="29075999"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(7</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011)</w:t>
            </w:r>
          </w:p>
        </w:tc>
        <w:tc>
          <w:tcPr>
            <w:tcW w:w="1418" w:type="dxa"/>
            <w:shd w:val="clear" w:color="auto" w:fill="auto"/>
          </w:tcPr>
          <w:p w14:paraId="62478A33" w14:textId="65E22292"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25</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898</w:t>
            </w:r>
          </w:p>
        </w:tc>
      </w:tr>
      <w:tr w:rsidR="007249CE" w:rsidRPr="007249CE" w14:paraId="0F90E67F" w14:textId="77777777" w:rsidTr="007249CE">
        <w:trPr>
          <w:trHeight w:val="238"/>
        </w:trPr>
        <w:tc>
          <w:tcPr>
            <w:tcW w:w="3094" w:type="dxa"/>
            <w:shd w:val="clear" w:color="auto" w:fill="auto"/>
          </w:tcPr>
          <w:p w14:paraId="70FFBD45"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Amortization</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of</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goodwill</w:t>
            </w:r>
            <w:proofErr w:type="spellEnd"/>
          </w:p>
        </w:tc>
        <w:tc>
          <w:tcPr>
            <w:tcW w:w="604" w:type="dxa"/>
            <w:shd w:val="clear" w:color="auto" w:fill="auto"/>
          </w:tcPr>
          <w:p w14:paraId="1E0CF2C9"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71CAC017" w14:textId="2B4F848A"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3</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053</w:t>
            </w:r>
          </w:p>
        </w:tc>
        <w:tc>
          <w:tcPr>
            <w:tcW w:w="1412" w:type="dxa"/>
            <w:shd w:val="clear" w:color="auto" w:fill="auto"/>
          </w:tcPr>
          <w:p w14:paraId="0A381F9B"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w:t>
            </w:r>
          </w:p>
        </w:tc>
        <w:tc>
          <w:tcPr>
            <w:tcW w:w="283" w:type="dxa"/>
            <w:shd w:val="clear" w:color="auto" w:fill="auto"/>
          </w:tcPr>
          <w:p w14:paraId="26212A7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6167EB8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w:t>
            </w:r>
          </w:p>
        </w:tc>
        <w:tc>
          <w:tcPr>
            <w:tcW w:w="1418" w:type="dxa"/>
            <w:shd w:val="clear" w:color="auto" w:fill="auto"/>
          </w:tcPr>
          <w:p w14:paraId="6AC480DF" w14:textId="71B22381"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3</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053</w:t>
            </w:r>
          </w:p>
        </w:tc>
      </w:tr>
      <w:tr w:rsidR="007249CE" w:rsidRPr="007249CE" w14:paraId="78D4B452" w14:textId="77777777" w:rsidTr="007249CE">
        <w:trPr>
          <w:trHeight w:val="238"/>
        </w:trPr>
        <w:tc>
          <w:tcPr>
            <w:tcW w:w="3094" w:type="dxa"/>
            <w:shd w:val="clear" w:color="auto" w:fill="auto"/>
          </w:tcPr>
          <w:p w14:paraId="44E756CD" w14:textId="77777777" w:rsidR="007249CE" w:rsidRPr="007249CE" w:rsidRDefault="007249CE" w:rsidP="007249CE">
            <w:pPr>
              <w:keepNext/>
              <w:keepLines/>
              <w:spacing w:before="40" w:after="40" w:line="240" w:lineRule="auto"/>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 xml:space="preserve">Total </w:t>
            </w:r>
            <w:proofErr w:type="spellStart"/>
            <w:r w:rsidRPr="007249CE">
              <w:rPr>
                <w:rFonts w:ascii="Arial" w:eastAsia="Times New Roman" w:hAnsi="Arial" w:cs="Arial"/>
                <w:b/>
                <w:spacing w:val="-2"/>
                <w:sz w:val="14"/>
                <w:szCs w:val="18"/>
                <w:lang w:eastAsia="pt-BR"/>
              </w:rPr>
              <w:t>deferred</w:t>
            </w:r>
            <w:proofErr w:type="spellEnd"/>
            <w:r w:rsidRPr="007249CE">
              <w:rPr>
                <w:rFonts w:ascii="Arial" w:eastAsia="Times New Roman" w:hAnsi="Arial" w:cs="Arial"/>
                <w:b/>
                <w:spacing w:val="-2"/>
                <w:sz w:val="14"/>
                <w:szCs w:val="18"/>
                <w:lang w:eastAsia="pt-BR"/>
              </w:rPr>
              <w:t xml:space="preserve"> </w:t>
            </w:r>
            <w:proofErr w:type="spellStart"/>
            <w:r w:rsidRPr="007249CE">
              <w:rPr>
                <w:rFonts w:ascii="Arial" w:eastAsia="Times New Roman" w:hAnsi="Arial" w:cs="Arial"/>
                <w:b/>
                <w:spacing w:val="-2"/>
                <w:sz w:val="14"/>
                <w:szCs w:val="18"/>
                <w:lang w:eastAsia="pt-BR"/>
              </w:rPr>
              <w:t>tax</w:t>
            </w:r>
            <w:proofErr w:type="spellEnd"/>
            <w:r w:rsidRPr="007249CE">
              <w:rPr>
                <w:rFonts w:ascii="Arial" w:eastAsia="Times New Roman" w:hAnsi="Arial" w:cs="Arial"/>
                <w:b/>
                <w:spacing w:val="-2"/>
                <w:sz w:val="14"/>
                <w:szCs w:val="18"/>
                <w:lang w:eastAsia="pt-BR"/>
              </w:rPr>
              <w:t xml:space="preserve"> </w:t>
            </w:r>
            <w:proofErr w:type="spellStart"/>
            <w:r w:rsidRPr="007249CE">
              <w:rPr>
                <w:rFonts w:ascii="Arial" w:eastAsia="Times New Roman" w:hAnsi="Arial" w:cs="Arial"/>
                <w:b/>
                <w:spacing w:val="-2"/>
                <w:sz w:val="14"/>
                <w:szCs w:val="18"/>
                <w:lang w:eastAsia="pt-BR"/>
              </w:rPr>
              <w:t>assets</w:t>
            </w:r>
            <w:proofErr w:type="spellEnd"/>
          </w:p>
        </w:tc>
        <w:tc>
          <w:tcPr>
            <w:tcW w:w="604" w:type="dxa"/>
            <w:shd w:val="clear" w:color="auto" w:fill="auto"/>
          </w:tcPr>
          <w:p w14:paraId="79F9C6F1"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7E520EE6" w14:textId="0596EE2B"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13</w:t>
            </w:r>
            <w:r w:rsidR="00A905E5">
              <w:rPr>
                <w:rFonts w:ascii="Arial" w:eastAsia="Times New Roman" w:hAnsi="Arial" w:cs="Arial"/>
                <w:b/>
                <w:spacing w:val="-2"/>
                <w:sz w:val="14"/>
                <w:szCs w:val="14"/>
                <w:lang w:eastAsia="pt-BR"/>
              </w:rPr>
              <w:t>,</w:t>
            </w:r>
            <w:r w:rsidRPr="007249CE">
              <w:rPr>
                <w:rFonts w:ascii="Arial" w:eastAsia="Times New Roman" w:hAnsi="Arial" w:cs="Arial"/>
                <w:b/>
                <w:spacing w:val="-2"/>
                <w:sz w:val="14"/>
                <w:szCs w:val="14"/>
                <w:lang w:eastAsia="pt-BR"/>
              </w:rPr>
              <w:t>244</w:t>
            </w:r>
          </w:p>
        </w:tc>
        <w:tc>
          <w:tcPr>
            <w:tcW w:w="1412" w:type="dxa"/>
            <w:shd w:val="clear" w:color="auto" w:fill="auto"/>
          </w:tcPr>
          <w:p w14:paraId="2D12776E" w14:textId="705E5A4A"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22</w:t>
            </w:r>
            <w:r w:rsidR="00A905E5">
              <w:rPr>
                <w:rFonts w:ascii="Arial" w:eastAsia="Times New Roman" w:hAnsi="Arial" w:cs="Arial"/>
                <w:b/>
                <w:spacing w:val="-2"/>
                <w:sz w:val="14"/>
                <w:szCs w:val="18"/>
                <w:lang w:eastAsia="pt-BR"/>
              </w:rPr>
              <w:t>,</w:t>
            </w:r>
            <w:r w:rsidRPr="007249CE">
              <w:rPr>
                <w:rFonts w:ascii="Arial" w:eastAsia="Times New Roman" w:hAnsi="Arial" w:cs="Arial"/>
                <w:b/>
                <w:spacing w:val="-2"/>
                <w:sz w:val="14"/>
                <w:szCs w:val="18"/>
                <w:lang w:eastAsia="pt-BR"/>
              </w:rPr>
              <w:t>718</w:t>
            </w:r>
          </w:p>
        </w:tc>
        <w:tc>
          <w:tcPr>
            <w:tcW w:w="283" w:type="dxa"/>
            <w:shd w:val="clear" w:color="auto" w:fill="auto"/>
          </w:tcPr>
          <w:p w14:paraId="387C83C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1BD7B0A6" w14:textId="5114AD6C"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(7</w:t>
            </w:r>
            <w:r w:rsidR="00A905E5">
              <w:rPr>
                <w:rFonts w:ascii="Arial" w:eastAsia="Times New Roman" w:hAnsi="Arial" w:cs="Arial"/>
                <w:b/>
                <w:spacing w:val="-2"/>
                <w:sz w:val="14"/>
                <w:szCs w:val="14"/>
                <w:lang w:eastAsia="pt-BR"/>
              </w:rPr>
              <w:t>,</w:t>
            </w:r>
            <w:r w:rsidRPr="007249CE">
              <w:rPr>
                <w:rFonts w:ascii="Arial" w:eastAsia="Times New Roman" w:hAnsi="Arial" w:cs="Arial"/>
                <w:b/>
                <w:spacing w:val="-2"/>
                <w:sz w:val="14"/>
                <w:szCs w:val="14"/>
                <w:lang w:eastAsia="pt-BR"/>
              </w:rPr>
              <w:t>011)</w:t>
            </w:r>
          </w:p>
        </w:tc>
        <w:tc>
          <w:tcPr>
            <w:tcW w:w="1418" w:type="dxa"/>
            <w:shd w:val="clear" w:color="auto" w:fill="auto"/>
          </w:tcPr>
          <w:p w14:paraId="3CA09DDB" w14:textId="292EEDC5"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28</w:t>
            </w:r>
            <w:r w:rsidR="00A905E5">
              <w:rPr>
                <w:rFonts w:ascii="Arial" w:eastAsia="Times New Roman" w:hAnsi="Arial" w:cs="Arial"/>
                <w:b/>
                <w:spacing w:val="-2"/>
                <w:sz w:val="14"/>
                <w:szCs w:val="14"/>
                <w:lang w:eastAsia="pt-BR"/>
              </w:rPr>
              <w:t>,</w:t>
            </w:r>
            <w:r w:rsidRPr="007249CE">
              <w:rPr>
                <w:rFonts w:ascii="Arial" w:eastAsia="Times New Roman" w:hAnsi="Arial" w:cs="Arial"/>
                <w:b/>
                <w:spacing w:val="-2"/>
                <w:sz w:val="14"/>
                <w:szCs w:val="14"/>
                <w:lang w:eastAsia="pt-BR"/>
              </w:rPr>
              <w:t>951</w:t>
            </w:r>
          </w:p>
        </w:tc>
      </w:tr>
      <w:tr w:rsidR="007249CE" w:rsidRPr="007249CE" w14:paraId="583422EE" w14:textId="77777777" w:rsidTr="007249CE">
        <w:trPr>
          <w:trHeight w:val="238"/>
        </w:trPr>
        <w:tc>
          <w:tcPr>
            <w:tcW w:w="3094" w:type="dxa"/>
            <w:tcBorders>
              <w:bottom w:val="nil"/>
            </w:tcBorders>
            <w:shd w:val="clear" w:color="auto" w:fill="auto"/>
          </w:tcPr>
          <w:p w14:paraId="13169EDC"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8"/>
                <w:lang w:eastAsia="pt-BR"/>
              </w:rPr>
            </w:pPr>
            <w:proofErr w:type="spellStart"/>
            <w:r w:rsidRPr="007249CE">
              <w:rPr>
                <w:rFonts w:ascii="Arial" w:eastAsia="Times New Roman" w:hAnsi="Arial" w:cs="Arial"/>
                <w:spacing w:val="-2"/>
                <w:sz w:val="14"/>
                <w:szCs w:val="18"/>
                <w:lang w:eastAsia="pt-BR"/>
              </w:rPr>
              <w:t>Incone</w:t>
            </w:r>
            <w:proofErr w:type="spellEnd"/>
            <w:r w:rsidRPr="007249CE">
              <w:rPr>
                <w:rFonts w:ascii="Arial" w:eastAsia="Times New Roman" w:hAnsi="Arial" w:cs="Arial"/>
                <w:spacing w:val="-2"/>
                <w:sz w:val="14"/>
                <w:szCs w:val="18"/>
                <w:lang w:eastAsia="pt-BR"/>
              </w:rPr>
              <w:t xml:space="preserve"> </w:t>
            </w:r>
            <w:proofErr w:type="spellStart"/>
            <w:r w:rsidRPr="007249CE">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65D91524"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540D0142" w14:textId="2216339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10</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543</w:t>
            </w:r>
          </w:p>
        </w:tc>
        <w:tc>
          <w:tcPr>
            <w:tcW w:w="1412" w:type="dxa"/>
            <w:tcBorders>
              <w:bottom w:val="nil"/>
            </w:tcBorders>
            <w:shd w:val="clear" w:color="auto" w:fill="auto"/>
          </w:tcPr>
          <w:p w14:paraId="11F6327F" w14:textId="0E45883A"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16</w:t>
            </w:r>
            <w:r w:rsidR="00A905E5">
              <w:rPr>
                <w:rFonts w:ascii="Arial" w:eastAsia="Times New Roman" w:hAnsi="Arial" w:cs="Arial"/>
                <w:spacing w:val="-2"/>
                <w:sz w:val="14"/>
                <w:szCs w:val="18"/>
                <w:lang w:eastAsia="pt-BR"/>
              </w:rPr>
              <w:t>,</w:t>
            </w:r>
            <w:r w:rsidRPr="007249CE">
              <w:rPr>
                <w:rFonts w:ascii="Arial" w:eastAsia="Times New Roman" w:hAnsi="Arial" w:cs="Arial"/>
                <w:spacing w:val="-2"/>
                <w:sz w:val="14"/>
                <w:szCs w:val="18"/>
                <w:lang w:eastAsia="pt-BR"/>
              </w:rPr>
              <w:t>704</w:t>
            </w:r>
          </w:p>
        </w:tc>
        <w:tc>
          <w:tcPr>
            <w:tcW w:w="283" w:type="dxa"/>
            <w:tcBorders>
              <w:bottom w:val="nil"/>
            </w:tcBorders>
            <w:shd w:val="clear" w:color="auto" w:fill="auto"/>
          </w:tcPr>
          <w:p w14:paraId="2CFBECBB"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57B59D6B" w14:textId="464DE8E6"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(5</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153)</w:t>
            </w:r>
          </w:p>
        </w:tc>
        <w:tc>
          <w:tcPr>
            <w:tcW w:w="1418" w:type="dxa"/>
            <w:tcBorders>
              <w:bottom w:val="nil"/>
            </w:tcBorders>
            <w:shd w:val="clear" w:color="auto" w:fill="auto"/>
          </w:tcPr>
          <w:p w14:paraId="6D6509C1" w14:textId="0C169CE3"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22</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094</w:t>
            </w:r>
          </w:p>
        </w:tc>
      </w:tr>
      <w:tr w:rsidR="007249CE" w:rsidRPr="007249CE" w14:paraId="6A06741A" w14:textId="77777777" w:rsidTr="007249CE">
        <w:trPr>
          <w:trHeight w:val="238"/>
        </w:trPr>
        <w:tc>
          <w:tcPr>
            <w:tcW w:w="3094" w:type="dxa"/>
            <w:tcBorders>
              <w:top w:val="nil"/>
              <w:bottom w:val="single" w:sz="2" w:space="0" w:color="1F4E79"/>
            </w:tcBorders>
            <w:shd w:val="clear" w:color="auto" w:fill="auto"/>
          </w:tcPr>
          <w:p w14:paraId="632CDB00"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 xml:space="preserve">Social </w:t>
            </w:r>
            <w:proofErr w:type="spellStart"/>
            <w:r w:rsidRPr="007249CE">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4ADA8756"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3C86BD24" w14:textId="69A73B9C"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701</w:t>
            </w:r>
          </w:p>
        </w:tc>
        <w:tc>
          <w:tcPr>
            <w:tcW w:w="1412" w:type="dxa"/>
            <w:tcBorders>
              <w:top w:val="nil"/>
              <w:bottom w:val="single" w:sz="2" w:space="0" w:color="1F4E79"/>
            </w:tcBorders>
            <w:shd w:val="clear" w:color="auto" w:fill="auto"/>
          </w:tcPr>
          <w:p w14:paraId="1812F22F" w14:textId="243FC02F"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6</w:t>
            </w:r>
            <w:r w:rsidR="00A905E5">
              <w:rPr>
                <w:rFonts w:ascii="Arial" w:eastAsia="Times New Roman" w:hAnsi="Arial" w:cs="Arial"/>
                <w:spacing w:val="-2"/>
                <w:sz w:val="14"/>
                <w:szCs w:val="18"/>
                <w:lang w:eastAsia="pt-BR"/>
              </w:rPr>
              <w:t>,</w:t>
            </w:r>
            <w:r w:rsidRPr="007249CE">
              <w:rPr>
                <w:rFonts w:ascii="Arial" w:eastAsia="Times New Roman" w:hAnsi="Arial" w:cs="Arial"/>
                <w:spacing w:val="-2"/>
                <w:sz w:val="14"/>
                <w:szCs w:val="18"/>
                <w:lang w:eastAsia="pt-BR"/>
              </w:rPr>
              <w:t>014</w:t>
            </w:r>
          </w:p>
        </w:tc>
        <w:tc>
          <w:tcPr>
            <w:tcW w:w="283" w:type="dxa"/>
            <w:tcBorders>
              <w:top w:val="nil"/>
              <w:bottom w:val="single" w:sz="2" w:space="0" w:color="1F4E79"/>
            </w:tcBorders>
            <w:shd w:val="clear" w:color="auto" w:fill="auto"/>
          </w:tcPr>
          <w:p w14:paraId="29E1C254"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54E8CE68" w14:textId="50C5895D"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858)</w:t>
            </w:r>
          </w:p>
        </w:tc>
        <w:tc>
          <w:tcPr>
            <w:tcW w:w="1418" w:type="dxa"/>
            <w:tcBorders>
              <w:top w:val="nil"/>
              <w:bottom w:val="single" w:sz="2" w:space="0" w:color="1F4E79"/>
            </w:tcBorders>
            <w:shd w:val="clear" w:color="auto" w:fill="auto"/>
          </w:tcPr>
          <w:p w14:paraId="024346F9" w14:textId="7D540550"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6</w:t>
            </w:r>
            <w:r w:rsidR="00A905E5">
              <w:rPr>
                <w:rFonts w:ascii="Arial" w:eastAsia="Times New Roman" w:hAnsi="Arial" w:cs="Arial"/>
                <w:spacing w:val="-2"/>
                <w:sz w:val="14"/>
                <w:szCs w:val="14"/>
                <w:lang w:eastAsia="pt-BR"/>
              </w:rPr>
              <w:t>,</w:t>
            </w:r>
            <w:r w:rsidRPr="007249CE">
              <w:rPr>
                <w:rFonts w:ascii="Arial" w:eastAsia="Times New Roman" w:hAnsi="Arial" w:cs="Arial"/>
                <w:spacing w:val="-2"/>
                <w:sz w:val="14"/>
                <w:szCs w:val="14"/>
                <w:lang w:eastAsia="pt-BR"/>
              </w:rPr>
              <w:t>857</w:t>
            </w:r>
          </w:p>
        </w:tc>
      </w:tr>
    </w:tbl>
    <w:p w14:paraId="14A10BC0" w14:textId="77777777" w:rsidR="007249CE" w:rsidRPr="007249CE" w:rsidRDefault="007249CE" w:rsidP="003B5859">
      <w:pPr>
        <w:pageBreakBefore/>
        <w:spacing w:after="0" w:line="240" w:lineRule="auto"/>
        <w:jc w:val="right"/>
        <w:rPr>
          <w:rFonts w:ascii="Arial" w:eastAsia="MS Mincho" w:hAnsi="Arial" w:cs="Arial"/>
          <w:b/>
          <w:sz w:val="14"/>
          <w:szCs w:val="22"/>
          <w:lang w:eastAsia="pt-BR"/>
        </w:rPr>
      </w:pPr>
    </w:p>
    <w:p w14:paraId="014C8A5D" w14:textId="77777777" w:rsidR="007249CE" w:rsidRPr="007249CE" w:rsidRDefault="007249CE" w:rsidP="003B5859">
      <w:pPr>
        <w:keepNext/>
        <w:keepLines/>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7249CE" w:rsidRPr="007249CE" w14:paraId="4E2AEF4D" w14:textId="77777777" w:rsidTr="007249CE">
        <w:trPr>
          <w:trHeight w:val="238"/>
        </w:trPr>
        <w:tc>
          <w:tcPr>
            <w:tcW w:w="3094" w:type="dxa"/>
            <w:tcBorders>
              <w:top w:val="single" w:sz="2" w:space="0" w:color="1F4E79"/>
              <w:bottom w:val="nil"/>
            </w:tcBorders>
            <w:shd w:val="clear" w:color="auto" w:fill="auto"/>
          </w:tcPr>
          <w:p w14:paraId="7064BB71" w14:textId="77777777" w:rsidR="007249CE" w:rsidRPr="007249CE" w:rsidRDefault="007249CE" w:rsidP="007249CE">
            <w:pPr>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tcPr>
          <w:p w14:paraId="6377DDF4" w14:textId="77777777" w:rsidR="007249CE" w:rsidRPr="007249CE" w:rsidRDefault="007249CE" w:rsidP="007249CE">
            <w:pPr>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088AC16C" w14:textId="77777777" w:rsidR="007249CE" w:rsidRPr="007249CE" w:rsidRDefault="007249CE" w:rsidP="007249CE">
            <w:pPr>
              <w:spacing w:after="0" w:line="276" w:lineRule="auto"/>
              <w:jc w:val="center"/>
              <w:rPr>
                <w:rFonts w:ascii="Arial" w:eastAsia="MS Mincho" w:hAnsi="Arial" w:cs="Arial"/>
                <w:b/>
                <w:sz w:val="14"/>
                <w:szCs w:val="14"/>
              </w:rPr>
            </w:pPr>
            <w:proofErr w:type="spellStart"/>
            <w:r w:rsidRPr="007249CE">
              <w:rPr>
                <w:rFonts w:ascii="Arial" w:eastAsia="MS Mincho" w:hAnsi="Arial" w:cs="Arial"/>
                <w:b/>
                <w:sz w:val="14"/>
                <w:szCs w:val="14"/>
              </w:rPr>
              <w:t>Consolidated</w:t>
            </w:r>
            <w:proofErr w:type="spellEnd"/>
          </w:p>
        </w:tc>
      </w:tr>
      <w:tr w:rsidR="007249CE" w:rsidRPr="007249CE" w14:paraId="6FD8219F" w14:textId="77777777" w:rsidTr="007249CE">
        <w:trPr>
          <w:trHeight w:val="238"/>
        </w:trPr>
        <w:tc>
          <w:tcPr>
            <w:tcW w:w="3094" w:type="dxa"/>
            <w:tcBorders>
              <w:top w:val="nil"/>
              <w:bottom w:val="single" w:sz="2" w:space="0" w:color="1F4E79"/>
            </w:tcBorders>
            <w:shd w:val="clear" w:color="auto" w:fill="auto"/>
          </w:tcPr>
          <w:p w14:paraId="602B371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tcPr>
          <w:p w14:paraId="74EE1AB7"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6D83CDBF"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31, 2022</w:t>
            </w:r>
          </w:p>
        </w:tc>
        <w:tc>
          <w:tcPr>
            <w:tcW w:w="1412" w:type="dxa"/>
            <w:tcBorders>
              <w:top w:val="single" w:sz="2" w:space="0" w:color="1F4E79"/>
              <w:bottom w:val="single" w:sz="2" w:space="0" w:color="1F4E79"/>
            </w:tcBorders>
            <w:shd w:val="clear" w:color="auto" w:fill="auto"/>
          </w:tcPr>
          <w:p w14:paraId="74790E8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Addition</w:t>
            </w:r>
            <w:proofErr w:type="spellEnd"/>
          </w:p>
        </w:tc>
        <w:tc>
          <w:tcPr>
            <w:tcW w:w="283" w:type="dxa"/>
            <w:tcBorders>
              <w:top w:val="single" w:sz="2" w:space="0" w:color="1F4E79"/>
              <w:bottom w:val="single" w:sz="2" w:space="0" w:color="1F4E79"/>
            </w:tcBorders>
            <w:shd w:val="clear" w:color="auto" w:fill="auto"/>
          </w:tcPr>
          <w:p w14:paraId="632FFBE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42E0C90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Derecognition</w:t>
            </w:r>
            <w:proofErr w:type="spellEnd"/>
          </w:p>
        </w:tc>
        <w:tc>
          <w:tcPr>
            <w:tcW w:w="1418" w:type="dxa"/>
            <w:tcBorders>
              <w:top w:val="single" w:sz="2" w:space="0" w:color="1F4E79"/>
              <w:bottom w:val="single" w:sz="2" w:space="0" w:color="1F4E79"/>
            </w:tcBorders>
            <w:shd w:val="clear" w:color="auto" w:fill="auto"/>
          </w:tcPr>
          <w:p w14:paraId="448CFD24"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31, 2023</w:t>
            </w:r>
          </w:p>
        </w:tc>
      </w:tr>
      <w:tr w:rsidR="007249CE" w:rsidRPr="007249CE" w14:paraId="014CEF40" w14:textId="77777777" w:rsidTr="007249CE">
        <w:trPr>
          <w:trHeight w:val="238"/>
        </w:trPr>
        <w:tc>
          <w:tcPr>
            <w:tcW w:w="3094" w:type="dxa"/>
            <w:tcBorders>
              <w:top w:val="single" w:sz="2" w:space="0" w:color="1F4E79"/>
            </w:tcBorders>
            <w:shd w:val="clear" w:color="auto" w:fill="auto"/>
          </w:tcPr>
          <w:p w14:paraId="518EBEE8"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roofErr w:type="spellStart"/>
            <w:r w:rsidRPr="007249CE">
              <w:rPr>
                <w:rFonts w:ascii="Arial" w:eastAsia="Times New Roman" w:hAnsi="Arial" w:cs="Arial"/>
                <w:b/>
                <w:spacing w:val="-2"/>
                <w:sz w:val="14"/>
                <w:szCs w:val="14"/>
                <w:lang w:eastAsia="pt-BR"/>
              </w:rPr>
              <w:t>Temporary</w:t>
            </w:r>
            <w:proofErr w:type="spellEnd"/>
            <w:r w:rsidRPr="007249CE">
              <w:rPr>
                <w:rFonts w:ascii="Arial" w:eastAsia="Times New Roman" w:hAnsi="Arial" w:cs="Arial"/>
                <w:b/>
                <w:spacing w:val="-2"/>
                <w:sz w:val="14"/>
                <w:szCs w:val="14"/>
                <w:lang w:eastAsia="pt-BR"/>
              </w:rPr>
              <w:t xml:space="preserve"> </w:t>
            </w:r>
            <w:proofErr w:type="spellStart"/>
            <w:r w:rsidRPr="007249CE">
              <w:rPr>
                <w:rFonts w:ascii="Arial" w:eastAsia="Times New Roman" w:hAnsi="Arial" w:cs="Arial"/>
                <w:b/>
                <w:spacing w:val="-2"/>
                <w:sz w:val="14"/>
                <w:szCs w:val="14"/>
                <w:lang w:eastAsia="pt-BR"/>
              </w:rPr>
              <w:t>differences</w:t>
            </w:r>
            <w:proofErr w:type="spellEnd"/>
          </w:p>
        </w:tc>
        <w:tc>
          <w:tcPr>
            <w:tcW w:w="604" w:type="dxa"/>
            <w:tcBorders>
              <w:top w:val="single" w:sz="2" w:space="0" w:color="1F4E79"/>
            </w:tcBorders>
            <w:shd w:val="clear" w:color="auto" w:fill="auto"/>
          </w:tcPr>
          <w:p w14:paraId="6C3EA4B8"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bottom w:val="nil"/>
            </w:tcBorders>
            <w:shd w:val="clear" w:color="auto" w:fill="auto"/>
          </w:tcPr>
          <w:p w14:paraId="3A4209E6"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bottom w:val="nil"/>
            </w:tcBorders>
            <w:shd w:val="clear" w:color="auto" w:fill="auto"/>
          </w:tcPr>
          <w:p w14:paraId="12829B7E"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bottom w:val="nil"/>
            </w:tcBorders>
            <w:shd w:val="clear" w:color="auto" w:fill="auto"/>
          </w:tcPr>
          <w:p w14:paraId="3793E992"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bottom w:val="nil"/>
            </w:tcBorders>
            <w:shd w:val="clear" w:color="auto" w:fill="auto"/>
          </w:tcPr>
          <w:p w14:paraId="407453BD" w14:textId="77777777" w:rsidR="007249CE" w:rsidRPr="007249CE" w:rsidRDefault="007249CE" w:rsidP="007249CE">
            <w:pPr>
              <w:keepNext/>
              <w:keepLines/>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bottom w:val="nil"/>
            </w:tcBorders>
            <w:shd w:val="clear" w:color="auto" w:fill="auto"/>
          </w:tcPr>
          <w:p w14:paraId="49BD615C" w14:textId="77777777" w:rsidR="007249CE" w:rsidRPr="007249CE" w:rsidRDefault="007249CE" w:rsidP="007249CE">
            <w:pPr>
              <w:keepNext/>
              <w:keepLines/>
              <w:spacing w:before="40" w:after="40" w:line="240" w:lineRule="auto"/>
              <w:jc w:val="right"/>
              <w:rPr>
                <w:rFonts w:ascii="Arial" w:eastAsia="Times New Roman" w:hAnsi="Arial" w:cs="Arial"/>
                <w:b/>
                <w:bCs/>
                <w:spacing w:val="-2"/>
                <w:sz w:val="14"/>
                <w:szCs w:val="14"/>
                <w:lang w:eastAsia="pt-BR"/>
              </w:rPr>
            </w:pPr>
          </w:p>
        </w:tc>
      </w:tr>
      <w:tr w:rsidR="007249CE" w:rsidRPr="007249CE" w14:paraId="15FE0109" w14:textId="77777777" w:rsidTr="007249CE">
        <w:trPr>
          <w:trHeight w:val="238"/>
        </w:trPr>
        <w:tc>
          <w:tcPr>
            <w:tcW w:w="3094" w:type="dxa"/>
            <w:shd w:val="clear" w:color="auto" w:fill="auto"/>
          </w:tcPr>
          <w:p w14:paraId="7F832225"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Liabilities</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provision</w:t>
            </w:r>
            <w:proofErr w:type="spellEnd"/>
          </w:p>
        </w:tc>
        <w:tc>
          <w:tcPr>
            <w:tcW w:w="604" w:type="dxa"/>
            <w:shd w:val="clear" w:color="auto" w:fill="auto"/>
          </w:tcPr>
          <w:p w14:paraId="64C1D29C"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left w:val="nil"/>
              <w:bottom w:val="nil"/>
              <w:right w:val="nil"/>
            </w:tcBorders>
          </w:tcPr>
          <w:p w14:paraId="7AB9A913"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4,720</w:t>
            </w:r>
          </w:p>
        </w:tc>
        <w:tc>
          <w:tcPr>
            <w:tcW w:w="1412" w:type="dxa"/>
            <w:tcBorders>
              <w:top w:val="nil"/>
              <w:left w:val="nil"/>
              <w:bottom w:val="nil"/>
              <w:right w:val="nil"/>
            </w:tcBorders>
          </w:tcPr>
          <w:p w14:paraId="3F98282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rPr>
              <w:t>12,231</w:t>
            </w:r>
          </w:p>
        </w:tc>
        <w:tc>
          <w:tcPr>
            <w:tcW w:w="283" w:type="dxa"/>
            <w:tcBorders>
              <w:top w:val="nil"/>
              <w:left w:val="nil"/>
              <w:bottom w:val="nil"/>
              <w:right w:val="nil"/>
            </w:tcBorders>
          </w:tcPr>
          <w:p w14:paraId="4B492986"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left w:val="nil"/>
              <w:bottom w:val="nil"/>
              <w:right w:val="nil"/>
            </w:tcBorders>
          </w:tcPr>
          <w:p w14:paraId="50CACCD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(6,760)</w:t>
            </w:r>
          </w:p>
        </w:tc>
        <w:tc>
          <w:tcPr>
            <w:tcW w:w="1418" w:type="dxa"/>
            <w:tcBorders>
              <w:top w:val="nil"/>
              <w:left w:val="nil"/>
              <w:bottom w:val="nil"/>
              <w:right w:val="nil"/>
            </w:tcBorders>
          </w:tcPr>
          <w:p w14:paraId="0F219280"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10,191</w:t>
            </w:r>
          </w:p>
        </w:tc>
      </w:tr>
      <w:tr w:rsidR="007249CE" w:rsidRPr="007249CE" w14:paraId="7DFFC3BA" w14:textId="77777777" w:rsidTr="007249CE">
        <w:trPr>
          <w:trHeight w:val="238"/>
        </w:trPr>
        <w:tc>
          <w:tcPr>
            <w:tcW w:w="3094" w:type="dxa"/>
            <w:shd w:val="clear" w:color="auto" w:fill="auto"/>
          </w:tcPr>
          <w:p w14:paraId="4C7A6327"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Amortization</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of</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goodwill</w:t>
            </w:r>
            <w:proofErr w:type="spellEnd"/>
          </w:p>
        </w:tc>
        <w:tc>
          <w:tcPr>
            <w:tcW w:w="604" w:type="dxa"/>
            <w:shd w:val="clear" w:color="auto" w:fill="auto"/>
          </w:tcPr>
          <w:p w14:paraId="0E3AA171"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left w:val="nil"/>
              <w:bottom w:val="nil"/>
              <w:right w:val="nil"/>
            </w:tcBorders>
          </w:tcPr>
          <w:p w14:paraId="7A50307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3,053</w:t>
            </w:r>
          </w:p>
        </w:tc>
        <w:tc>
          <w:tcPr>
            <w:tcW w:w="1412" w:type="dxa"/>
            <w:tcBorders>
              <w:top w:val="nil"/>
              <w:left w:val="nil"/>
              <w:bottom w:val="nil"/>
              <w:right w:val="nil"/>
            </w:tcBorders>
          </w:tcPr>
          <w:p w14:paraId="715FF27C"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rPr>
              <w:t>--</w:t>
            </w:r>
          </w:p>
        </w:tc>
        <w:tc>
          <w:tcPr>
            <w:tcW w:w="283" w:type="dxa"/>
            <w:tcBorders>
              <w:top w:val="nil"/>
              <w:left w:val="nil"/>
              <w:bottom w:val="nil"/>
              <w:right w:val="nil"/>
            </w:tcBorders>
          </w:tcPr>
          <w:p w14:paraId="08E6742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left w:val="nil"/>
              <w:bottom w:val="nil"/>
              <w:right w:val="nil"/>
            </w:tcBorders>
          </w:tcPr>
          <w:p w14:paraId="0C031F24"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w:t>
            </w:r>
          </w:p>
        </w:tc>
        <w:tc>
          <w:tcPr>
            <w:tcW w:w="1418" w:type="dxa"/>
            <w:tcBorders>
              <w:top w:val="nil"/>
              <w:left w:val="nil"/>
              <w:bottom w:val="nil"/>
              <w:right w:val="nil"/>
            </w:tcBorders>
          </w:tcPr>
          <w:p w14:paraId="6ECE5E2C"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3,053</w:t>
            </w:r>
          </w:p>
        </w:tc>
      </w:tr>
      <w:tr w:rsidR="007249CE" w:rsidRPr="007249CE" w14:paraId="37550AEF" w14:textId="77777777" w:rsidTr="007249CE">
        <w:trPr>
          <w:trHeight w:val="238"/>
        </w:trPr>
        <w:tc>
          <w:tcPr>
            <w:tcW w:w="3094" w:type="dxa"/>
            <w:shd w:val="clear" w:color="auto" w:fill="auto"/>
          </w:tcPr>
          <w:p w14:paraId="5804BF9D" w14:textId="77777777" w:rsidR="007249CE" w:rsidRPr="007249CE" w:rsidRDefault="007249CE" w:rsidP="007249CE">
            <w:pPr>
              <w:keepNext/>
              <w:keepLines/>
              <w:spacing w:before="40" w:after="40" w:line="240" w:lineRule="auto"/>
              <w:rPr>
                <w:rFonts w:ascii="Arial" w:eastAsia="Times New Roman" w:hAnsi="Arial" w:cs="Arial"/>
                <w:b/>
                <w:spacing w:val="-2"/>
                <w:sz w:val="14"/>
                <w:szCs w:val="18"/>
                <w:lang w:eastAsia="pt-BR"/>
              </w:rPr>
            </w:pPr>
            <w:r w:rsidRPr="007249CE">
              <w:rPr>
                <w:rFonts w:ascii="Arial" w:eastAsia="Times New Roman" w:hAnsi="Arial" w:cs="Arial"/>
                <w:b/>
                <w:spacing w:val="-2"/>
                <w:sz w:val="14"/>
                <w:szCs w:val="18"/>
                <w:lang w:eastAsia="pt-BR"/>
              </w:rPr>
              <w:t xml:space="preserve">Total </w:t>
            </w:r>
            <w:proofErr w:type="spellStart"/>
            <w:r w:rsidRPr="007249CE">
              <w:rPr>
                <w:rFonts w:ascii="Arial" w:eastAsia="Times New Roman" w:hAnsi="Arial" w:cs="Arial"/>
                <w:b/>
                <w:spacing w:val="-2"/>
                <w:sz w:val="14"/>
                <w:szCs w:val="18"/>
                <w:lang w:eastAsia="pt-BR"/>
              </w:rPr>
              <w:t>deferred</w:t>
            </w:r>
            <w:proofErr w:type="spellEnd"/>
            <w:r w:rsidRPr="007249CE">
              <w:rPr>
                <w:rFonts w:ascii="Arial" w:eastAsia="Times New Roman" w:hAnsi="Arial" w:cs="Arial"/>
                <w:b/>
                <w:spacing w:val="-2"/>
                <w:sz w:val="14"/>
                <w:szCs w:val="18"/>
                <w:lang w:eastAsia="pt-BR"/>
              </w:rPr>
              <w:t xml:space="preserve"> </w:t>
            </w:r>
            <w:proofErr w:type="spellStart"/>
            <w:r w:rsidRPr="007249CE">
              <w:rPr>
                <w:rFonts w:ascii="Arial" w:eastAsia="Times New Roman" w:hAnsi="Arial" w:cs="Arial"/>
                <w:b/>
                <w:spacing w:val="-2"/>
                <w:sz w:val="14"/>
                <w:szCs w:val="18"/>
                <w:lang w:eastAsia="pt-BR"/>
              </w:rPr>
              <w:t>tax</w:t>
            </w:r>
            <w:proofErr w:type="spellEnd"/>
            <w:r w:rsidRPr="007249CE">
              <w:rPr>
                <w:rFonts w:ascii="Arial" w:eastAsia="Times New Roman" w:hAnsi="Arial" w:cs="Arial"/>
                <w:b/>
                <w:spacing w:val="-2"/>
                <w:sz w:val="14"/>
                <w:szCs w:val="18"/>
                <w:lang w:eastAsia="pt-BR"/>
              </w:rPr>
              <w:t xml:space="preserve"> </w:t>
            </w:r>
            <w:proofErr w:type="spellStart"/>
            <w:r w:rsidRPr="007249CE">
              <w:rPr>
                <w:rFonts w:ascii="Arial" w:eastAsia="Times New Roman" w:hAnsi="Arial" w:cs="Arial"/>
                <w:b/>
                <w:spacing w:val="-2"/>
                <w:sz w:val="14"/>
                <w:szCs w:val="18"/>
                <w:lang w:eastAsia="pt-BR"/>
              </w:rPr>
              <w:t>assets</w:t>
            </w:r>
            <w:proofErr w:type="spellEnd"/>
          </w:p>
        </w:tc>
        <w:tc>
          <w:tcPr>
            <w:tcW w:w="604" w:type="dxa"/>
            <w:shd w:val="clear" w:color="auto" w:fill="auto"/>
          </w:tcPr>
          <w:p w14:paraId="4937CC6A"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left w:val="nil"/>
              <w:bottom w:val="nil"/>
              <w:right w:val="nil"/>
            </w:tcBorders>
          </w:tcPr>
          <w:p w14:paraId="7CA9EB4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rPr>
              <w:t>7,773</w:t>
            </w:r>
          </w:p>
        </w:tc>
        <w:tc>
          <w:tcPr>
            <w:tcW w:w="1412" w:type="dxa"/>
            <w:tcBorders>
              <w:top w:val="nil"/>
              <w:left w:val="nil"/>
              <w:bottom w:val="nil"/>
              <w:right w:val="nil"/>
            </w:tcBorders>
          </w:tcPr>
          <w:p w14:paraId="1DB4DF4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r w:rsidRPr="007249CE">
              <w:rPr>
                <w:rFonts w:ascii="Arial" w:eastAsia="Times New Roman" w:hAnsi="Arial" w:cs="Arial"/>
                <w:b/>
                <w:spacing w:val="-2"/>
                <w:sz w:val="14"/>
                <w:szCs w:val="18"/>
              </w:rPr>
              <w:t>12,231</w:t>
            </w:r>
          </w:p>
        </w:tc>
        <w:tc>
          <w:tcPr>
            <w:tcW w:w="283" w:type="dxa"/>
            <w:tcBorders>
              <w:top w:val="nil"/>
              <w:left w:val="nil"/>
              <w:bottom w:val="nil"/>
              <w:right w:val="nil"/>
            </w:tcBorders>
          </w:tcPr>
          <w:p w14:paraId="3EE6C62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left w:val="nil"/>
              <w:bottom w:val="nil"/>
              <w:right w:val="nil"/>
            </w:tcBorders>
          </w:tcPr>
          <w:p w14:paraId="364D208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rPr>
              <w:t>(6,760)</w:t>
            </w:r>
          </w:p>
        </w:tc>
        <w:tc>
          <w:tcPr>
            <w:tcW w:w="1418" w:type="dxa"/>
            <w:tcBorders>
              <w:top w:val="nil"/>
              <w:left w:val="nil"/>
              <w:bottom w:val="nil"/>
              <w:right w:val="nil"/>
            </w:tcBorders>
          </w:tcPr>
          <w:p w14:paraId="47E5009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rPr>
              <w:t>13,244</w:t>
            </w:r>
          </w:p>
        </w:tc>
      </w:tr>
      <w:tr w:rsidR="007249CE" w:rsidRPr="007249CE" w14:paraId="6C47FE5B" w14:textId="77777777" w:rsidTr="007249CE">
        <w:trPr>
          <w:trHeight w:val="238"/>
        </w:trPr>
        <w:tc>
          <w:tcPr>
            <w:tcW w:w="3094" w:type="dxa"/>
            <w:tcBorders>
              <w:bottom w:val="nil"/>
            </w:tcBorders>
            <w:shd w:val="clear" w:color="auto" w:fill="auto"/>
          </w:tcPr>
          <w:p w14:paraId="54913762"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8"/>
                <w:lang w:eastAsia="pt-BR"/>
              </w:rPr>
            </w:pPr>
            <w:proofErr w:type="spellStart"/>
            <w:r w:rsidRPr="007249CE">
              <w:rPr>
                <w:rFonts w:ascii="Arial" w:eastAsia="Times New Roman" w:hAnsi="Arial" w:cs="Arial"/>
                <w:spacing w:val="-2"/>
                <w:sz w:val="14"/>
                <w:szCs w:val="18"/>
                <w:lang w:eastAsia="pt-BR"/>
              </w:rPr>
              <w:t>Incone</w:t>
            </w:r>
            <w:proofErr w:type="spellEnd"/>
            <w:r w:rsidRPr="007249CE">
              <w:rPr>
                <w:rFonts w:ascii="Arial" w:eastAsia="Times New Roman" w:hAnsi="Arial" w:cs="Arial"/>
                <w:spacing w:val="-2"/>
                <w:sz w:val="14"/>
                <w:szCs w:val="18"/>
                <w:lang w:eastAsia="pt-BR"/>
              </w:rPr>
              <w:t xml:space="preserve"> </w:t>
            </w:r>
            <w:proofErr w:type="spellStart"/>
            <w:r w:rsidRPr="007249CE">
              <w:rPr>
                <w:rFonts w:ascii="Arial" w:eastAsia="Times New Roman" w:hAnsi="Arial" w:cs="Arial"/>
                <w:spacing w:val="-2"/>
                <w:sz w:val="14"/>
                <w:szCs w:val="18"/>
                <w:lang w:eastAsia="pt-BR"/>
              </w:rPr>
              <w:t>tax</w:t>
            </w:r>
            <w:proofErr w:type="spellEnd"/>
          </w:p>
        </w:tc>
        <w:tc>
          <w:tcPr>
            <w:tcW w:w="604" w:type="dxa"/>
            <w:tcBorders>
              <w:bottom w:val="nil"/>
            </w:tcBorders>
            <w:shd w:val="clear" w:color="auto" w:fill="auto"/>
          </w:tcPr>
          <w:p w14:paraId="62068C28"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left w:val="nil"/>
              <w:bottom w:val="nil"/>
              <w:right w:val="nil"/>
            </w:tcBorders>
          </w:tcPr>
          <w:p w14:paraId="303BC767"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6,521</w:t>
            </w:r>
          </w:p>
        </w:tc>
        <w:tc>
          <w:tcPr>
            <w:tcW w:w="1412" w:type="dxa"/>
            <w:tcBorders>
              <w:top w:val="nil"/>
              <w:left w:val="nil"/>
              <w:bottom w:val="nil"/>
              <w:right w:val="nil"/>
            </w:tcBorders>
          </w:tcPr>
          <w:p w14:paraId="005D9157"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rPr>
              <w:t>8,993</w:t>
            </w:r>
          </w:p>
        </w:tc>
        <w:tc>
          <w:tcPr>
            <w:tcW w:w="283" w:type="dxa"/>
            <w:tcBorders>
              <w:top w:val="nil"/>
              <w:left w:val="nil"/>
              <w:bottom w:val="nil"/>
              <w:right w:val="nil"/>
            </w:tcBorders>
          </w:tcPr>
          <w:p w14:paraId="209D5EB2"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left w:val="nil"/>
              <w:bottom w:val="nil"/>
              <w:right w:val="nil"/>
            </w:tcBorders>
          </w:tcPr>
          <w:p w14:paraId="50468CF6"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(4,971)</w:t>
            </w:r>
          </w:p>
        </w:tc>
        <w:tc>
          <w:tcPr>
            <w:tcW w:w="1418" w:type="dxa"/>
            <w:tcBorders>
              <w:top w:val="nil"/>
              <w:left w:val="nil"/>
              <w:bottom w:val="nil"/>
              <w:right w:val="nil"/>
            </w:tcBorders>
          </w:tcPr>
          <w:p w14:paraId="3D9A875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10,543</w:t>
            </w:r>
          </w:p>
        </w:tc>
      </w:tr>
      <w:tr w:rsidR="007249CE" w:rsidRPr="007249CE" w14:paraId="6EBF8ACB" w14:textId="77777777" w:rsidTr="007249CE">
        <w:trPr>
          <w:trHeight w:val="238"/>
        </w:trPr>
        <w:tc>
          <w:tcPr>
            <w:tcW w:w="3094" w:type="dxa"/>
            <w:tcBorders>
              <w:top w:val="nil"/>
              <w:bottom w:val="single" w:sz="2" w:space="0" w:color="1F4E79"/>
            </w:tcBorders>
            <w:shd w:val="clear" w:color="auto" w:fill="auto"/>
          </w:tcPr>
          <w:p w14:paraId="20F5E7C4"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8"/>
                <w:lang w:eastAsia="pt-BR"/>
              </w:rPr>
            </w:pPr>
            <w:r w:rsidRPr="007249CE">
              <w:rPr>
                <w:rFonts w:ascii="Arial" w:eastAsia="Times New Roman" w:hAnsi="Arial" w:cs="Arial"/>
                <w:spacing w:val="-2"/>
                <w:sz w:val="14"/>
                <w:szCs w:val="18"/>
                <w:lang w:eastAsia="pt-BR"/>
              </w:rPr>
              <w:t xml:space="preserve">Social </w:t>
            </w:r>
            <w:proofErr w:type="spellStart"/>
            <w:r w:rsidRPr="007249CE">
              <w:rPr>
                <w:rFonts w:ascii="Arial" w:eastAsia="Times New Roman" w:hAnsi="Arial" w:cs="Arial"/>
                <w:spacing w:val="-2"/>
                <w:sz w:val="14"/>
                <w:szCs w:val="18"/>
                <w:lang w:eastAsia="pt-BR"/>
              </w:rPr>
              <w:t>contribution</w:t>
            </w:r>
            <w:proofErr w:type="spellEnd"/>
          </w:p>
        </w:tc>
        <w:tc>
          <w:tcPr>
            <w:tcW w:w="604" w:type="dxa"/>
            <w:tcBorders>
              <w:top w:val="nil"/>
              <w:bottom w:val="single" w:sz="2" w:space="0" w:color="1F4E79"/>
            </w:tcBorders>
            <w:shd w:val="clear" w:color="auto" w:fill="auto"/>
          </w:tcPr>
          <w:p w14:paraId="14C903AD"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left w:val="nil"/>
              <w:bottom w:val="single" w:sz="2" w:space="0" w:color="1F4E79"/>
              <w:right w:val="nil"/>
            </w:tcBorders>
          </w:tcPr>
          <w:p w14:paraId="7E9EC389"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1,252</w:t>
            </w:r>
          </w:p>
        </w:tc>
        <w:tc>
          <w:tcPr>
            <w:tcW w:w="1412" w:type="dxa"/>
            <w:tcBorders>
              <w:top w:val="nil"/>
              <w:left w:val="nil"/>
              <w:bottom w:val="single" w:sz="2" w:space="0" w:color="1F4E79"/>
              <w:right w:val="nil"/>
            </w:tcBorders>
          </w:tcPr>
          <w:p w14:paraId="2BC047B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8"/>
                <w:lang w:eastAsia="pt-BR"/>
              </w:rPr>
            </w:pPr>
            <w:r w:rsidRPr="007249CE">
              <w:rPr>
                <w:rFonts w:ascii="Arial" w:eastAsia="Times New Roman" w:hAnsi="Arial" w:cs="Arial"/>
                <w:spacing w:val="-2"/>
                <w:sz w:val="14"/>
                <w:szCs w:val="18"/>
              </w:rPr>
              <w:t>3,238</w:t>
            </w:r>
          </w:p>
        </w:tc>
        <w:tc>
          <w:tcPr>
            <w:tcW w:w="283" w:type="dxa"/>
            <w:tcBorders>
              <w:top w:val="nil"/>
              <w:left w:val="nil"/>
              <w:bottom w:val="single" w:sz="2" w:space="0" w:color="1F4E79"/>
              <w:right w:val="nil"/>
            </w:tcBorders>
          </w:tcPr>
          <w:p w14:paraId="0A8D304C"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left w:val="nil"/>
              <w:bottom w:val="single" w:sz="2" w:space="0" w:color="1F4E79"/>
              <w:right w:val="nil"/>
            </w:tcBorders>
          </w:tcPr>
          <w:p w14:paraId="65829924"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(1,789)</w:t>
            </w:r>
          </w:p>
        </w:tc>
        <w:tc>
          <w:tcPr>
            <w:tcW w:w="1418" w:type="dxa"/>
            <w:tcBorders>
              <w:top w:val="nil"/>
              <w:left w:val="nil"/>
              <w:bottom w:val="single" w:sz="2" w:space="0" w:color="1F4E79"/>
              <w:right w:val="nil"/>
            </w:tcBorders>
          </w:tcPr>
          <w:p w14:paraId="5E39E97F"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rPr>
              <w:t>2,701</w:t>
            </w:r>
          </w:p>
        </w:tc>
      </w:tr>
    </w:tbl>
    <w:p w14:paraId="7AF8D617" w14:textId="77777777" w:rsidR="00BF1B14" w:rsidRDefault="00BF1B14" w:rsidP="00903D0E">
      <w:pPr>
        <w:widowControl w:val="0"/>
        <w:spacing w:before="120" w:after="120" w:line="276" w:lineRule="auto"/>
        <w:jc w:val="both"/>
        <w:rPr>
          <w:rFonts w:ascii="Arial" w:eastAsia="Times New Roman" w:hAnsi="Arial" w:cs="Arial"/>
          <w:b/>
          <w:color w:val="1F4E79"/>
          <w:spacing w:val="-2"/>
          <w:sz w:val="20"/>
          <w:szCs w:val="20"/>
          <w:lang w:val="en-US" w:eastAsia="pt-BR"/>
        </w:rPr>
      </w:pPr>
    </w:p>
    <w:p w14:paraId="453C8FE6" w14:textId="26252B3F" w:rsidR="007249CE" w:rsidRPr="007249CE" w:rsidRDefault="007249CE" w:rsidP="00903D0E">
      <w:pPr>
        <w:widowControl w:val="0"/>
        <w:spacing w:before="120" w:after="120" w:line="276" w:lineRule="auto"/>
        <w:jc w:val="both"/>
        <w:rPr>
          <w:rFonts w:ascii="Arial" w:eastAsia="Times New Roman" w:hAnsi="Arial" w:cs="Arial"/>
          <w:b/>
          <w:color w:val="1F4E79"/>
          <w:spacing w:val="-2"/>
          <w:sz w:val="20"/>
          <w:szCs w:val="20"/>
          <w:lang w:val="en-US" w:eastAsia="pt-BR"/>
        </w:rPr>
      </w:pPr>
      <w:r w:rsidRPr="007249CE">
        <w:rPr>
          <w:rFonts w:ascii="Arial" w:eastAsia="Times New Roman" w:hAnsi="Arial" w:cs="Arial"/>
          <w:b/>
          <w:color w:val="1F4E79"/>
          <w:spacing w:val="-2"/>
          <w:sz w:val="20"/>
          <w:szCs w:val="20"/>
          <w:lang w:val="en-US" w:eastAsia="pt-BR"/>
        </w:rPr>
        <w:t xml:space="preserve">f) </w:t>
      </w:r>
      <w:r w:rsidRPr="007249CE">
        <w:rPr>
          <w:rFonts w:ascii="Arial" w:eastAsia="Times New Roman" w:hAnsi="Arial" w:cs="Arial"/>
          <w:b/>
          <w:color w:val="1F4E79"/>
          <w:spacing w:val="-2"/>
          <w:sz w:val="18"/>
          <w:szCs w:val="18"/>
          <w:lang w:val="en-US" w:eastAsia="pt-BR"/>
        </w:rPr>
        <w:t>Current tax liabilities</w:t>
      </w:r>
    </w:p>
    <w:p w14:paraId="3F6931A9" w14:textId="77777777" w:rsidR="007249CE" w:rsidRPr="007249CE" w:rsidRDefault="007249CE" w:rsidP="007249CE">
      <w:pPr>
        <w:spacing w:after="0" w:line="240" w:lineRule="auto"/>
        <w:jc w:val="right"/>
        <w:rPr>
          <w:rFonts w:ascii="Arial" w:eastAsia="MS Mincho" w:hAnsi="Arial" w:cs="Arial"/>
          <w:b/>
          <w:sz w:val="14"/>
          <w:szCs w:val="22"/>
          <w:lang w:val="en-US" w:eastAsia="pt-BR"/>
        </w:rPr>
      </w:pPr>
      <w:r w:rsidRPr="007249CE">
        <w:rPr>
          <w:rFonts w:ascii="Arial" w:eastAsia="MS Mincho" w:hAnsi="Arial" w:cs="Arial"/>
          <w:b/>
          <w:sz w:val="14"/>
          <w:szCs w:val="22"/>
          <w:lang w:val="en-US" w:eastAsia="pt-BR"/>
        </w:rPr>
        <w:t>R$ thousand</w:t>
      </w:r>
    </w:p>
    <w:tbl>
      <w:tblPr>
        <w:tblW w:w="9639" w:type="dxa"/>
        <w:tblBorders>
          <w:top w:val="single" w:sz="2" w:space="0" w:color="8EAADB"/>
          <w:bottom w:val="single" w:sz="2" w:space="0" w:color="8EAADB"/>
        </w:tblBorders>
        <w:tblLook w:val="04A0" w:firstRow="1" w:lastRow="0" w:firstColumn="1" w:lastColumn="0" w:noHBand="0" w:noVBand="1"/>
      </w:tblPr>
      <w:tblGrid>
        <w:gridCol w:w="3402"/>
        <w:gridCol w:w="296"/>
        <w:gridCol w:w="1411"/>
        <w:gridCol w:w="1412"/>
        <w:gridCol w:w="283"/>
        <w:gridCol w:w="1417"/>
        <w:gridCol w:w="1418"/>
      </w:tblGrid>
      <w:tr w:rsidR="007249CE" w:rsidRPr="007249CE" w14:paraId="36E21F7F" w14:textId="77777777" w:rsidTr="007249CE">
        <w:trPr>
          <w:trHeight w:val="238"/>
        </w:trPr>
        <w:tc>
          <w:tcPr>
            <w:tcW w:w="3402" w:type="dxa"/>
            <w:tcBorders>
              <w:top w:val="single" w:sz="2" w:space="0" w:color="1F4E79"/>
              <w:bottom w:val="nil"/>
            </w:tcBorders>
            <w:shd w:val="clear" w:color="auto" w:fill="auto"/>
          </w:tcPr>
          <w:p w14:paraId="41A308B2" w14:textId="77777777" w:rsidR="007249CE" w:rsidRPr="007249CE" w:rsidRDefault="007249CE" w:rsidP="007249CE">
            <w:pPr>
              <w:spacing w:after="0" w:line="276" w:lineRule="auto"/>
              <w:jc w:val="center"/>
              <w:rPr>
                <w:rFonts w:ascii="Arial" w:eastAsia="MS Mincho" w:hAnsi="Arial" w:cs="Arial"/>
                <w:b/>
                <w:sz w:val="18"/>
                <w:szCs w:val="18"/>
                <w:lang w:val="en-US"/>
              </w:rPr>
            </w:pPr>
          </w:p>
        </w:tc>
        <w:tc>
          <w:tcPr>
            <w:tcW w:w="296" w:type="dxa"/>
            <w:tcBorders>
              <w:top w:val="single" w:sz="2" w:space="0" w:color="1F4E79"/>
              <w:bottom w:val="nil"/>
            </w:tcBorders>
            <w:shd w:val="clear" w:color="auto" w:fill="auto"/>
          </w:tcPr>
          <w:p w14:paraId="26916883" w14:textId="77777777" w:rsidR="007249CE" w:rsidRPr="007249CE" w:rsidRDefault="007249CE" w:rsidP="007249CE">
            <w:pPr>
              <w:spacing w:after="0" w:line="276" w:lineRule="auto"/>
              <w:jc w:val="center"/>
              <w:rPr>
                <w:rFonts w:ascii="Arial" w:eastAsia="MS Mincho" w:hAnsi="Arial" w:cs="Arial"/>
                <w:b/>
                <w:sz w:val="18"/>
                <w:szCs w:val="18"/>
                <w:lang w:val="en-US"/>
              </w:rPr>
            </w:pPr>
          </w:p>
        </w:tc>
        <w:tc>
          <w:tcPr>
            <w:tcW w:w="2823" w:type="dxa"/>
            <w:gridSpan w:val="2"/>
            <w:tcBorders>
              <w:top w:val="single" w:sz="2" w:space="0" w:color="1F4E79"/>
              <w:bottom w:val="single" w:sz="2" w:space="0" w:color="1F4E79"/>
            </w:tcBorders>
            <w:shd w:val="clear" w:color="auto" w:fill="auto"/>
            <w:vAlign w:val="center"/>
          </w:tcPr>
          <w:p w14:paraId="336326E2" w14:textId="77777777" w:rsidR="007249CE" w:rsidRPr="007249CE" w:rsidRDefault="007249CE" w:rsidP="007249CE">
            <w:pPr>
              <w:spacing w:after="0" w:line="276" w:lineRule="auto"/>
              <w:jc w:val="center"/>
              <w:rPr>
                <w:rFonts w:ascii="Arial" w:eastAsia="MS Mincho" w:hAnsi="Arial" w:cs="Arial"/>
                <w:b/>
                <w:sz w:val="14"/>
                <w:szCs w:val="18"/>
              </w:rPr>
            </w:pPr>
            <w:proofErr w:type="spellStart"/>
            <w:r w:rsidRPr="007249CE">
              <w:rPr>
                <w:rFonts w:ascii="Arial" w:eastAsia="MS Mincho" w:hAnsi="Arial" w:cs="Arial"/>
                <w:b/>
                <w:sz w:val="14"/>
                <w:szCs w:val="18"/>
              </w:rPr>
              <w:t>Parent</w:t>
            </w:r>
            <w:proofErr w:type="spellEnd"/>
          </w:p>
        </w:tc>
        <w:tc>
          <w:tcPr>
            <w:tcW w:w="283" w:type="dxa"/>
            <w:tcBorders>
              <w:top w:val="single" w:sz="2" w:space="0" w:color="1F4E79"/>
              <w:bottom w:val="nil"/>
            </w:tcBorders>
            <w:shd w:val="clear" w:color="auto" w:fill="auto"/>
            <w:vAlign w:val="center"/>
          </w:tcPr>
          <w:p w14:paraId="7DD775E7" w14:textId="77777777" w:rsidR="007249CE" w:rsidRPr="007249CE" w:rsidRDefault="007249CE" w:rsidP="007249CE">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4DD31BE6" w14:textId="77777777" w:rsidR="007249CE" w:rsidRPr="007249CE" w:rsidRDefault="007249CE" w:rsidP="007249CE">
            <w:pPr>
              <w:spacing w:after="0" w:line="276" w:lineRule="auto"/>
              <w:jc w:val="center"/>
              <w:rPr>
                <w:rFonts w:ascii="Arial" w:eastAsia="MS Mincho" w:hAnsi="Arial" w:cs="Arial"/>
                <w:b/>
                <w:sz w:val="18"/>
                <w:szCs w:val="18"/>
                <w:vertAlign w:val="superscript"/>
              </w:rPr>
            </w:pPr>
            <w:proofErr w:type="spellStart"/>
            <w:r w:rsidRPr="007249CE">
              <w:rPr>
                <w:rFonts w:ascii="Arial" w:eastAsia="MS Mincho" w:hAnsi="Arial" w:cs="Arial"/>
                <w:b/>
                <w:sz w:val="14"/>
                <w:szCs w:val="18"/>
              </w:rPr>
              <w:t>Consolidated</w:t>
            </w:r>
            <w:proofErr w:type="spellEnd"/>
          </w:p>
        </w:tc>
      </w:tr>
      <w:tr w:rsidR="007249CE" w:rsidRPr="007249CE" w14:paraId="1758A1D6" w14:textId="77777777" w:rsidTr="007249CE">
        <w:trPr>
          <w:trHeight w:val="238"/>
        </w:trPr>
        <w:tc>
          <w:tcPr>
            <w:tcW w:w="3402" w:type="dxa"/>
            <w:tcBorders>
              <w:top w:val="nil"/>
              <w:bottom w:val="single" w:sz="2" w:space="0" w:color="1F4E79"/>
            </w:tcBorders>
            <w:shd w:val="clear" w:color="auto" w:fill="auto"/>
          </w:tcPr>
          <w:p w14:paraId="1BDF15EB"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296" w:type="dxa"/>
            <w:tcBorders>
              <w:top w:val="nil"/>
              <w:bottom w:val="single" w:sz="2" w:space="0" w:color="1F4E79"/>
            </w:tcBorders>
            <w:shd w:val="clear" w:color="auto" w:fill="auto"/>
          </w:tcPr>
          <w:p w14:paraId="5858967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5992032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31, 2024</w:t>
            </w:r>
          </w:p>
        </w:tc>
        <w:tc>
          <w:tcPr>
            <w:tcW w:w="1412" w:type="dxa"/>
            <w:tcBorders>
              <w:top w:val="single" w:sz="2" w:space="0" w:color="1F4E79"/>
              <w:bottom w:val="single" w:sz="2" w:space="0" w:color="1F4E79"/>
            </w:tcBorders>
            <w:shd w:val="clear" w:color="auto" w:fill="auto"/>
          </w:tcPr>
          <w:p w14:paraId="518F4BB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31, 2023</w:t>
            </w:r>
          </w:p>
        </w:tc>
        <w:tc>
          <w:tcPr>
            <w:tcW w:w="283" w:type="dxa"/>
            <w:tcBorders>
              <w:top w:val="nil"/>
              <w:bottom w:val="single" w:sz="2" w:space="0" w:color="1F4E79"/>
            </w:tcBorders>
            <w:shd w:val="clear" w:color="auto" w:fill="auto"/>
          </w:tcPr>
          <w:p w14:paraId="0158FBA3"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4DBA404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31, 2024</w:t>
            </w:r>
          </w:p>
        </w:tc>
        <w:tc>
          <w:tcPr>
            <w:tcW w:w="1418" w:type="dxa"/>
            <w:tcBorders>
              <w:top w:val="single" w:sz="2" w:space="0" w:color="1F4E79"/>
              <w:bottom w:val="single" w:sz="2" w:space="0" w:color="1F4E79"/>
            </w:tcBorders>
            <w:shd w:val="clear" w:color="auto" w:fill="auto"/>
          </w:tcPr>
          <w:p w14:paraId="7D3FE59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4C5A7A">
              <w:rPr>
                <w:rFonts w:ascii="Arial" w:eastAsia="Times New Roman" w:hAnsi="Arial" w:cs="Arial"/>
                <w:b/>
                <w:spacing w:val="-2"/>
                <w:sz w:val="14"/>
                <w:szCs w:val="18"/>
                <w:lang w:eastAsia="pt-BR"/>
              </w:rPr>
              <w:t>Dec</w:t>
            </w:r>
            <w:proofErr w:type="spellEnd"/>
            <w:r w:rsidRPr="004C5A7A">
              <w:rPr>
                <w:rFonts w:ascii="Arial" w:eastAsia="Times New Roman" w:hAnsi="Arial" w:cs="Arial"/>
                <w:b/>
                <w:spacing w:val="-2"/>
                <w:sz w:val="14"/>
                <w:szCs w:val="18"/>
                <w:lang w:eastAsia="pt-BR"/>
              </w:rPr>
              <w:t xml:space="preserve"> 31, 2023</w:t>
            </w:r>
          </w:p>
        </w:tc>
      </w:tr>
      <w:tr w:rsidR="007249CE" w:rsidRPr="007249CE" w14:paraId="77712D88" w14:textId="77777777" w:rsidTr="007249CE">
        <w:trPr>
          <w:trHeight w:val="238"/>
        </w:trPr>
        <w:tc>
          <w:tcPr>
            <w:tcW w:w="3402" w:type="dxa"/>
            <w:tcBorders>
              <w:top w:val="single" w:sz="2" w:space="0" w:color="1F4E79"/>
              <w:bottom w:val="nil"/>
            </w:tcBorders>
            <w:shd w:val="clear" w:color="auto" w:fill="auto"/>
          </w:tcPr>
          <w:p w14:paraId="3E455480"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Icome</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tax</w:t>
            </w:r>
            <w:proofErr w:type="spellEnd"/>
          </w:p>
        </w:tc>
        <w:tc>
          <w:tcPr>
            <w:tcW w:w="296" w:type="dxa"/>
            <w:tcBorders>
              <w:top w:val="single" w:sz="2" w:space="0" w:color="1F4E79"/>
            </w:tcBorders>
            <w:shd w:val="clear" w:color="auto" w:fill="auto"/>
          </w:tcPr>
          <w:p w14:paraId="04C79077"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single" w:sz="2" w:space="0" w:color="1F4E79"/>
            </w:tcBorders>
            <w:shd w:val="clear" w:color="auto" w:fill="auto"/>
            <w:vAlign w:val="center"/>
          </w:tcPr>
          <w:p w14:paraId="76FDD02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920</w:t>
            </w:r>
          </w:p>
        </w:tc>
        <w:tc>
          <w:tcPr>
            <w:tcW w:w="1412" w:type="dxa"/>
            <w:tcBorders>
              <w:top w:val="single" w:sz="2" w:space="0" w:color="1F4E79"/>
            </w:tcBorders>
            <w:shd w:val="clear" w:color="auto" w:fill="auto"/>
            <w:vAlign w:val="center"/>
          </w:tcPr>
          <w:p w14:paraId="0227B82C"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1,963</w:t>
            </w:r>
          </w:p>
        </w:tc>
        <w:tc>
          <w:tcPr>
            <w:tcW w:w="283" w:type="dxa"/>
            <w:tcBorders>
              <w:top w:val="single" w:sz="2" w:space="0" w:color="1F4E79"/>
            </w:tcBorders>
            <w:shd w:val="clear" w:color="auto" w:fill="auto"/>
            <w:vAlign w:val="center"/>
          </w:tcPr>
          <w:p w14:paraId="48D12C74"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single" w:sz="2" w:space="0" w:color="1F4E79"/>
            </w:tcBorders>
            <w:shd w:val="clear" w:color="auto" w:fill="auto"/>
            <w:vAlign w:val="center"/>
          </w:tcPr>
          <w:p w14:paraId="1BA32806"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832,772</w:t>
            </w:r>
          </w:p>
        </w:tc>
        <w:tc>
          <w:tcPr>
            <w:tcW w:w="1418" w:type="dxa"/>
            <w:tcBorders>
              <w:top w:val="single" w:sz="2" w:space="0" w:color="1F4E79"/>
            </w:tcBorders>
            <w:shd w:val="clear" w:color="auto" w:fill="auto"/>
            <w:vAlign w:val="center"/>
          </w:tcPr>
          <w:p w14:paraId="5D433C6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743,296</w:t>
            </w:r>
          </w:p>
        </w:tc>
      </w:tr>
      <w:tr w:rsidR="007249CE" w:rsidRPr="007249CE" w14:paraId="23C729BD" w14:textId="77777777" w:rsidTr="007249CE">
        <w:trPr>
          <w:trHeight w:val="238"/>
        </w:trPr>
        <w:tc>
          <w:tcPr>
            <w:tcW w:w="3402" w:type="dxa"/>
            <w:shd w:val="clear" w:color="auto" w:fill="auto"/>
          </w:tcPr>
          <w:p w14:paraId="4BECACBF" w14:textId="77777777" w:rsidR="007249CE" w:rsidRPr="007249CE" w:rsidRDefault="007249CE" w:rsidP="007249CE">
            <w:pPr>
              <w:keepNext/>
              <w:keepLines/>
              <w:tabs>
                <w:tab w:val="right" w:pos="2878"/>
              </w:tab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 xml:space="preserve">Social </w:t>
            </w:r>
            <w:proofErr w:type="spellStart"/>
            <w:r w:rsidRPr="007249CE">
              <w:rPr>
                <w:rFonts w:ascii="Arial" w:eastAsia="Times New Roman" w:hAnsi="Arial" w:cs="Arial"/>
                <w:spacing w:val="-2"/>
                <w:sz w:val="14"/>
                <w:szCs w:val="14"/>
                <w:lang w:eastAsia="pt-BR"/>
              </w:rPr>
              <w:t>contribution</w:t>
            </w:r>
            <w:proofErr w:type="spellEnd"/>
            <w:r w:rsidRPr="007249CE">
              <w:rPr>
                <w:rFonts w:ascii="Arial" w:eastAsia="Times New Roman" w:hAnsi="Arial" w:cs="Arial"/>
                <w:spacing w:val="-2"/>
                <w:sz w:val="14"/>
                <w:szCs w:val="14"/>
                <w:lang w:eastAsia="pt-BR"/>
              </w:rPr>
              <w:tab/>
            </w:r>
          </w:p>
        </w:tc>
        <w:tc>
          <w:tcPr>
            <w:tcW w:w="296" w:type="dxa"/>
            <w:shd w:val="clear" w:color="auto" w:fill="auto"/>
          </w:tcPr>
          <w:p w14:paraId="51ABFC6B"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4DFF7754"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463</w:t>
            </w:r>
          </w:p>
        </w:tc>
        <w:tc>
          <w:tcPr>
            <w:tcW w:w="1412" w:type="dxa"/>
            <w:shd w:val="clear" w:color="auto" w:fill="auto"/>
            <w:vAlign w:val="center"/>
          </w:tcPr>
          <w:p w14:paraId="5C919EE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670</w:t>
            </w:r>
          </w:p>
        </w:tc>
        <w:tc>
          <w:tcPr>
            <w:tcW w:w="283" w:type="dxa"/>
            <w:shd w:val="clear" w:color="auto" w:fill="auto"/>
            <w:vAlign w:val="center"/>
          </w:tcPr>
          <w:p w14:paraId="598A6933"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DF29C7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270,915</w:t>
            </w:r>
          </w:p>
        </w:tc>
        <w:tc>
          <w:tcPr>
            <w:tcW w:w="1418" w:type="dxa"/>
            <w:shd w:val="clear" w:color="auto" w:fill="auto"/>
            <w:vAlign w:val="center"/>
          </w:tcPr>
          <w:p w14:paraId="4F69AAB8"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239,225</w:t>
            </w:r>
          </w:p>
        </w:tc>
      </w:tr>
      <w:tr w:rsidR="007249CE" w:rsidRPr="007249CE" w14:paraId="24E2DA1B" w14:textId="77777777" w:rsidTr="007249CE">
        <w:trPr>
          <w:trHeight w:val="238"/>
        </w:trPr>
        <w:tc>
          <w:tcPr>
            <w:tcW w:w="3402" w:type="dxa"/>
            <w:shd w:val="clear" w:color="auto" w:fill="auto"/>
          </w:tcPr>
          <w:p w14:paraId="2A9909C8"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proofErr w:type="spellStart"/>
            <w:r w:rsidRPr="007249CE">
              <w:rPr>
                <w:rFonts w:ascii="Arial" w:eastAsia="Times New Roman" w:hAnsi="Arial" w:cs="Arial"/>
                <w:spacing w:val="-2"/>
                <w:sz w:val="14"/>
                <w:szCs w:val="14"/>
                <w:lang w:eastAsia="pt-BR"/>
              </w:rPr>
              <w:t>Cofins</w:t>
            </w:r>
            <w:proofErr w:type="spellEnd"/>
          </w:p>
        </w:tc>
        <w:tc>
          <w:tcPr>
            <w:tcW w:w="296" w:type="dxa"/>
            <w:shd w:val="clear" w:color="auto" w:fill="auto"/>
          </w:tcPr>
          <w:p w14:paraId="4C191A7E"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7A1A2FA2"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155</w:t>
            </w:r>
          </w:p>
        </w:tc>
        <w:tc>
          <w:tcPr>
            <w:tcW w:w="1412" w:type="dxa"/>
            <w:shd w:val="clear" w:color="auto" w:fill="auto"/>
            <w:vAlign w:val="center"/>
          </w:tcPr>
          <w:p w14:paraId="59A24E3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127</w:t>
            </w:r>
          </w:p>
        </w:tc>
        <w:tc>
          <w:tcPr>
            <w:tcW w:w="283" w:type="dxa"/>
            <w:shd w:val="clear" w:color="auto" w:fill="auto"/>
            <w:vAlign w:val="center"/>
          </w:tcPr>
          <w:p w14:paraId="429F7144"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79C91D02"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40,841</w:t>
            </w:r>
          </w:p>
        </w:tc>
        <w:tc>
          <w:tcPr>
            <w:tcW w:w="1418" w:type="dxa"/>
            <w:shd w:val="clear" w:color="auto" w:fill="auto"/>
            <w:vAlign w:val="center"/>
          </w:tcPr>
          <w:p w14:paraId="336AD7B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36,739</w:t>
            </w:r>
          </w:p>
        </w:tc>
      </w:tr>
      <w:tr w:rsidR="007249CE" w:rsidRPr="007249CE" w14:paraId="4F002B18" w14:textId="77777777" w:rsidTr="007249CE">
        <w:trPr>
          <w:trHeight w:val="238"/>
        </w:trPr>
        <w:tc>
          <w:tcPr>
            <w:tcW w:w="3402" w:type="dxa"/>
            <w:shd w:val="clear" w:color="auto" w:fill="auto"/>
          </w:tcPr>
          <w:p w14:paraId="2DD607FD"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ISS</w:t>
            </w:r>
          </w:p>
        </w:tc>
        <w:tc>
          <w:tcPr>
            <w:tcW w:w="296" w:type="dxa"/>
            <w:shd w:val="clear" w:color="auto" w:fill="auto"/>
          </w:tcPr>
          <w:p w14:paraId="06FD4802"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3DC03910"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w:t>
            </w:r>
          </w:p>
        </w:tc>
        <w:tc>
          <w:tcPr>
            <w:tcW w:w="1412" w:type="dxa"/>
            <w:shd w:val="clear" w:color="auto" w:fill="auto"/>
            <w:vAlign w:val="center"/>
          </w:tcPr>
          <w:p w14:paraId="1259E778"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w:t>
            </w:r>
          </w:p>
        </w:tc>
        <w:tc>
          <w:tcPr>
            <w:tcW w:w="283" w:type="dxa"/>
            <w:shd w:val="clear" w:color="auto" w:fill="auto"/>
            <w:vAlign w:val="center"/>
          </w:tcPr>
          <w:p w14:paraId="1E11931B"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345223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11,501</w:t>
            </w:r>
          </w:p>
        </w:tc>
        <w:tc>
          <w:tcPr>
            <w:tcW w:w="1418" w:type="dxa"/>
            <w:shd w:val="clear" w:color="auto" w:fill="auto"/>
            <w:vAlign w:val="center"/>
          </w:tcPr>
          <w:p w14:paraId="2E3F572D"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10,861</w:t>
            </w:r>
          </w:p>
        </w:tc>
      </w:tr>
      <w:tr w:rsidR="007249CE" w:rsidRPr="007249CE" w14:paraId="1CDA8373" w14:textId="77777777" w:rsidTr="007249CE">
        <w:trPr>
          <w:trHeight w:val="238"/>
        </w:trPr>
        <w:tc>
          <w:tcPr>
            <w:tcW w:w="3402" w:type="dxa"/>
            <w:shd w:val="clear" w:color="auto" w:fill="auto"/>
          </w:tcPr>
          <w:p w14:paraId="54821813"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Pasep</w:t>
            </w:r>
          </w:p>
        </w:tc>
        <w:tc>
          <w:tcPr>
            <w:tcW w:w="296" w:type="dxa"/>
            <w:shd w:val="clear" w:color="auto" w:fill="auto"/>
          </w:tcPr>
          <w:p w14:paraId="1DE2815F"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1589E5A4"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25</w:t>
            </w:r>
          </w:p>
        </w:tc>
        <w:tc>
          <w:tcPr>
            <w:tcW w:w="1412" w:type="dxa"/>
            <w:shd w:val="clear" w:color="auto" w:fill="auto"/>
            <w:vAlign w:val="center"/>
          </w:tcPr>
          <w:p w14:paraId="663B8D08"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20</w:t>
            </w:r>
          </w:p>
        </w:tc>
        <w:tc>
          <w:tcPr>
            <w:tcW w:w="283" w:type="dxa"/>
            <w:shd w:val="clear" w:color="auto" w:fill="auto"/>
            <w:vAlign w:val="center"/>
          </w:tcPr>
          <w:p w14:paraId="159E5E8D"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779DF740"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8,680</w:t>
            </w:r>
          </w:p>
        </w:tc>
        <w:tc>
          <w:tcPr>
            <w:tcW w:w="1418" w:type="dxa"/>
            <w:shd w:val="clear" w:color="auto" w:fill="auto"/>
            <w:vAlign w:val="center"/>
          </w:tcPr>
          <w:p w14:paraId="02233CA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7,856</w:t>
            </w:r>
          </w:p>
        </w:tc>
      </w:tr>
      <w:tr w:rsidR="007249CE" w:rsidRPr="007249CE" w14:paraId="45F018CC" w14:textId="77777777" w:rsidTr="007249CE">
        <w:trPr>
          <w:trHeight w:val="238"/>
        </w:trPr>
        <w:tc>
          <w:tcPr>
            <w:tcW w:w="3402" w:type="dxa"/>
            <w:shd w:val="clear" w:color="auto" w:fill="auto"/>
          </w:tcPr>
          <w:p w14:paraId="05F18FC6"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Other</w:t>
            </w:r>
          </w:p>
        </w:tc>
        <w:tc>
          <w:tcPr>
            <w:tcW w:w="296" w:type="dxa"/>
            <w:shd w:val="clear" w:color="auto" w:fill="auto"/>
          </w:tcPr>
          <w:p w14:paraId="1F2563DE" w14:textId="77777777" w:rsidR="007249CE" w:rsidRPr="007249CE" w:rsidRDefault="007249CE" w:rsidP="007249CE">
            <w:pPr>
              <w:keepNext/>
              <w:keepLines/>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vAlign w:val="center"/>
          </w:tcPr>
          <w:p w14:paraId="7874F351"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138</w:t>
            </w:r>
          </w:p>
        </w:tc>
        <w:tc>
          <w:tcPr>
            <w:tcW w:w="1412" w:type="dxa"/>
            <w:shd w:val="clear" w:color="auto" w:fill="auto"/>
            <w:vAlign w:val="center"/>
          </w:tcPr>
          <w:p w14:paraId="39A7690E"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19</w:t>
            </w:r>
          </w:p>
        </w:tc>
        <w:tc>
          <w:tcPr>
            <w:tcW w:w="283" w:type="dxa"/>
            <w:shd w:val="clear" w:color="auto" w:fill="auto"/>
            <w:vAlign w:val="center"/>
          </w:tcPr>
          <w:p w14:paraId="66761706"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vAlign w:val="center"/>
          </w:tcPr>
          <w:p w14:paraId="5B5E3252"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168</w:t>
            </w:r>
          </w:p>
        </w:tc>
        <w:tc>
          <w:tcPr>
            <w:tcW w:w="1418" w:type="dxa"/>
            <w:shd w:val="clear" w:color="auto" w:fill="auto"/>
            <w:vAlign w:val="center"/>
          </w:tcPr>
          <w:p w14:paraId="47BD5845" w14:textId="77777777" w:rsidR="007249CE" w:rsidRPr="007249CE" w:rsidRDefault="007249CE" w:rsidP="007249CE">
            <w:pPr>
              <w:keepNext/>
              <w:keepLines/>
              <w:spacing w:before="40" w:after="40" w:line="240" w:lineRule="auto"/>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61</w:t>
            </w:r>
          </w:p>
        </w:tc>
      </w:tr>
      <w:tr w:rsidR="007249CE" w:rsidRPr="007249CE" w14:paraId="6DDC172A" w14:textId="77777777" w:rsidTr="007249CE">
        <w:trPr>
          <w:trHeight w:val="238"/>
        </w:trPr>
        <w:tc>
          <w:tcPr>
            <w:tcW w:w="3402" w:type="dxa"/>
            <w:tcBorders>
              <w:bottom w:val="nil"/>
            </w:tcBorders>
            <w:shd w:val="clear" w:color="auto" w:fill="auto"/>
          </w:tcPr>
          <w:p w14:paraId="26F419C3"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Current</w:t>
            </w:r>
            <w:proofErr w:type="spellEnd"/>
            <w:r w:rsidRPr="007249CE">
              <w:rPr>
                <w:rFonts w:ascii="Arial" w:eastAsia="Times New Roman" w:hAnsi="Arial" w:cs="Arial"/>
                <w:spacing w:val="-2"/>
                <w:sz w:val="14"/>
                <w:szCs w:val="14"/>
                <w:lang w:eastAsia="pt-BR"/>
              </w:rPr>
              <w:t xml:space="preserve"> taxes </w:t>
            </w:r>
            <w:proofErr w:type="spellStart"/>
            <w:r w:rsidRPr="007249CE">
              <w:rPr>
                <w:rFonts w:ascii="Arial" w:eastAsia="Times New Roman" w:hAnsi="Arial" w:cs="Arial"/>
                <w:spacing w:val="-2"/>
                <w:sz w:val="14"/>
                <w:szCs w:val="14"/>
                <w:lang w:eastAsia="pt-BR"/>
              </w:rPr>
              <w:t>deducted</w:t>
            </w:r>
            <w:proofErr w:type="spellEnd"/>
            <w:r w:rsidRPr="007249CE">
              <w:rPr>
                <w:rFonts w:ascii="Arial" w:eastAsia="Times New Roman" w:hAnsi="Arial" w:cs="Arial"/>
                <w:spacing w:val="-2"/>
                <w:sz w:val="14"/>
                <w:szCs w:val="14"/>
                <w:lang w:eastAsia="pt-BR"/>
              </w:rPr>
              <w:t>/offset</w:t>
            </w:r>
          </w:p>
        </w:tc>
        <w:tc>
          <w:tcPr>
            <w:tcW w:w="296" w:type="dxa"/>
            <w:tcBorders>
              <w:bottom w:val="nil"/>
            </w:tcBorders>
            <w:shd w:val="clear" w:color="auto" w:fill="auto"/>
          </w:tcPr>
          <w:p w14:paraId="7D8D0489" w14:textId="77777777" w:rsidR="007249CE" w:rsidRPr="007249CE" w:rsidRDefault="007249CE" w:rsidP="007249CE">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25F3EC8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(1,100)</w:t>
            </w:r>
          </w:p>
        </w:tc>
        <w:tc>
          <w:tcPr>
            <w:tcW w:w="1412" w:type="dxa"/>
            <w:tcBorders>
              <w:bottom w:val="nil"/>
            </w:tcBorders>
            <w:shd w:val="clear" w:color="auto" w:fill="auto"/>
            <w:vAlign w:val="center"/>
          </w:tcPr>
          <w:p w14:paraId="19C62BD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(2,110)</w:t>
            </w:r>
          </w:p>
        </w:tc>
        <w:tc>
          <w:tcPr>
            <w:tcW w:w="283" w:type="dxa"/>
            <w:tcBorders>
              <w:bottom w:val="nil"/>
            </w:tcBorders>
            <w:shd w:val="clear" w:color="auto" w:fill="auto"/>
            <w:vAlign w:val="center"/>
          </w:tcPr>
          <w:p w14:paraId="628CE2C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51E48F9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(47,072)</w:t>
            </w:r>
          </w:p>
        </w:tc>
        <w:tc>
          <w:tcPr>
            <w:tcW w:w="1418" w:type="dxa"/>
            <w:tcBorders>
              <w:bottom w:val="nil"/>
            </w:tcBorders>
            <w:shd w:val="clear" w:color="auto" w:fill="auto"/>
            <w:vAlign w:val="center"/>
          </w:tcPr>
          <w:p w14:paraId="4865362C"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(87,375)</w:t>
            </w:r>
          </w:p>
        </w:tc>
      </w:tr>
      <w:tr w:rsidR="007249CE" w:rsidRPr="007249CE" w14:paraId="13B5B850" w14:textId="77777777" w:rsidTr="007249CE">
        <w:trPr>
          <w:trHeight w:val="238"/>
        </w:trPr>
        <w:tc>
          <w:tcPr>
            <w:tcW w:w="3402" w:type="dxa"/>
            <w:tcBorders>
              <w:top w:val="nil"/>
              <w:bottom w:val="single" w:sz="2" w:space="0" w:color="1F4E79"/>
            </w:tcBorders>
            <w:shd w:val="clear" w:color="auto" w:fill="auto"/>
          </w:tcPr>
          <w:p w14:paraId="2F7196A7" w14:textId="77777777" w:rsidR="007249CE" w:rsidRPr="007249CE" w:rsidRDefault="007249CE" w:rsidP="007249CE">
            <w:pPr>
              <w:keepNext/>
              <w:keepLines/>
              <w:spacing w:before="40" w:after="40" w:line="240" w:lineRule="auto"/>
              <w:rPr>
                <w:rFonts w:ascii="Arial" w:eastAsia="Times New Roman" w:hAnsi="Arial" w:cs="Arial"/>
                <w:b/>
                <w:spacing w:val="-2"/>
                <w:sz w:val="14"/>
                <w:szCs w:val="18"/>
                <w:vertAlign w:val="superscript"/>
                <w:lang w:eastAsia="pt-BR"/>
              </w:rPr>
            </w:pPr>
            <w:r w:rsidRPr="007249CE">
              <w:rPr>
                <w:rFonts w:ascii="Arial" w:eastAsia="Times New Roman" w:hAnsi="Arial" w:cs="Arial"/>
                <w:b/>
                <w:spacing w:val="-2"/>
                <w:sz w:val="14"/>
                <w:szCs w:val="18"/>
                <w:lang w:eastAsia="pt-BR"/>
              </w:rPr>
              <w:t>Total</w:t>
            </w:r>
          </w:p>
        </w:tc>
        <w:tc>
          <w:tcPr>
            <w:tcW w:w="296" w:type="dxa"/>
            <w:tcBorders>
              <w:top w:val="nil"/>
              <w:bottom w:val="single" w:sz="2" w:space="0" w:color="1F4E79"/>
            </w:tcBorders>
            <w:shd w:val="clear" w:color="auto" w:fill="auto"/>
          </w:tcPr>
          <w:p w14:paraId="33AD49D4" w14:textId="77777777" w:rsidR="007249CE" w:rsidRPr="007249CE" w:rsidRDefault="007249CE" w:rsidP="007249CE">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19F61698"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602</w:t>
            </w:r>
          </w:p>
        </w:tc>
        <w:tc>
          <w:tcPr>
            <w:tcW w:w="1412" w:type="dxa"/>
            <w:tcBorders>
              <w:top w:val="nil"/>
              <w:bottom w:val="single" w:sz="2" w:space="0" w:color="1F4E79"/>
            </w:tcBorders>
            <w:shd w:val="clear" w:color="auto" w:fill="auto"/>
            <w:vAlign w:val="center"/>
          </w:tcPr>
          <w:p w14:paraId="10CD9120"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689</w:t>
            </w:r>
          </w:p>
        </w:tc>
        <w:tc>
          <w:tcPr>
            <w:tcW w:w="283" w:type="dxa"/>
            <w:tcBorders>
              <w:top w:val="nil"/>
              <w:bottom w:val="single" w:sz="2" w:space="0" w:color="1F4E79"/>
            </w:tcBorders>
            <w:shd w:val="clear" w:color="auto" w:fill="auto"/>
            <w:vAlign w:val="center"/>
          </w:tcPr>
          <w:p w14:paraId="39452C2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2DBC92FD"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1,117,805</w:t>
            </w:r>
          </w:p>
        </w:tc>
        <w:tc>
          <w:tcPr>
            <w:tcW w:w="1418" w:type="dxa"/>
            <w:tcBorders>
              <w:top w:val="nil"/>
              <w:bottom w:val="single" w:sz="2" w:space="0" w:color="1F4E79"/>
            </w:tcBorders>
            <w:shd w:val="clear" w:color="auto" w:fill="auto"/>
            <w:vAlign w:val="center"/>
          </w:tcPr>
          <w:p w14:paraId="365FC92E"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950,663</w:t>
            </w:r>
          </w:p>
        </w:tc>
      </w:tr>
    </w:tbl>
    <w:p w14:paraId="3D6C9D4B" w14:textId="77777777" w:rsidR="007249CE" w:rsidRPr="007249CE" w:rsidRDefault="007249CE" w:rsidP="007249CE">
      <w:pPr>
        <w:spacing w:line="276" w:lineRule="auto"/>
        <w:jc w:val="both"/>
        <w:rPr>
          <w:rFonts w:ascii="Arial" w:eastAsia="MS Mincho" w:hAnsi="Arial" w:cs="Arial"/>
          <w:sz w:val="14"/>
          <w:szCs w:val="14"/>
        </w:rPr>
      </w:pPr>
    </w:p>
    <w:p w14:paraId="0ADB23FC" w14:textId="6DF21763" w:rsidR="007249CE" w:rsidRPr="007249CE" w:rsidRDefault="00F60EE9" w:rsidP="007249CE">
      <w:pPr>
        <w:keepNext/>
        <w:spacing w:after="40" w:line="276" w:lineRule="auto"/>
        <w:rPr>
          <w:rFonts w:ascii="Arial" w:eastAsia="MS Mincho" w:hAnsi="Arial" w:cs="Arial"/>
          <w:b/>
          <w:color w:val="1F4E79"/>
          <w:sz w:val="20"/>
          <w:szCs w:val="20"/>
        </w:rPr>
      </w:pPr>
      <w:r>
        <w:rPr>
          <w:rFonts w:ascii="Arial" w:eastAsia="MS Mincho" w:hAnsi="Arial" w:cs="Arial"/>
          <w:b/>
          <w:color w:val="1F4E79"/>
          <w:sz w:val="20"/>
          <w:szCs w:val="20"/>
        </w:rPr>
        <w:t>g</w:t>
      </w:r>
      <w:r w:rsidR="007249CE" w:rsidRPr="007249CE">
        <w:rPr>
          <w:rFonts w:ascii="Arial" w:eastAsia="MS Mincho" w:hAnsi="Arial" w:cs="Arial"/>
          <w:b/>
          <w:color w:val="1F4E79"/>
          <w:sz w:val="20"/>
          <w:szCs w:val="20"/>
        </w:rPr>
        <w:t xml:space="preserve">) </w:t>
      </w:r>
      <w:r w:rsidR="007249CE" w:rsidRPr="007249CE">
        <w:rPr>
          <w:rFonts w:ascii="Arial" w:eastAsia="MS Mincho" w:hAnsi="Arial" w:cs="Arial"/>
          <w:b/>
          <w:color w:val="1F4E79"/>
          <w:sz w:val="18"/>
          <w:szCs w:val="18"/>
          <w:lang w:val="en-US"/>
        </w:rPr>
        <w:t>Deferred Tax Liabilities</w:t>
      </w:r>
    </w:p>
    <w:p w14:paraId="140036F1" w14:textId="77777777" w:rsidR="007249CE" w:rsidRPr="007249CE" w:rsidRDefault="007249CE" w:rsidP="007249CE">
      <w:pPr>
        <w:keepNext/>
        <w:spacing w:after="0" w:line="240" w:lineRule="auto"/>
        <w:jc w:val="right"/>
        <w:rPr>
          <w:rFonts w:ascii="Arial" w:eastAsia="MS Mincho" w:hAnsi="Arial" w:cs="Arial"/>
          <w:b/>
          <w:sz w:val="14"/>
          <w:szCs w:val="22"/>
          <w:lang w:eastAsia="pt-BR"/>
        </w:rPr>
      </w:pPr>
      <w:r w:rsidRPr="007249CE">
        <w:rPr>
          <w:rFonts w:ascii="Arial" w:eastAsia="MS Mincho" w:hAnsi="Arial" w:cs="Arial"/>
          <w:b/>
          <w:sz w:val="14"/>
          <w:szCs w:val="22"/>
          <w:lang w:eastAsia="pt-BR"/>
        </w:rPr>
        <w:t xml:space="preserve">R$ </w:t>
      </w:r>
      <w:proofErr w:type="spellStart"/>
      <w:r w:rsidRPr="007249CE">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5030"/>
        <w:gridCol w:w="2304"/>
        <w:gridCol w:w="2305"/>
      </w:tblGrid>
      <w:tr w:rsidR="007249CE" w:rsidRPr="007249CE" w14:paraId="1D8E19D9" w14:textId="77777777" w:rsidTr="007249CE">
        <w:trPr>
          <w:trHeight w:val="238"/>
        </w:trPr>
        <w:tc>
          <w:tcPr>
            <w:tcW w:w="5030" w:type="dxa"/>
            <w:tcBorders>
              <w:top w:val="single" w:sz="2" w:space="0" w:color="1F4E79"/>
              <w:bottom w:val="nil"/>
            </w:tcBorders>
            <w:shd w:val="clear" w:color="auto" w:fill="auto"/>
          </w:tcPr>
          <w:p w14:paraId="67487E76" w14:textId="77777777" w:rsidR="007249CE" w:rsidRPr="007249CE" w:rsidRDefault="007249CE" w:rsidP="007249CE">
            <w:pPr>
              <w:keepNext/>
              <w:spacing w:after="0" w:line="276" w:lineRule="auto"/>
              <w:jc w:val="center"/>
              <w:rPr>
                <w:rFonts w:ascii="Arial" w:eastAsia="MS Mincho" w:hAnsi="Arial" w:cs="Arial"/>
                <w:b/>
                <w:sz w:val="18"/>
                <w:szCs w:val="18"/>
              </w:rPr>
            </w:pPr>
          </w:p>
        </w:tc>
        <w:tc>
          <w:tcPr>
            <w:tcW w:w="4609" w:type="dxa"/>
            <w:gridSpan w:val="2"/>
            <w:tcBorders>
              <w:top w:val="single" w:sz="2" w:space="0" w:color="1F4E79"/>
              <w:bottom w:val="single" w:sz="2" w:space="0" w:color="1F4E79"/>
            </w:tcBorders>
            <w:shd w:val="clear" w:color="auto" w:fill="auto"/>
            <w:vAlign w:val="center"/>
          </w:tcPr>
          <w:p w14:paraId="63285692" w14:textId="77777777" w:rsidR="007249CE" w:rsidRPr="007249CE" w:rsidRDefault="007249CE" w:rsidP="007249CE">
            <w:pPr>
              <w:keepNext/>
              <w:spacing w:after="0" w:line="276" w:lineRule="auto"/>
              <w:jc w:val="center"/>
              <w:rPr>
                <w:rFonts w:ascii="Arial" w:eastAsia="MS Mincho" w:hAnsi="Arial" w:cs="Arial"/>
                <w:b/>
                <w:sz w:val="18"/>
                <w:szCs w:val="18"/>
              </w:rPr>
            </w:pPr>
            <w:proofErr w:type="spellStart"/>
            <w:r w:rsidRPr="007249CE">
              <w:rPr>
                <w:rFonts w:ascii="Arial" w:eastAsia="MS Mincho" w:hAnsi="Arial" w:cs="Arial"/>
                <w:b/>
                <w:sz w:val="14"/>
                <w:szCs w:val="18"/>
              </w:rPr>
              <w:t>Consolidated</w:t>
            </w:r>
            <w:proofErr w:type="spellEnd"/>
          </w:p>
        </w:tc>
      </w:tr>
      <w:tr w:rsidR="007249CE" w:rsidRPr="007249CE" w14:paraId="69740FB1" w14:textId="77777777" w:rsidTr="007249CE">
        <w:trPr>
          <w:trHeight w:val="238"/>
        </w:trPr>
        <w:tc>
          <w:tcPr>
            <w:tcW w:w="5030" w:type="dxa"/>
            <w:tcBorders>
              <w:top w:val="nil"/>
              <w:bottom w:val="single" w:sz="2" w:space="0" w:color="1F4E79"/>
            </w:tcBorders>
            <w:shd w:val="clear" w:color="auto" w:fill="auto"/>
          </w:tcPr>
          <w:p w14:paraId="6F826881"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
        </w:tc>
        <w:tc>
          <w:tcPr>
            <w:tcW w:w="2304" w:type="dxa"/>
            <w:tcBorders>
              <w:top w:val="single" w:sz="2" w:space="0" w:color="1F4E79"/>
              <w:bottom w:val="single" w:sz="2" w:space="0" w:color="1F4E79"/>
            </w:tcBorders>
            <w:shd w:val="clear" w:color="auto" w:fill="auto"/>
            <w:vAlign w:val="center"/>
          </w:tcPr>
          <w:p w14:paraId="78F0126C"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7249CE">
              <w:rPr>
                <w:rFonts w:ascii="Arial" w:eastAsia="Times New Roman" w:hAnsi="Arial" w:cs="Arial"/>
                <w:b/>
                <w:spacing w:val="-2"/>
                <w:sz w:val="14"/>
                <w:szCs w:val="18"/>
                <w:lang w:eastAsia="pt-BR"/>
              </w:rPr>
              <w:t>Dec</w:t>
            </w:r>
            <w:proofErr w:type="spellEnd"/>
            <w:r w:rsidRPr="007249CE">
              <w:rPr>
                <w:rFonts w:ascii="Arial" w:eastAsia="Times New Roman" w:hAnsi="Arial" w:cs="Arial"/>
                <w:b/>
                <w:spacing w:val="-2"/>
                <w:sz w:val="14"/>
                <w:szCs w:val="18"/>
                <w:lang w:eastAsia="pt-BR"/>
              </w:rPr>
              <w:t xml:space="preserve"> 31, 2024</w:t>
            </w:r>
          </w:p>
        </w:tc>
        <w:tc>
          <w:tcPr>
            <w:tcW w:w="2305" w:type="dxa"/>
            <w:tcBorders>
              <w:top w:val="single" w:sz="2" w:space="0" w:color="1F4E79"/>
              <w:bottom w:val="single" w:sz="2" w:space="0" w:color="1F4E79"/>
            </w:tcBorders>
            <w:shd w:val="clear" w:color="auto" w:fill="auto"/>
            <w:vAlign w:val="center"/>
          </w:tcPr>
          <w:p w14:paraId="2CFFB94A"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8"/>
                <w:lang w:eastAsia="pt-BR"/>
              </w:rPr>
            </w:pPr>
            <w:proofErr w:type="spellStart"/>
            <w:r w:rsidRPr="007249CE">
              <w:rPr>
                <w:rFonts w:ascii="Arial" w:eastAsia="Times New Roman" w:hAnsi="Arial" w:cs="Arial"/>
                <w:b/>
                <w:spacing w:val="-2"/>
                <w:sz w:val="14"/>
                <w:szCs w:val="18"/>
                <w:lang w:eastAsia="pt-BR"/>
              </w:rPr>
              <w:t>Dec</w:t>
            </w:r>
            <w:proofErr w:type="spellEnd"/>
            <w:r w:rsidRPr="007249CE">
              <w:rPr>
                <w:rFonts w:ascii="Arial" w:eastAsia="Times New Roman" w:hAnsi="Arial" w:cs="Arial"/>
                <w:b/>
                <w:spacing w:val="-2"/>
                <w:sz w:val="14"/>
                <w:szCs w:val="18"/>
                <w:lang w:eastAsia="pt-BR"/>
              </w:rPr>
              <w:t xml:space="preserve"> 31, 2023</w:t>
            </w:r>
          </w:p>
        </w:tc>
      </w:tr>
      <w:tr w:rsidR="007249CE" w:rsidRPr="007249CE" w14:paraId="423D3366" w14:textId="77777777" w:rsidTr="007249CE">
        <w:trPr>
          <w:trHeight w:val="238"/>
        </w:trPr>
        <w:tc>
          <w:tcPr>
            <w:tcW w:w="5030" w:type="dxa"/>
            <w:tcBorders>
              <w:top w:val="single" w:sz="2" w:space="0" w:color="1F4E79"/>
            </w:tcBorders>
            <w:shd w:val="clear" w:color="auto" w:fill="auto"/>
          </w:tcPr>
          <w:p w14:paraId="248AE1E7" w14:textId="697CE815" w:rsidR="007249CE" w:rsidRPr="007249CE" w:rsidRDefault="007249CE" w:rsidP="007249CE">
            <w:pPr>
              <w:keepNext/>
              <w:keepLines/>
              <w:spacing w:before="40" w:after="40" w:line="240" w:lineRule="auto"/>
              <w:ind w:left="113"/>
              <w:rPr>
                <w:rFonts w:ascii="Arial" w:eastAsia="Times New Roman" w:hAnsi="Arial" w:cs="Arial"/>
                <w:spacing w:val="-2"/>
                <w:sz w:val="14"/>
                <w:szCs w:val="14"/>
                <w:vertAlign w:val="superscript"/>
                <w:lang w:val="en-US" w:eastAsia="pt-BR"/>
              </w:rPr>
            </w:pPr>
            <w:r w:rsidRPr="007249CE">
              <w:rPr>
                <w:rFonts w:ascii="Arial" w:eastAsia="Times New Roman" w:hAnsi="Arial" w:cs="Arial"/>
                <w:spacing w:val="-2"/>
                <w:sz w:val="14"/>
                <w:szCs w:val="14"/>
                <w:lang w:val="en-US" w:eastAsia="pt-BR"/>
              </w:rPr>
              <w:t>Arising from partnership with M</w:t>
            </w:r>
            <w:r w:rsidR="0026398A">
              <w:rPr>
                <w:rFonts w:ascii="Arial" w:eastAsia="Times New Roman" w:hAnsi="Arial" w:cs="Arial"/>
                <w:spacing w:val="-2"/>
                <w:sz w:val="14"/>
                <w:szCs w:val="14"/>
                <w:lang w:val="en-US" w:eastAsia="pt-BR"/>
              </w:rPr>
              <w:t>APFRE</w:t>
            </w:r>
            <w:r w:rsidRPr="007249CE">
              <w:rPr>
                <w:rFonts w:ascii="Arial" w:eastAsia="Times New Roman" w:hAnsi="Arial" w:cs="Arial"/>
                <w:spacing w:val="-2"/>
                <w:sz w:val="14"/>
                <w:szCs w:val="14"/>
                <w:lang w:val="en-US" w:eastAsia="pt-BR"/>
              </w:rPr>
              <w:t xml:space="preserve"> </w:t>
            </w:r>
            <w:r w:rsidRPr="004C5A7A">
              <w:rPr>
                <w:rFonts w:ascii="Arial" w:eastAsia="Times New Roman" w:hAnsi="Arial" w:cs="Arial"/>
                <w:spacing w:val="-2"/>
                <w:sz w:val="14"/>
                <w:szCs w:val="18"/>
                <w:vertAlign w:val="superscript"/>
                <w:lang w:val="en-US" w:eastAsia="pt-BR"/>
              </w:rPr>
              <w:t>(1)</w:t>
            </w:r>
          </w:p>
        </w:tc>
        <w:tc>
          <w:tcPr>
            <w:tcW w:w="2304" w:type="dxa"/>
            <w:tcBorders>
              <w:top w:val="single" w:sz="2" w:space="0" w:color="1F4E79"/>
            </w:tcBorders>
            <w:shd w:val="clear" w:color="auto" w:fill="auto"/>
            <w:vAlign w:val="center"/>
          </w:tcPr>
          <w:p w14:paraId="7F092445"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223,387</w:t>
            </w:r>
          </w:p>
        </w:tc>
        <w:tc>
          <w:tcPr>
            <w:tcW w:w="2305" w:type="dxa"/>
            <w:tcBorders>
              <w:top w:val="single" w:sz="2" w:space="0" w:color="1F4E79"/>
            </w:tcBorders>
            <w:shd w:val="clear" w:color="auto" w:fill="auto"/>
            <w:vAlign w:val="center"/>
          </w:tcPr>
          <w:p w14:paraId="1CC1649A"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223,387</w:t>
            </w:r>
          </w:p>
        </w:tc>
      </w:tr>
      <w:tr w:rsidR="007249CE" w:rsidRPr="007249CE" w14:paraId="56CD5BF2" w14:textId="77777777" w:rsidTr="007249CE">
        <w:trPr>
          <w:trHeight w:val="238"/>
        </w:trPr>
        <w:tc>
          <w:tcPr>
            <w:tcW w:w="5030" w:type="dxa"/>
            <w:shd w:val="clear" w:color="auto" w:fill="auto"/>
          </w:tcPr>
          <w:p w14:paraId="40E9A686"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val="en-US" w:eastAsia="pt-BR"/>
              </w:rPr>
            </w:pPr>
            <w:r w:rsidRPr="007249CE">
              <w:rPr>
                <w:rFonts w:ascii="Arial" w:eastAsia="Times New Roman" w:hAnsi="Arial" w:cs="Arial"/>
                <w:spacing w:val="-2"/>
                <w:sz w:val="14"/>
                <w:szCs w:val="14"/>
                <w:lang w:val="en-US" w:eastAsia="pt-BR"/>
              </w:rPr>
              <w:t xml:space="preserve">Arising from amortization of </w:t>
            </w:r>
            <w:proofErr w:type="spellStart"/>
            <w:r w:rsidRPr="007249CE">
              <w:rPr>
                <w:rFonts w:ascii="Arial" w:eastAsia="Times New Roman" w:hAnsi="Arial" w:cs="Arial"/>
                <w:spacing w:val="-2"/>
                <w:sz w:val="14"/>
                <w:szCs w:val="14"/>
                <w:lang w:val="en-US" w:eastAsia="pt-BR"/>
              </w:rPr>
              <w:t>Brasilcap’s</w:t>
            </w:r>
            <w:proofErr w:type="spellEnd"/>
            <w:r w:rsidRPr="007249CE">
              <w:rPr>
                <w:rFonts w:ascii="Arial" w:eastAsia="Times New Roman" w:hAnsi="Arial" w:cs="Arial"/>
                <w:spacing w:val="-2"/>
                <w:sz w:val="14"/>
                <w:szCs w:val="14"/>
                <w:lang w:val="en-US" w:eastAsia="pt-BR"/>
              </w:rPr>
              <w:t xml:space="preserve"> goodwill</w:t>
            </w:r>
          </w:p>
        </w:tc>
        <w:tc>
          <w:tcPr>
            <w:tcW w:w="2304" w:type="dxa"/>
            <w:shd w:val="clear" w:color="auto" w:fill="auto"/>
            <w:vAlign w:val="center"/>
          </w:tcPr>
          <w:p w14:paraId="5EA62DAE"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4,647</w:t>
            </w:r>
          </w:p>
        </w:tc>
        <w:tc>
          <w:tcPr>
            <w:tcW w:w="2305" w:type="dxa"/>
            <w:shd w:val="clear" w:color="auto" w:fill="auto"/>
            <w:vAlign w:val="center"/>
          </w:tcPr>
          <w:p w14:paraId="28336599"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4,647</w:t>
            </w:r>
          </w:p>
        </w:tc>
      </w:tr>
      <w:tr w:rsidR="007249CE" w:rsidRPr="007249CE" w14:paraId="364762A7" w14:textId="77777777" w:rsidTr="007249CE">
        <w:trPr>
          <w:trHeight w:val="238"/>
        </w:trPr>
        <w:tc>
          <w:tcPr>
            <w:tcW w:w="5030" w:type="dxa"/>
            <w:tcBorders>
              <w:bottom w:val="nil"/>
            </w:tcBorders>
            <w:shd w:val="clear" w:color="auto" w:fill="auto"/>
          </w:tcPr>
          <w:p w14:paraId="1F4D4A0D" w14:textId="77777777" w:rsidR="007249CE" w:rsidRPr="007249CE" w:rsidRDefault="007249CE" w:rsidP="007249CE">
            <w:pPr>
              <w:keepNext/>
              <w:keepLines/>
              <w:spacing w:before="40" w:after="40" w:line="240" w:lineRule="auto"/>
              <w:ind w:left="113"/>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 xml:space="preserve">Other </w:t>
            </w:r>
            <w:proofErr w:type="spellStart"/>
            <w:r w:rsidRPr="007249CE">
              <w:rPr>
                <w:rFonts w:ascii="Arial" w:eastAsia="Times New Roman" w:hAnsi="Arial" w:cs="Arial"/>
                <w:spacing w:val="-2"/>
                <w:sz w:val="14"/>
                <w:szCs w:val="14"/>
                <w:lang w:eastAsia="pt-BR"/>
              </w:rPr>
              <w:t>temporay</w:t>
            </w:r>
            <w:proofErr w:type="spellEnd"/>
            <w:r w:rsidRPr="007249CE">
              <w:rPr>
                <w:rFonts w:ascii="Arial" w:eastAsia="Times New Roman" w:hAnsi="Arial" w:cs="Arial"/>
                <w:spacing w:val="-2"/>
                <w:sz w:val="14"/>
                <w:szCs w:val="14"/>
                <w:lang w:eastAsia="pt-BR"/>
              </w:rPr>
              <w:t xml:space="preserve"> </w:t>
            </w:r>
            <w:proofErr w:type="spellStart"/>
            <w:r w:rsidRPr="007249CE">
              <w:rPr>
                <w:rFonts w:ascii="Arial" w:eastAsia="Times New Roman" w:hAnsi="Arial" w:cs="Arial"/>
                <w:spacing w:val="-2"/>
                <w:sz w:val="14"/>
                <w:szCs w:val="14"/>
                <w:lang w:eastAsia="pt-BR"/>
              </w:rPr>
              <w:t>differences</w:t>
            </w:r>
            <w:proofErr w:type="spellEnd"/>
          </w:p>
        </w:tc>
        <w:tc>
          <w:tcPr>
            <w:tcW w:w="2304" w:type="dxa"/>
            <w:tcBorders>
              <w:bottom w:val="nil"/>
            </w:tcBorders>
            <w:shd w:val="clear" w:color="auto" w:fill="auto"/>
            <w:vAlign w:val="center"/>
          </w:tcPr>
          <w:p w14:paraId="731EA737"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531</w:t>
            </w:r>
          </w:p>
        </w:tc>
        <w:tc>
          <w:tcPr>
            <w:tcW w:w="2305" w:type="dxa"/>
            <w:tcBorders>
              <w:bottom w:val="nil"/>
            </w:tcBorders>
            <w:shd w:val="clear" w:color="auto" w:fill="auto"/>
            <w:vAlign w:val="center"/>
          </w:tcPr>
          <w:p w14:paraId="7A01E8A8" w14:textId="77777777" w:rsidR="007249CE" w:rsidRPr="007249CE" w:rsidRDefault="007249CE" w:rsidP="007249CE">
            <w:pPr>
              <w:keepNext/>
              <w:keepLines/>
              <w:spacing w:before="40" w:after="40" w:line="240" w:lineRule="auto"/>
              <w:ind w:left="113"/>
              <w:jc w:val="right"/>
              <w:rPr>
                <w:rFonts w:ascii="Arial" w:eastAsia="Times New Roman" w:hAnsi="Arial" w:cs="Arial"/>
                <w:spacing w:val="-2"/>
                <w:sz w:val="14"/>
                <w:szCs w:val="14"/>
                <w:lang w:eastAsia="pt-BR"/>
              </w:rPr>
            </w:pPr>
            <w:r w:rsidRPr="007249CE">
              <w:rPr>
                <w:rFonts w:ascii="Arial" w:eastAsia="Times New Roman" w:hAnsi="Arial" w:cs="Arial"/>
                <w:spacing w:val="-2"/>
                <w:sz w:val="14"/>
                <w:szCs w:val="14"/>
                <w:lang w:eastAsia="pt-BR"/>
              </w:rPr>
              <w:t>531</w:t>
            </w:r>
          </w:p>
        </w:tc>
      </w:tr>
      <w:tr w:rsidR="007249CE" w:rsidRPr="007249CE" w14:paraId="2DD7951E" w14:textId="77777777" w:rsidTr="007249CE">
        <w:trPr>
          <w:trHeight w:val="238"/>
        </w:trPr>
        <w:tc>
          <w:tcPr>
            <w:tcW w:w="5030" w:type="dxa"/>
            <w:tcBorders>
              <w:top w:val="nil"/>
              <w:bottom w:val="single" w:sz="2" w:space="0" w:color="1F4E79"/>
            </w:tcBorders>
            <w:shd w:val="clear" w:color="auto" w:fill="auto"/>
          </w:tcPr>
          <w:p w14:paraId="6BA0709D" w14:textId="77777777" w:rsidR="007249CE" w:rsidRPr="007249CE" w:rsidRDefault="007249CE" w:rsidP="007249CE">
            <w:pPr>
              <w:keepNext/>
              <w:keepLines/>
              <w:spacing w:before="40" w:after="40" w:line="240" w:lineRule="auto"/>
              <w:rPr>
                <w:rFonts w:ascii="Arial" w:eastAsia="Times New Roman" w:hAnsi="Arial" w:cs="Arial"/>
                <w:b/>
                <w:spacing w:val="-2"/>
                <w:sz w:val="14"/>
                <w:szCs w:val="14"/>
                <w:lang w:eastAsia="pt-BR"/>
              </w:rPr>
            </w:pPr>
            <w:r w:rsidRPr="007249CE">
              <w:rPr>
                <w:rFonts w:ascii="Arial" w:eastAsia="Times New Roman" w:hAnsi="Arial" w:cs="Arial"/>
                <w:b/>
                <w:spacing w:val="-2"/>
                <w:sz w:val="14"/>
                <w:szCs w:val="18"/>
                <w:lang w:eastAsia="pt-BR"/>
              </w:rPr>
              <w:t xml:space="preserve">Total </w:t>
            </w:r>
          </w:p>
        </w:tc>
        <w:tc>
          <w:tcPr>
            <w:tcW w:w="2304" w:type="dxa"/>
            <w:tcBorders>
              <w:top w:val="nil"/>
              <w:bottom w:val="single" w:sz="2" w:space="0" w:color="1F4E79"/>
            </w:tcBorders>
            <w:shd w:val="clear" w:color="auto" w:fill="auto"/>
            <w:vAlign w:val="center"/>
          </w:tcPr>
          <w:p w14:paraId="050D2FF9"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228,565</w:t>
            </w:r>
          </w:p>
        </w:tc>
        <w:tc>
          <w:tcPr>
            <w:tcW w:w="2305" w:type="dxa"/>
            <w:tcBorders>
              <w:top w:val="nil"/>
              <w:bottom w:val="single" w:sz="2" w:space="0" w:color="1F4E79"/>
            </w:tcBorders>
            <w:shd w:val="clear" w:color="auto" w:fill="auto"/>
            <w:vAlign w:val="center"/>
          </w:tcPr>
          <w:p w14:paraId="65F61D86" w14:textId="77777777" w:rsidR="007249CE" w:rsidRPr="007249CE" w:rsidRDefault="007249CE" w:rsidP="007249CE">
            <w:pPr>
              <w:keepNext/>
              <w:keepLines/>
              <w:spacing w:before="40" w:after="40" w:line="240" w:lineRule="auto"/>
              <w:jc w:val="right"/>
              <w:rPr>
                <w:rFonts w:ascii="Arial" w:eastAsia="Times New Roman" w:hAnsi="Arial" w:cs="Arial"/>
                <w:b/>
                <w:spacing w:val="-2"/>
                <w:sz w:val="14"/>
                <w:szCs w:val="14"/>
                <w:lang w:eastAsia="pt-BR"/>
              </w:rPr>
            </w:pPr>
            <w:r w:rsidRPr="007249CE">
              <w:rPr>
                <w:rFonts w:ascii="Arial" w:eastAsia="Times New Roman" w:hAnsi="Arial" w:cs="Arial"/>
                <w:b/>
                <w:spacing w:val="-2"/>
                <w:sz w:val="14"/>
                <w:szCs w:val="14"/>
                <w:lang w:eastAsia="pt-BR"/>
              </w:rPr>
              <w:t>228,565</w:t>
            </w:r>
          </w:p>
        </w:tc>
      </w:tr>
    </w:tbl>
    <w:p w14:paraId="428067E8" w14:textId="66A3AD39" w:rsidR="007249CE" w:rsidRPr="007249CE" w:rsidRDefault="007249CE" w:rsidP="00A76AF4">
      <w:pPr>
        <w:keepLines/>
        <w:numPr>
          <w:ilvl w:val="0"/>
          <w:numId w:val="8"/>
        </w:numPr>
        <w:tabs>
          <w:tab w:val="left" w:pos="284"/>
        </w:tabs>
        <w:spacing w:before="40" w:after="0" w:line="240" w:lineRule="auto"/>
        <w:jc w:val="both"/>
        <w:rPr>
          <w:rFonts w:ascii="Arial" w:eastAsia="Times New Roman" w:hAnsi="Arial" w:cs="Arial"/>
          <w:spacing w:val="-2"/>
          <w:sz w:val="14"/>
          <w:szCs w:val="14"/>
          <w:lang w:val="en-US" w:eastAsia="pt-BR"/>
        </w:rPr>
      </w:pPr>
      <w:r w:rsidRPr="007249CE">
        <w:rPr>
          <w:rFonts w:ascii="Arial" w:eastAsia="Times New Roman" w:hAnsi="Arial" w:cs="Arial"/>
          <w:sz w:val="14"/>
          <w:szCs w:val="14"/>
          <w:lang w:val="en-US" w:eastAsia="pt-BR"/>
        </w:rPr>
        <w:t>Refers to the provision for deferred taxes arising from intangibles in the investment in BB M</w:t>
      </w:r>
      <w:r w:rsidR="0026398A">
        <w:rPr>
          <w:rFonts w:ascii="Arial" w:eastAsia="Times New Roman" w:hAnsi="Arial" w:cs="Arial"/>
          <w:sz w:val="14"/>
          <w:szCs w:val="14"/>
          <w:lang w:val="en-US" w:eastAsia="pt-BR"/>
        </w:rPr>
        <w:t>APFRE</w:t>
      </w:r>
      <w:r w:rsidRPr="007249CE">
        <w:rPr>
          <w:rFonts w:ascii="Arial" w:eastAsia="Times New Roman" w:hAnsi="Arial" w:cs="Arial"/>
          <w:sz w:val="14"/>
          <w:szCs w:val="14"/>
          <w:lang w:val="en-US" w:eastAsia="pt-BR"/>
        </w:rPr>
        <w:t>.</w:t>
      </w:r>
    </w:p>
    <w:p w14:paraId="531EF81C" w14:textId="77777777" w:rsidR="007249CE" w:rsidRPr="007249CE" w:rsidRDefault="007249CE" w:rsidP="007249CE">
      <w:pPr>
        <w:spacing w:after="0" w:line="276" w:lineRule="auto"/>
        <w:jc w:val="right"/>
        <w:rPr>
          <w:rFonts w:ascii="Arial" w:eastAsia="MS Mincho" w:hAnsi="Arial" w:cs="Arial"/>
          <w:b/>
          <w:sz w:val="14"/>
          <w:szCs w:val="22"/>
          <w:lang w:val="en-US" w:eastAsia="pt-BR"/>
        </w:rPr>
      </w:pPr>
    </w:p>
    <w:bookmarkEnd w:id="71"/>
    <w:p w14:paraId="6621394A" w14:textId="77777777" w:rsidR="007249CE" w:rsidRPr="004C5A7A" w:rsidRDefault="007249CE" w:rsidP="007249CE">
      <w:pPr>
        <w:spacing w:before="120" w:after="120" w:line="276" w:lineRule="auto"/>
        <w:jc w:val="both"/>
        <w:rPr>
          <w:rFonts w:ascii="Arial" w:eastAsia="Times New Roman" w:hAnsi="Arial" w:cs="Arial"/>
          <w:sz w:val="18"/>
          <w:szCs w:val="20"/>
          <w:lang w:val="en-US" w:eastAsia="pt-BR"/>
        </w:rPr>
      </w:pPr>
      <w:r w:rsidRPr="004C5A7A">
        <w:rPr>
          <w:rFonts w:ascii="Arial" w:eastAsia="Times New Roman" w:hAnsi="Arial" w:cs="Arial"/>
          <w:sz w:val="18"/>
          <w:szCs w:val="20"/>
          <w:lang w:val="en-US" w:eastAsia="pt-BR"/>
        </w:rPr>
        <w:t>There is no balance of deferred tax liabilities in the Controller.</w:t>
      </w:r>
    </w:p>
    <w:p w14:paraId="33CB7E10" w14:textId="150B90D3" w:rsidR="007D4AB0" w:rsidRPr="00432934" w:rsidRDefault="004725AE" w:rsidP="008E63BC">
      <w:pPr>
        <w:pStyle w:val="Ttulo1"/>
        <w:spacing w:line="259" w:lineRule="auto"/>
        <w:jc w:val="both"/>
        <w:rPr>
          <w:rFonts w:ascii="Arial" w:hAnsi="Arial" w:cs="Arial"/>
          <w:b/>
          <w:color w:val="1F3864" w:themeColor="accent1" w:themeShade="80"/>
          <w:sz w:val="20"/>
          <w:lang w:val="en-US"/>
        </w:rPr>
      </w:pPr>
      <w:bookmarkStart w:id="73" w:name="_Toc149573398"/>
      <w:bookmarkStart w:id="74" w:name="_Toc157446726"/>
      <w:bookmarkStart w:id="75" w:name="_Toc190680634"/>
      <w:r w:rsidRPr="00432934">
        <w:rPr>
          <w:rFonts w:ascii="Arial" w:hAnsi="Arial" w:cs="Arial"/>
          <w:b/>
          <w:color w:val="1F3864" w:themeColor="accent1" w:themeShade="80"/>
          <w:sz w:val="20"/>
          <w:lang w:val="en-US"/>
        </w:rPr>
        <w:t>13 – OTHER INCOME AND EXPENSE</w:t>
      </w:r>
      <w:bookmarkEnd w:id="73"/>
      <w:bookmarkEnd w:id="74"/>
      <w:bookmarkEnd w:id="75"/>
    </w:p>
    <w:p w14:paraId="45309F3A" w14:textId="77777777" w:rsidR="00EF3478" w:rsidRPr="00701987" w:rsidRDefault="00EF3478" w:rsidP="00EF3478">
      <w:pPr>
        <w:spacing w:after="0" w:line="240" w:lineRule="auto"/>
        <w:jc w:val="right"/>
        <w:rPr>
          <w:rFonts w:ascii="Arial" w:hAnsi="Arial" w:cs="Arial"/>
          <w:b/>
          <w:sz w:val="14"/>
          <w:szCs w:val="14"/>
          <w:lang w:val="en-US"/>
        </w:rPr>
      </w:pPr>
      <w:r w:rsidRPr="00701987">
        <w:rPr>
          <w:rFonts w:ascii="Arial" w:hAnsi="Arial" w:cs="Arial"/>
          <w:b/>
          <w:sz w:val="14"/>
          <w:szCs w:val="14"/>
          <w:lang w:val="en-US"/>
        </w:rPr>
        <w:t>R$ thousand</w:t>
      </w:r>
    </w:p>
    <w:tbl>
      <w:tblPr>
        <w:tblW w:w="9648"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53"/>
        <w:gridCol w:w="1272"/>
        <w:gridCol w:w="1345"/>
        <w:gridCol w:w="6"/>
      </w:tblGrid>
      <w:tr w:rsidR="00EF3478" w:rsidRPr="005171F7" w14:paraId="20E0B471" w14:textId="77777777">
        <w:trPr>
          <w:trHeight w:val="20"/>
          <w:jc w:val="center"/>
        </w:trPr>
        <w:tc>
          <w:tcPr>
            <w:tcW w:w="3936" w:type="dxa"/>
            <w:gridSpan w:val="2"/>
            <w:tcBorders>
              <w:top w:val="single" w:sz="4" w:space="0" w:color="auto"/>
              <w:bottom w:val="nil"/>
            </w:tcBorders>
            <w:shd w:val="clear" w:color="auto" w:fill="auto"/>
          </w:tcPr>
          <w:p w14:paraId="75595BFE" w14:textId="77777777" w:rsidR="00EF3478" w:rsidRPr="00701987" w:rsidRDefault="00EF3478">
            <w:pPr>
              <w:keepNext/>
              <w:keepLines/>
              <w:spacing w:before="40" w:after="40"/>
              <w:jc w:val="center"/>
              <w:rPr>
                <w:rFonts w:ascii="Arial" w:hAnsi="Arial" w:cs="Arial"/>
                <w:b/>
                <w:spacing w:val="-2"/>
                <w:sz w:val="14"/>
                <w:szCs w:val="14"/>
                <w:lang w:val="en-US"/>
              </w:rPr>
            </w:pPr>
          </w:p>
        </w:tc>
        <w:tc>
          <w:tcPr>
            <w:tcW w:w="2757" w:type="dxa"/>
            <w:gridSpan w:val="5"/>
            <w:tcBorders>
              <w:top w:val="single" w:sz="4" w:space="0" w:color="auto"/>
              <w:bottom w:val="single" w:sz="4" w:space="0" w:color="auto"/>
            </w:tcBorders>
            <w:shd w:val="clear" w:color="auto" w:fill="auto"/>
            <w:vAlign w:val="center"/>
          </w:tcPr>
          <w:p w14:paraId="002B1D02" w14:textId="77777777" w:rsidR="00EF3478" w:rsidRPr="005171F7" w:rsidRDefault="00EF3478">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shd w:val="clear" w:color="auto" w:fill="auto"/>
            <w:vAlign w:val="center"/>
          </w:tcPr>
          <w:p w14:paraId="1104816A" w14:textId="77777777" w:rsidR="00EF3478" w:rsidRPr="005171F7" w:rsidRDefault="00EF3478">
            <w:pPr>
              <w:keepNext/>
              <w:keepLines/>
              <w:spacing w:before="40" w:after="40"/>
              <w:jc w:val="center"/>
              <w:rPr>
                <w:rFonts w:ascii="Arial" w:hAnsi="Arial" w:cs="Arial"/>
                <w:b/>
                <w:bCs/>
                <w:spacing w:val="-2"/>
                <w:sz w:val="14"/>
                <w:szCs w:val="14"/>
              </w:rPr>
            </w:pPr>
          </w:p>
        </w:tc>
        <w:tc>
          <w:tcPr>
            <w:tcW w:w="2676" w:type="dxa"/>
            <w:gridSpan w:val="4"/>
            <w:tcBorders>
              <w:top w:val="single" w:sz="4" w:space="0" w:color="auto"/>
              <w:bottom w:val="single" w:sz="4" w:space="0" w:color="auto"/>
            </w:tcBorders>
            <w:shd w:val="clear" w:color="auto" w:fill="auto"/>
            <w:vAlign w:val="center"/>
          </w:tcPr>
          <w:p w14:paraId="74E56F03" w14:textId="77777777" w:rsidR="00EF3478" w:rsidRPr="005171F7" w:rsidRDefault="00EF3478">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EF3478" w:rsidRPr="00EB1911" w14:paraId="54B16FE5" w14:textId="77777777">
        <w:trPr>
          <w:gridAfter w:val="1"/>
          <w:wAfter w:w="6" w:type="dxa"/>
          <w:trHeight w:val="20"/>
          <w:jc w:val="center"/>
        </w:trPr>
        <w:tc>
          <w:tcPr>
            <w:tcW w:w="3000" w:type="dxa"/>
            <w:tcBorders>
              <w:top w:val="nil"/>
              <w:bottom w:val="single" w:sz="4" w:space="0" w:color="auto"/>
            </w:tcBorders>
            <w:shd w:val="clear" w:color="auto" w:fill="auto"/>
            <w:vAlign w:val="center"/>
          </w:tcPr>
          <w:p w14:paraId="677723BF" w14:textId="77777777" w:rsidR="00EF3478" w:rsidRPr="00EB1911" w:rsidRDefault="00EF3478">
            <w:pPr>
              <w:keepNext/>
              <w:keepLines/>
              <w:spacing w:before="40" w:after="40"/>
              <w:jc w:val="right"/>
              <w:rPr>
                <w:rFonts w:ascii="Arial" w:hAnsi="Arial" w:cs="Arial"/>
                <w:b/>
                <w:spacing w:val="-2"/>
                <w:sz w:val="14"/>
                <w:szCs w:val="14"/>
              </w:rPr>
            </w:pPr>
          </w:p>
        </w:tc>
        <w:tc>
          <w:tcPr>
            <w:tcW w:w="1096" w:type="dxa"/>
            <w:gridSpan w:val="2"/>
            <w:tcBorders>
              <w:top w:val="nil"/>
              <w:bottom w:val="single" w:sz="4" w:space="0" w:color="auto"/>
            </w:tcBorders>
            <w:shd w:val="clear" w:color="auto" w:fill="auto"/>
            <w:vAlign w:val="center"/>
          </w:tcPr>
          <w:p w14:paraId="60A34847" w14:textId="77777777" w:rsidR="00EF3478" w:rsidRPr="00EB1911" w:rsidRDefault="00EF3478">
            <w:pPr>
              <w:keepNext/>
              <w:keepLines/>
              <w:spacing w:before="40" w:after="40"/>
              <w:jc w:val="right"/>
              <w:rPr>
                <w:rFonts w:ascii="Arial" w:hAnsi="Arial" w:cs="Arial"/>
                <w:b/>
                <w:spacing w:val="-2"/>
                <w:sz w:val="14"/>
                <w:szCs w:val="14"/>
              </w:rPr>
            </w:pPr>
          </w:p>
        </w:tc>
        <w:tc>
          <w:tcPr>
            <w:tcW w:w="1275" w:type="dxa"/>
            <w:gridSpan w:val="2"/>
            <w:tcBorders>
              <w:top w:val="single" w:sz="4" w:space="0" w:color="1F3864" w:themeColor="accent1" w:themeShade="80"/>
              <w:bottom w:val="single" w:sz="4" w:space="0" w:color="auto"/>
            </w:tcBorders>
            <w:shd w:val="clear" w:color="auto" w:fill="auto"/>
            <w:vAlign w:val="center"/>
          </w:tcPr>
          <w:p w14:paraId="7318A93A" w14:textId="77777777" w:rsidR="00EF3478" w:rsidRPr="00EB1911" w:rsidRDefault="00EF3478">
            <w:pPr>
              <w:pStyle w:val="08-Tabelageral"/>
              <w:rPr>
                <w:rFonts w:cs="Arial"/>
                <w:b/>
                <w:szCs w:val="14"/>
              </w:rPr>
            </w:pPr>
            <w:r>
              <w:rPr>
                <w:rFonts w:cs="Arial"/>
                <w:b/>
              </w:rPr>
              <w:t>2024</w:t>
            </w:r>
          </w:p>
        </w:tc>
        <w:tc>
          <w:tcPr>
            <w:tcW w:w="1418" w:type="dxa"/>
            <w:gridSpan w:val="3"/>
            <w:tcBorders>
              <w:top w:val="single" w:sz="4" w:space="0" w:color="1F3864" w:themeColor="accent1" w:themeShade="80"/>
              <w:bottom w:val="single" w:sz="4" w:space="0" w:color="auto"/>
            </w:tcBorders>
            <w:shd w:val="clear" w:color="auto" w:fill="auto"/>
            <w:vAlign w:val="center"/>
          </w:tcPr>
          <w:p w14:paraId="14210352" w14:textId="77777777" w:rsidR="00EF3478" w:rsidRPr="00EB1911" w:rsidRDefault="00EF3478">
            <w:pPr>
              <w:pStyle w:val="08-Tabelageral"/>
              <w:rPr>
                <w:rFonts w:cs="Arial"/>
                <w:b/>
                <w:szCs w:val="14"/>
              </w:rPr>
            </w:pPr>
            <w:r>
              <w:rPr>
                <w:rFonts w:cs="Arial"/>
                <w:b/>
              </w:rPr>
              <w:t>2023</w:t>
            </w:r>
          </w:p>
        </w:tc>
        <w:tc>
          <w:tcPr>
            <w:tcW w:w="236" w:type="dxa"/>
            <w:gridSpan w:val="3"/>
            <w:tcBorders>
              <w:top w:val="nil"/>
              <w:left w:val="nil"/>
              <w:bottom w:val="single" w:sz="4" w:space="0" w:color="auto"/>
              <w:right w:val="nil"/>
            </w:tcBorders>
            <w:shd w:val="clear" w:color="auto" w:fill="auto"/>
            <w:vAlign w:val="center"/>
          </w:tcPr>
          <w:p w14:paraId="51890DF8" w14:textId="77777777" w:rsidR="00EF3478" w:rsidRPr="00EB1911" w:rsidRDefault="00EF3478">
            <w:pPr>
              <w:pStyle w:val="08-Tabelageral"/>
              <w:rPr>
                <w:rFonts w:cs="Arial"/>
                <w:b/>
                <w:szCs w:val="14"/>
              </w:rPr>
            </w:pPr>
          </w:p>
        </w:tc>
        <w:tc>
          <w:tcPr>
            <w:tcW w:w="1272" w:type="dxa"/>
            <w:tcBorders>
              <w:top w:val="single" w:sz="4" w:space="0" w:color="1F3864" w:themeColor="accent1" w:themeShade="80"/>
              <w:bottom w:val="single" w:sz="4" w:space="0" w:color="auto"/>
            </w:tcBorders>
            <w:shd w:val="clear" w:color="auto" w:fill="auto"/>
            <w:vAlign w:val="center"/>
          </w:tcPr>
          <w:p w14:paraId="11E9D13E" w14:textId="77777777" w:rsidR="00EF3478" w:rsidRPr="00EB1911" w:rsidRDefault="00EF3478">
            <w:pPr>
              <w:pStyle w:val="08-Tabelageral"/>
              <w:rPr>
                <w:rFonts w:cs="Arial"/>
                <w:b/>
                <w:szCs w:val="14"/>
              </w:rPr>
            </w:pPr>
            <w:r>
              <w:rPr>
                <w:rFonts w:cs="Arial"/>
                <w:b/>
              </w:rPr>
              <w:t>2024</w:t>
            </w:r>
          </w:p>
        </w:tc>
        <w:tc>
          <w:tcPr>
            <w:tcW w:w="1345" w:type="dxa"/>
            <w:tcBorders>
              <w:top w:val="single" w:sz="4" w:space="0" w:color="1F3864" w:themeColor="accent1" w:themeShade="80"/>
              <w:bottom w:val="single" w:sz="4" w:space="0" w:color="auto"/>
            </w:tcBorders>
            <w:shd w:val="clear" w:color="auto" w:fill="auto"/>
            <w:vAlign w:val="center"/>
          </w:tcPr>
          <w:p w14:paraId="520CEB73" w14:textId="77777777" w:rsidR="00EF3478" w:rsidRPr="00EB1911" w:rsidRDefault="00EF3478">
            <w:pPr>
              <w:pStyle w:val="08-Tabelageral"/>
              <w:rPr>
                <w:b/>
              </w:rPr>
            </w:pPr>
            <w:r>
              <w:rPr>
                <w:rFonts w:cs="Arial"/>
                <w:b/>
              </w:rPr>
              <w:t>2023</w:t>
            </w:r>
          </w:p>
        </w:tc>
      </w:tr>
      <w:tr w:rsidR="00EF3478" w:rsidRPr="005171F7" w14:paraId="339FF236" w14:textId="77777777">
        <w:trPr>
          <w:trHeight w:val="20"/>
          <w:jc w:val="center"/>
        </w:trPr>
        <w:tc>
          <w:tcPr>
            <w:tcW w:w="3936" w:type="dxa"/>
            <w:gridSpan w:val="2"/>
            <w:shd w:val="clear" w:color="auto" w:fill="auto"/>
            <w:vAlign w:val="center"/>
          </w:tcPr>
          <w:p w14:paraId="361E8B38" w14:textId="77777777" w:rsidR="00EF3478" w:rsidRPr="005171F7" w:rsidRDefault="00EF3478">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shd w:val="clear" w:color="auto" w:fill="auto"/>
            <w:vAlign w:val="center"/>
          </w:tcPr>
          <w:p w14:paraId="4CCFB3D1" w14:textId="77777777" w:rsidR="00EF3478" w:rsidRPr="00AE31F4" w:rsidRDefault="00EF3478">
            <w:pPr>
              <w:pStyle w:val="08-Tabelageral"/>
            </w:pPr>
            <w:r w:rsidRPr="00C80CAE">
              <w:rPr>
                <w:b/>
                <w:bCs/>
              </w:rPr>
              <w:t>3</w:t>
            </w:r>
            <w:r>
              <w:rPr>
                <w:b/>
                <w:bCs/>
              </w:rPr>
              <w:t>,889</w:t>
            </w:r>
          </w:p>
        </w:tc>
        <w:tc>
          <w:tcPr>
            <w:tcW w:w="1359" w:type="dxa"/>
            <w:gridSpan w:val="2"/>
            <w:tcBorders>
              <w:top w:val="single" w:sz="2" w:space="0" w:color="1F3864" w:themeColor="accent1" w:themeShade="80"/>
              <w:left w:val="nil"/>
              <w:bottom w:val="nil"/>
              <w:right w:val="nil"/>
            </w:tcBorders>
            <w:shd w:val="clear" w:color="auto" w:fill="auto"/>
            <w:vAlign w:val="center"/>
          </w:tcPr>
          <w:p w14:paraId="573235E9" w14:textId="77777777" w:rsidR="00EF3478" w:rsidRPr="00AE31F4" w:rsidRDefault="00EF3478">
            <w:pPr>
              <w:pStyle w:val="08-Tabelageral"/>
            </w:pPr>
            <w:r>
              <w:rPr>
                <w:b/>
                <w:bCs/>
              </w:rPr>
              <w:t>6,237</w:t>
            </w:r>
          </w:p>
        </w:tc>
        <w:tc>
          <w:tcPr>
            <w:tcW w:w="236" w:type="dxa"/>
            <w:gridSpan w:val="3"/>
            <w:tcBorders>
              <w:top w:val="single" w:sz="2" w:space="0" w:color="1F3864" w:themeColor="accent1" w:themeShade="80"/>
              <w:left w:val="nil"/>
              <w:bottom w:val="nil"/>
              <w:right w:val="nil"/>
            </w:tcBorders>
            <w:shd w:val="clear" w:color="auto" w:fill="auto"/>
            <w:vAlign w:val="center"/>
          </w:tcPr>
          <w:p w14:paraId="3C4B1572" w14:textId="77777777" w:rsidR="00EF3478" w:rsidRPr="00AE31F4" w:rsidRDefault="00EF3478">
            <w:pPr>
              <w:pStyle w:val="08-Tabelageral"/>
            </w:pPr>
          </w:p>
        </w:tc>
        <w:tc>
          <w:tcPr>
            <w:tcW w:w="1407" w:type="dxa"/>
            <w:gridSpan w:val="3"/>
            <w:tcBorders>
              <w:top w:val="single" w:sz="2" w:space="0" w:color="1F3864" w:themeColor="accent1" w:themeShade="80"/>
              <w:left w:val="nil"/>
              <w:bottom w:val="nil"/>
              <w:right w:val="nil"/>
            </w:tcBorders>
            <w:shd w:val="clear" w:color="auto" w:fill="auto"/>
            <w:vAlign w:val="center"/>
          </w:tcPr>
          <w:p w14:paraId="27827C2D" w14:textId="77777777" w:rsidR="00EF3478" w:rsidRPr="00AE31F4" w:rsidRDefault="00EF3478">
            <w:pPr>
              <w:pStyle w:val="08-Tabelageral"/>
            </w:pPr>
            <w:r>
              <w:rPr>
                <w:b/>
                <w:bCs/>
              </w:rPr>
              <w:t>20,350</w:t>
            </w:r>
          </w:p>
        </w:tc>
        <w:tc>
          <w:tcPr>
            <w:tcW w:w="1351" w:type="dxa"/>
            <w:gridSpan w:val="2"/>
            <w:tcBorders>
              <w:top w:val="single" w:sz="2" w:space="0" w:color="1F3864" w:themeColor="accent1" w:themeShade="80"/>
              <w:left w:val="nil"/>
              <w:bottom w:val="nil"/>
              <w:right w:val="nil"/>
            </w:tcBorders>
            <w:shd w:val="clear" w:color="auto" w:fill="auto"/>
            <w:vAlign w:val="center"/>
          </w:tcPr>
          <w:p w14:paraId="53E281F2" w14:textId="327FD2A1" w:rsidR="00EF3478" w:rsidRPr="00AE31F4" w:rsidRDefault="00EF3478">
            <w:pPr>
              <w:pStyle w:val="08-Tabelageral"/>
            </w:pPr>
            <w:r w:rsidRPr="00C80CAE">
              <w:rPr>
                <w:b/>
                <w:bCs/>
              </w:rPr>
              <w:t>1</w:t>
            </w:r>
            <w:r>
              <w:rPr>
                <w:b/>
                <w:bCs/>
              </w:rPr>
              <w:t>6,22</w:t>
            </w:r>
            <w:r w:rsidR="005E51AF">
              <w:rPr>
                <w:b/>
                <w:bCs/>
              </w:rPr>
              <w:t>6</w:t>
            </w:r>
          </w:p>
        </w:tc>
      </w:tr>
      <w:tr w:rsidR="00EF3478" w:rsidRPr="005171F7" w14:paraId="50F65878" w14:textId="77777777">
        <w:trPr>
          <w:trHeight w:val="20"/>
          <w:jc w:val="center"/>
        </w:trPr>
        <w:tc>
          <w:tcPr>
            <w:tcW w:w="3936" w:type="dxa"/>
            <w:gridSpan w:val="2"/>
            <w:shd w:val="clear" w:color="auto" w:fill="auto"/>
            <w:vAlign w:val="center"/>
          </w:tcPr>
          <w:p w14:paraId="1A1BDE88" w14:textId="77777777" w:rsidR="00EF3478" w:rsidRPr="005171F7" w:rsidRDefault="00EF3478">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shd w:val="clear" w:color="auto" w:fill="auto"/>
            <w:vAlign w:val="center"/>
          </w:tcPr>
          <w:p w14:paraId="3A34C3E0" w14:textId="77777777" w:rsidR="00EF3478" w:rsidRPr="00AE31F4" w:rsidRDefault="00EF3478">
            <w:pPr>
              <w:pStyle w:val="08-Tabelageral"/>
            </w:pPr>
            <w:r w:rsidRPr="00C80CAE">
              <w:t>2</w:t>
            </w:r>
            <w:r>
              <w:t>,689</w:t>
            </w:r>
          </w:p>
        </w:tc>
        <w:tc>
          <w:tcPr>
            <w:tcW w:w="1359" w:type="dxa"/>
            <w:gridSpan w:val="2"/>
            <w:tcBorders>
              <w:top w:val="nil"/>
            </w:tcBorders>
            <w:shd w:val="clear" w:color="auto" w:fill="auto"/>
            <w:vAlign w:val="center"/>
          </w:tcPr>
          <w:p w14:paraId="154B3242" w14:textId="77777777" w:rsidR="00EF3478" w:rsidRPr="00AE31F4" w:rsidRDefault="00EF3478">
            <w:pPr>
              <w:pStyle w:val="08-Tabelageral"/>
            </w:pPr>
            <w:r>
              <w:t>6,141</w:t>
            </w:r>
          </w:p>
        </w:tc>
        <w:tc>
          <w:tcPr>
            <w:tcW w:w="236" w:type="dxa"/>
            <w:gridSpan w:val="3"/>
            <w:tcBorders>
              <w:top w:val="nil"/>
            </w:tcBorders>
            <w:shd w:val="clear" w:color="auto" w:fill="auto"/>
            <w:vAlign w:val="center"/>
          </w:tcPr>
          <w:p w14:paraId="00D3C534" w14:textId="77777777" w:rsidR="00EF3478" w:rsidRPr="00AE31F4" w:rsidRDefault="00EF3478">
            <w:pPr>
              <w:pStyle w:val="08-Tabelageral"/>
            </w:pPr>
          </w:p>
        </w:tc>
        <w:tc>
          <w:tcPr>
            <w:tcW w:w="1407" w:type="dxa"/>
            <w:gridSpan w:val="3"/>
            <w:tcBorders>
              <w:top w:val="nil"/>
            </w:tcBorders>
            <w:shd w:val="clear" w:color="auto" w:fill="auto"/>
            <w:vAlign w:val="center"/>
          </w:tcPr>
          <w:p w14:paraId="57410A58" w14:textId="77777777" w:rsidR="00EF3478" w:rsidRPr="00AE31F4" w:rsidRDefault="00EF3478">
            <w:pPr>
              <w:pStyle w:val="08-Tabelageral"/>
            </w:pPr>
            <w:r w:rsidRPr="00C80CAE">
              <w:t>2</w:t>
            </w:r>
            <w:r>
              <w:t>,689</w:t>
            </w:r>
          </w:p>
        </w:tc>
        <w:tc>
          <w:tcPr>
            <w:tcW w:w="1351" w:type="dxa"/>
            <w:gridSpan w:val="2"/>
            <w:tcBorders>
              <w:top w:val="nil"/>
            </w:tcBorders>
            <w:shd w:val="clear" w:color="auto" w:fill="auto"/>
            <w:vAlign w:val="center"/>
          </w:tcPr>
          <w:p w14:paraId="7536C37C" w14:textId="77777777" w:rsidR="00EF3478" w:rsidRPr="00AE31F4" w:rsidRDefault="00EF3478">
            <w:pPr>
              <w:pStyle w:val="08-Tabelageral"/>
            </w:pPr>
            <w:r>
              <w:t>6,141</w:t>
            </w:r>
          </w:p>
        </w:tc>
      </w:tr>
      <w:tr w:rsidR="00EF3478" w:rsidRPr="005171F7" w14:paraId="7C793B42" w14:textId="77777777">
        <w:trPr>
          <w:trHeight w:val="20"/>
          <w:jc w:val="center"/>
        </w:trPr>
        <w:tc>
          <w:tcPr>
            <w:tcW w:w="3936" w:type="dxa"/>
            <w:gridSpan w:val="2"/>
            <w:shd w:val="clear" w:color="auto" w:fill="auto"/>
            <w:vAlign w:val="center"/>
          </w:tcPr>
          <w:p w14:paraId="15ACC724" w14:textId="77777777" w:rsidR="00EF3478" w:rsidRPr="00EF3478" w:rsidRDefault="00EF3478">
            <w:pPr>
              <w:pStyle w:val="08-Tabelageral"/>
              <w:ind w:left="113"/>
              <w:jc w:val="left"/>
              <w:rPr>
                <w:rFonts w:cs="Arial"/>
                <w:szCs w:val="14"/>
                <w:lang w:val="en-US"/>
              </w:rPr>
            </w:pPr>
            <w:r w:rsidRPr="00EF3478">
              <w:rPr>
                <w:rFonts w:cs="Arial"/>
                <w:szCs w:val="14"/>
                <w:lang w:val="en-US"/>
              </w:rPr>
              <w:t xml:space="preserve">Reversal of provisions for labor, tax and civil </w:t>
            </w:r>
            <w:proofErr w:type="gramStart"/>
            <w:r w:rsidRPr="00EF3478">
              <w:rPr>
                <w:rFonts w:cs="Arial"/>
                <w:szCs w:val="14"/>
                <w:lang w:val="en-US"/>
              </w:rPr>
              <w:t>lawsuits</w:t>
            </w:r>
            <w:r w:rsidRPr="00EF3478">
              <w:rPr>
                <w:rFonts w:cs="Arial"/>
                <w:szCs w:val="14"/>
                <w:vertAlign w:val="superscript"/>
                <w:lang w:val="en-US"/>
              </w:rPr>
              <w:t>(</w:t>
            </w:r>
            <w:proofErr w:type="gramEnd"/>
            <w:r w:rsidRPr="00EF3478">
              <w:rPr>
                <w:rFonts w:cs="Arial"/>
                <w:szCs w:val="14"/>
                <w:vertAlign w:val="superscript"/>
                <w:lang w:val="en-US"/>
              </w:rPr>
              <w:t>2)</w:t>
            </w:r>
          </w:p>
        </w:tc>
        <w:tc>
          <w:tcPr>
            <w:tcW w:w="1359" w:type="dxa"/>
            <w:gridSpan w:val="2"/>
            <w:shd w:val="clear" w:color="auto" w:fill="auto"/>
            <w:vAlign w:val="center"/>
          </w:tcPr>
          <w:p w14:paraId="206077DD" w14:textId="77777777" w:rsidR="00EF3478" w:rsidRPr="00AE31F4" w:rsidRDefault="00EF3478">
            <w:pPr>
              <w:pStyle w:val="08-Tabelageral"/>
            </w:pPr>
            <w:r>
              <w:t>1,200</w:t>
            </w:r>
          </w:p>
        </w:tc>
        <w:tc>
          <w:tcPr>
            <w:tcW w:w="1359" w:type="dxa"/>
            <w:gridSpan w:val="2"/>
            <w:shd w:val="clear" w:color="auto" w:fill="auto"/>
            <w:vAlign w:val="center"/>
          </w:tcPr>
          <w:p w14:paraId="2FE30D36" w14:textId="77777777" w:rsidR="00EF3478" w:rsidRPr="00AE31F4" w:rsidRDefault="00EF3478">
            <w:pPr>
              <w:pStyle w:val="08-Tabelageral"/>
            </w:pPr>
            <w:r>
              <w:t>96</w:t>
            </w:r>
          </w:p>
        </w:tc>
        <w:tc>
          <w:tcPr>
            <w:tcW w:w="236" w:type="dxa"/>
            <w:gridSpan w:val="3"/>
            <w:shd w:val="clear" w:color="auto" w:fill="auto"/>
            <w:vAlign w:val="center"/>
          </w:tcPr>
          <w:p w14:paraId="347EA5BD" w14:textId="77777777" w:rsidR="00EF3478" w:rsidRPr="00AE31F4" w:rsidRDefault="00EF3478">
            <w:pPr>
              <w:pStyle w:val="08-Tabelageral"/>
            </w:pPr>
          </w:p>
        </w:tc>
        <w:tc>
          <w:tcPr>
            <w:tcW w:w="1407" w:type="dxa"/>
            <w:gridSpan w:val="3"/>
            <w:shd w:val="clear" w:color="auto" w:fill="auto"/>
            <w:vAlign w:val="center"/>
          </w:tcPr>
          <w:p w14:paraId="79A90452" w14:textId="77777777" w:rsidR="00EF3478" w:rsidRPr="00AE31F4" w:rsidRDefault="00EF3478">
            <w:pPr>
              <w:pStyle w:val="08-Tabelageral"/>
            </w:pPr>
            <w:r w:rsidRPr="00C80CAE">
              <w:t>1</w:t>
            </w:r>
            <w:r>
              <w:t>7,661</w:t>
            </w:r>
          </w:p>
        </w:tc>
        <w:tc>
          <w:tcPr>
            <w:tcW w:w="1351" w:type="dxa"/>
            <w:gridSpan w:val="2"/>
            <w:shd w:val="clear" w:color="auto" w:fill="auto"/>
            <w:vAlign w:val="center"/>
          </w:tcPr>
          <w:p w14:paraId="6417B4A0" w14:textId="42C84C19" w:rsidR="00EF3478" w:rsidRPr="00AE31F4" w:rsidRDefault="00EF3478">
            <w:pPr>
              <w:pStyle w:val="08-Tabelageral"/>
            </w:pPr>
            <w:r>
              <w:t>8,25</w:t>
            </w:r>
            <w:r w:rsidR="00E24047">
              <w:t>3</w:t>
            </w:r>
          </w:p>
        </w:tc>
      </w:tr>
      <w:tr w:rsidR="00EF3478" w:rsidRPr="005171F7" w14:paraId="7A253C18" w14:textId="77777777">
        <w:trPr>
          <w:trHeight w:val="20"/>
          <w:jc w:val="center"/>
        </w:trPr>
        <w:tc>
          <w:tcPr>
            <w:tcW w:w="3936" w:type="dxa"/>
            <w:gridSpan w:val="2"/>
            <w:shd w:val="clear" w:color="auto" w:fill="auto"/>
            <w:vAlign w:val="center"/>
          </w:tcPr>
          <w:p w14:paraId="51E34AB6" w14:textId="77777777" w:rsidR="00EF3478" w:rsidRPr="00EF3478" w:rsidRDefault="00EF3478">
            <w:pPr>
              <w:pStyle w:val="08-Tabelageral"/>
              <w:ind w:left="113"/>
              <w:jc w:val="left"/>
              <w:rPr>
                <w:rFonts w:cs="Arial"/>
                <w:szCs w:val="14"/>
                <w:lang w:val="en-US"/>
              </w:rPr>
            </w:pPr>
            <w:r w:rsidRPr="00EF3478">
              <w:rPr>
                <w:rFonts w:cs="Arial"/>
                <w:szCs w:val="14"/>
                <w:lang w:val="en-US"/>
              </w:rPr>
              <w:t xml:space="preserve">Income </w:t>
            </w:r>
            <w:proofErr w:type="gramStart"/>
            <w:r w:rsidRPr="00EF3478">
              <w:rPr>
                <w:rFonts w:cs="Arial"/>
                <w:szCs w:val="14"/>
                <w:lang w:val="en-US"/>
              </w:rPr>
              <w:t>earn</w:t>
            </w:r>
            <w:proofErr w:type="gramEnd"/>
            <w:r w:rsidRPr="00EF3478">
              <w:rPr>
                <w:rFonts w:cs="Arial"/>
                <w:szCs w:val="14"/>
                <w:lang w:val="en-US"/>
              </w:rPr>
              <w:t xml:space="preserve"> in earn out </w:t>
            </w:r>
            <w:r w:rsidRPr="00EF3478">
              <w:rPr>
                <w:rFonts w:cs="Arial"/>
                <w:szCs w:val="14"/>
                <w:vertAlign w:val="superscript"/>
                <w:lang w:val="en-US"/>
              </w:rPr>
              <w:t>(3)</w:t>
            </w:r>
          </w:p>
        </w:tc>
        <w:tc>
          <w:tcPr>
            <w:tcW w:w="1359" w:type="dxa"/>
            <w:gridSpan w:val="2"/>
            <w:shd w:val="clear" w:color="auto" w:fill="auto"/>
            <w:vAlign w:val="center"/>
          </w:tcPr>
          <w:p w14:paraId="17B60C26" w14:textId="77777777" w:rsidR="00EF3478" w:rsidRPr="00AE31F4" w:rsidRDefault="00EF3478">
            <w:pPr>
              <w:pStyle w:val="08-Tabelageral"/>
            </w:pPr>
            <w:r w:rsidRPr="00C80CAE">
              <w:rPr>
                <w:lang w:val="en-US"/>
              </w:rPr>
              <w:t>--</w:t>
            </w:r>
          </w:p>
        </w:tc>
        <w:tc>
          <w:tcPr>
            <w:tcW w:w="1359" w:type="dxa"/>
            <w:gridSpan w:val="2"/>
            <w:shd w:val="clear" w:color="auto" w:fill="auto"/>
            <w:vAlign w:val="center"/>
          </w:tcPr>
          <w:p w14:paraId="3DFCD416" w14:textId="77777777" w:rsidR="00EF3478" w:rsidRPr="00AE31F4" w:rsidRDefault="00EF3478">
            <w:pPr>
              <w:pStyle w:val="08-Tabelageral"/>
            </w:pPr>
            <w:r w:rsidRPr="00C80CAE">
              <w:t>--</w:t>
            </w:r>
          </w:p>
        </w:tc>
        <w:tc>
          <w:tcPr>
            <w:tcW w:w="236" w:type="dxa"/>
            <w:gridSpan w:val="3"/>
            <w:shd w:val="clear" w:color="auto" w:fill="auto"/>
            <w:vAlign w:val="center"/>
          </w:tcPr>
          <w:p w14:paraId="2761385E" w14:textId="77777777" w:rsidR="00EF3478" w:rsidRPr="00AE31F4" w:rsidRDefault="00EF3478">
            <w:pPr>
              <w:pStyle w:val="08-Tabelageral"/>
            </w:pPr>
          </w:p>
        </w:tc>
        <w:tc>
          <w:tcPr>
            <w:tcW w:w="1407" w:type="dxa"/>
            <w:gridSpan w:val="3"/>
            <w:shd w:val="clear" w:color="auto" w:fill="auto"/>
            <w:vAlign w:val="center"/>
          </w:tcPr>
          <w:p w14:paraId="57BC48F6" w14:textId="77777777" w:rsidR="00EF3478" w:rsidRPr="00AE31F4" w:rsidRDefault="00EF3478">
            <w:pPr>
              <w:pStyle w:val="08-Tabelageral"/>
            </w:pPr>
            <w:r w:rsidRPr="00C80CAE">
              <w:rPr>
                <w:lang w:val="en-US"/>
              </w:rPr>
              <w:t>--</w:t>
            </w:r>
          </w:p>
        </w:tc>
        <w:tc>
          <w:tcPr>
            <w:tcW w:w="1351" w:type="dxa"/>
            <w:gridSpan w:val="2"/>
            <w:shd w:val="clear" w:color="auto" w:fill="auto"/>
            <w:vAlign w:val="center"/>
          </w:tcPr>
          <w:p w14:paraId="6D47E4E6" w14:textId="6F02356B" w:rsidR="00EF3478" w:rsidRPr="00AE31F4" w:rsidRDefault="00EF3478">
            <w:pPr>
              <w:pStyle w:val="08-Tabelageral"/>
            </w:pPr>
            <w:r w:rsidRPr="00C80CAE">
              <w:rPr>
                <w:lang w:val="en-US"/>
              </w:rPr>
              <w:t>1</w:t>
            </w:r>
            <w:r>
              <w:t>,</w:t>
            </w:r>
            <w:r w:rsidRPr="00C80CAE">
              <w:rPr>
                <w:lang w:val="en-US"/>
              </w:rPr>
              <w:t>83</w:t>
            </w:r>
            <w:r w:rsidR="00F365ED">
              <w:rPr>
                <w:lang w:val="en-US"/>
              </w:rPr>
              <w:t>2</w:t>
            </w:r>
          </w:p>
        </w:tc>
      </w:tr>
      <w:tr w:rsidR="00EF3478" w:rsidRPr="005171F7" w14:paraId="05675FAC" w14:textId="77777777">
        <w:trPr>
          <w:trHeight w:val="20"/>
          <w:jc w:val="center"/>
        </w:trPr>
        <w:tc>
          <w:tcPr>
            <w:tcW w:w="3936" w:type="dxa"/>
            <w:gridSpan w:val="2"/>
            <w:shd w:val="clear" w:color="auto" w:fill="auto"/>
            <w:vAlign w:val="center"/>
          </w:tcPr>
          <w:p w14:paraId="017F5E55" w14:textId="77777777" w:rsidR="00EF3478" w:rsidRDefault="00EF3478">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shd w:val="clear" w:color="auto" w:fill="auto"/>
            <w:vAlign w:val="center"/>
          </w:tcPr>
          <w:p w14:paraId="0E528EDD" w14:textId="72AA2CB0" w:rsidR="00EF3478" w:rsidRDefault="00EF3478">
            <w:pPr>
              <w:pStyle w:val="08-Tabelageral"/>
            </w:pPr>
            <w:r w:rsidRPr="00C80CAE">
              <w:rPr>
                <w:b/>
                <w:bCs/>
              </w:rPr>
              <w:t>(</w:t>
            </w:r>
            <w:r>
              <w:rPr>
                <w:b/>
                <w:bCs/>
              </w:rPr>
              <w:t>2,55</w:t>
            </w:r>
            <w:r w:rsidR="001C018B">
              <w:rPr>
                <w:b/>
                <w:bCs/>
              </w:rPr>
              <w:t>6</w:t>
            </w:r>
            <w:r w:rsidRPr="00C80CAE">
              <w:rPr>
                <w:b/>
                <w:bCs/>
              </w:rPr>
              <w:t>)</w:t>
            </w:r>
          </w:p>
        </w:tc>
        <w:tc>
          <w:tcPr>
            <w:tcW w:w="1359" w:type="dxa"/>
            <w:gridSpan w:val="2"/>
            <w:tcBorders>
              <w:bottom w:val="nil"/>
            </w:tcBorders>
            <w:shd w:val="clear" w:color="auto" w:fill="auto"/>
            <w:vAlign w:val="center"/>
          </w:tcPr>
          <w:p w14:paraId="103F7FAB" w14:textId="1ECD4CED" w:rsidR="00EF3478" w:rsidRDefault="00EF3478">
            <w:pPr>
              <w:pStyle w:val="08-Tabelageral"/>
            </w:pPr>
            <w:r w:rsidRPr="00C80CAE">
              <w:rPr>
                <w:b/>
                <w:bCs/>
              </w:rPr>
              <w:t>(</w:t>
            </w:r>
            <w:r>
              <w:rPr>
                <w:b/>
                <w:bCs/>
              </w:rPr>
              <w:t>83</w:t>
            </w:r>
            <w:r w:rsidR="00D17937">
              <w:rPr>
                <w:b/>
                <w:bCs/>
              </w:rPr>
              <w:t>8</w:t>
            </w:r>
            <w:r w:rsidRPr="00C80CAE">
              <w:rPr>
                <w:b/>
                <w:bCs/>
              </w:rPr>
              <w:t>)</w:t>
            </w:r>
          </w:p>
        </w:tc>
        <w:tc>
          <w:tcPr>
            <w:tcW w:w="236" w:type="dxa"/>
            <w:gridSpan w:val="3"/>
            <w:tcBorders>
              <w:bottom w:val="nil"/>
            </w:tcBorders>
            <w:shd w:val="clear" w:color="auto" w:fill="auto"/>
            <w:vAlign w:val="center"/>
          </w:tcPr>
          <w:p w14:paraId="6F1177C1" w14:textId="77777777" w:rsidR="00EF3478" w:rsidRPr="00AE31F4" w:rsidRDefault="00EF3478">
            <w:pPr>
              <w:pStyle w:val="08-Tabelageral"/>
            </w:pPr>
          </w:p>
        </w:tc>
        <w:tc>
          <w:tcPr>
            <w:tcW w:w="1407" w:type="dxa"/>
            <w:gridSpan w:val="3"/>
            <w:tcBorders>
              <w:bottom w:val="nil"/>
            </w:tcBorders>
            <w:shd w:val="clear" w:color="auto" w:fill="auto"/>
            <w:vAlign w:val="center"/>
          </w:tcPr>
          <w:p w14:paraId="0C2C2B41" w14:textId="4FAC4E23" w:rsidR="00EF3478" w:rsidRDefault="00EF3478">
            <w:pPr>
              <w:pStyle w:val="08-Tabelageral"/>
            </w:pPr>
            <w:r w:rsidRPr="00C80CAE">
              <w:rPr>
                <w:b/>
                <w:bCs/>
              </w:rPr>
              <w:t>(3</w:t>
            </w:r>
            <w:r>
              <w:rPr>
                <w:b/>
                <w:bCs/>
              </w:rPr>
              <w:t>9,36</w:t>
            </w:r>
            <w:r w:rsidR="001C018B">
              <w:rPr>
                <w:b/>
                <w:bCs/>
              </w:rPr>
              <w:t>5</w:t>
            </w:r>
            <w:r w:rsidRPr="00C80CAE">
              <w:rPr>
                <w:b/>
                <w:bCs/>
              </w:rPr>
              <w:t>)</w:t>
            </w:r>
          </w:p>
        </w:tc>
        <w:tc>
          <w:tcPr>
            <w:tcW w:w="1351" w:type="dxa"/>
            <w:gridSpan w:val="2"/>
            <w:tcBorders>
              <w:bottom w:val="nil"/>
            </w:tcBorders>
            <w:shd w:val="clear" w:color="auto" w:fill="auto"/>
            <w:vAlign w:val="center"/>
          </w:tcPr>
          <w:p w14:paraId="15840959" w14:textId="24A27648" w:rsidR="00EF3478" w:rsidRDefault="00EF3478">
            <w:pPr>
              <w:pStyle w:val="08-Tabelageral"/>
            </w:pPr>
            <w:r w:rsidRPr="00C80CAE">
              <w:rPr>
                <w:b/>
                <w:bCs/>
              </w:rPr>
              <w:t>(</w:t>
            </w:r>
            <w:r>
              <w:rPr>
                <w:b/>
                <w:bCs/>
              </w:rPr>
              <w:t>26,16</w:t>
            </w:r>
            <w:r w:rsidR="005E51AF">
              <w:rPr>
                <w:b/>
                <w:bCs/>
              </w:rPr>
              <w:t>7</w:t>
            </w:r>
            <w:r w:rsidRPr="00C80CAE">
              <w:rPr>
                <w:b/>
                <w:bCs/>
              </w:rPr>
              <w:t>)</w:t>
            </w:r>
          </w:p>
        </w:tc>
      </w:tr>
      <w:tr w:rsidR="00EF3478" w:rsidRPr="005171F7" w14:paraId="3402813C" w14:textId="77777777">
        <w:trPr>
          <w:trHeight w:val="20"/>
          <w:jc w:val="center"/>
        </w:trPr>
        <w:tc>
          <w:tcPr>
            <w:tcW w:w="3936" w:type="dxa"/>
            <w:gridSpan w:val="2"/>
            <w:tcBorders>
              <w:bottom w:val="nil"/>
            </w:tcBorders>
            <w:shd w:val="clear" w:color="auto" w:fill="auto"/>
            <w:vAlign w:val="center"/>
          </w:tcPr>
          <w:p w14:paraId="69CDEFC5" w14:textId="77777777" w:rsidR="00EF3478" w:rsidRPr="00EF3478" w:rsidRDefault="00EF3478">
            <w:pPr>
              <w:pStyle w:val="08-Tabelageral"/>
              <w:ind w:left="113"/>
              <w:jc w:val="left"/>
              <w:rPr>
                <w:rFonts w:cs="Arial"/>
                <w:szCs w:val="14"/>
                <w:lang w:val="en-US"/>
              </w:rPr>
            </w:pPr>
            <w:r w:rsidRPr="00EF3478">
              <w:rPr>
                <w:rFonts w:cs="Arial"/>
                <w:szCs w:val="14"/>
                <w:lang w:val="en-US"/>
              </w:rPr>
              <w:t xml:space="preserve">Addition of provisions for labor, tax and civil </w:t>
            </w:r>
            <w:proofErr w:type="gramStart"/>
            <w:r w:rsidRPr="00EF3478">
              <w:rPr>
                <w:rFonts w:cs="Arial"/>
                <w:szCs w:val="14"/>
                <w:lang w:val="en-US"/>
              </w:rPr>
              <w:t>lawsuits</w:t>
            </w:r>
            <w:r w:rsidRPr="00EF3478">
              <w:rPr>
                <w:rFonts w:cs="Arial"/>
                <w:szCs w:val="14"/>
                <w:vertAlign w:val="superscript"/>
                <w:lang w:val="en-US"/>
              </w:rPr>
              <w:t>(</w:t>
            </w:r>
            <w:proofErr w:type="gramEnd"/>
            <w:r w:rsidRPr="00EF3478">
              <w:rPr>
                <w:rFonts w:cs="Arial"/>
                <w:szCs w:val="14"/>
                <w:vertAlign w:val="superscript"/>
                <w:lang w:val="en-US"/>
              </w:rPr>
              <w:t>2)</w:t>
            </w:r>
          </w:p>
        </w:tc>
        <w:tc>
          <w:tcPr>
            <w:tcW w:w="1359" w:type="dxa"/>
            <w:gridSpan w:val="2"/>
            <w:tcBorders>
              <w:bottom w:val="nil"/>
            </w:tcBorders>
            <w:shd w:val="clear" w:color="auto" w:fill="auto"/>
            <w:vAlign w:val="center"/>
          </w:tcPr>
          <w:p w14:paraId="1C7451CE" w14:textId="77777777" w:rsidR="00EF3478" w:rsidRPr="00F048FF" w:rsidRDefault="00EF3478">
            <w:pPr>
              <w:pStyle w:val="08-Tabelageral"/>
            </w:pPr>
            <w:r w:rsidRPr="00C80CAE">
              <w:t>(</w:t>
            </w:r>
            <w:r>
              <w:t>2,388</w:t>
            </w:r>
            <w:r w:rsidRPr="00C80CAE">
              <w:t>)</w:t>
            </w:r>
          </w:p>
        </w:tc>
        <w:tc>
          <w:tcPr>
            <w:tcW w:w="1359" w:type="dxa"/>
            <w:gridSpan w:val="2"/>
            <w:tcBorders>
              <w:bottom w:val="nil"/>
            </w:tcBorders>
            <w:shd w:val="clear" w:color="auto" w:fill="auto"/>
            <w:vAlign w:val="center"/>
          </w:tcPr>
          <w:p w14:paraId="3572FB44" w14:textId="77777777" w:rsidR="00EF3478" w:rsidRDefault="00EF3478">
            <w:pPr>
              <w:pStyle w:val="08-Tabelageral"/>
            </w:pPr>
            <w:r w:rsidRPr="00C80CAE">
              <w:t>(</w:t>
            </w:r>
            <w:r>
              <w:t>668</w:t>
            </w:r>
            <w:r w:rsidRPr="00C80CAE">
              <w:t>)</w:t>
            </w:r>
          </w:p>
        </w:tc>
        <w:tc>
          <w:tcPr>
            <w:tcW w:w="236" w:type="dxa"/>
            <w:gridSpan w:val="3"/>
            <w:tcBorders>
              <w:bottom w:val="nil"/>
            </w:tcBorders>
            <w:shd w:val="clear" w:color="auto" w:fill="auto"/>
            <w:vAlign w:val="center"/>
          </w:tcPr>
          <w:p w14:paraId="171E38B9" w14:textId="77777777" w:rsidR="00EF3478" w:rsidRPr="00AE31F4" w:rsidRDefault="00EF3478">
            <w:pPr>
              <w:pStyle w:val="08-Tabelageral"/>
            </w:pPr>
          </w:p>
        </w:tc>
        <w:tc>
          <w:tcPr>
            <w:tcW w:w="1407" w:type="dxa"/>
            <w:gridSpan w:val="3"/>
            <w:tcBorders>
              <w:bottom w:val="nil"/>
            </w:tcBorders>
            <w:shd w:val="clear" w:color="auto" w:fill="auto"/>
            <w:vAlign w:val="center"/>
          </w:tcPr>
          <w:p w14:paraId="7D72BC96" w14:textId="77777777" w:rsidR="00EF3478" w:rsidRDefault="00EF3478">
            <w:pPr>
              <w:pStyle w:val="08-Tabelageral"/>
            </w:pPr>
            <w:r w:rsidRPr="00C80CAE">
              <w:t>(3</w:t>
            </w:r>
            <w:r>
              <w:t>8,090</w:t>
            </w:r>
            <w:r w:rsidRPr="00C80CAE">
              <w:t>)</w:t>
            </w:r>
          </w:p>
        </w:tc>
        <w:tc>
          <w:tcPr>
            <w:tcW w:w="1351" w:type="dxa"/>
            <w:gridSpan w:val="2"/>
            <w:tcBorders>
              <w:bottom w:val="nil"/>
            </w:tcBorders>
            <w:shd w:val="clear" w:color="auto" w:fill="auto"/>
            <w:vAlign w:val="center"/>
          </w:tcPr>
          <w:p w14:paraId="35B9CD37" w14:textId="77777777" w:rsidR="00EF3478" w:rsidRDefault="00EF3478">
            <w:pPr>
              <w:pStyle w:val="08-Tabelageral"/>
            </w:pPr>
            <w:r w:rsidRPr="00C80CAE">
              <w:t>(</w:t>
            </w:r>
            <w:r>
              <w:t>24,370</w:t>
            </w:r>
            <w:r w:rsidRPr="00C80CAE">
              <w:t>)</w:t>
            </w:r>
          </w:p>
        </w:tc>
      </w:tr>
      <w:tr w:rsidR="00EF3478" w:rsidRPr="005171F7" w14:paraId="77201C5D" w14:textId="77777777">
        <w:trPr>
          <w:trHeight w:val="20"/>
          <w:jc w:val="center"/>
        </w:trPr>
        <w:tc>
          <w:tcPr>
            <w:tcW w:w="3936" w:type="dxa"/>
            <w:gridSpan w:val="2"/>
            <w:tcBorders>
              <w:bottom w:val="nil"/>
            </w:tcBorders>
            <w:shd w:val="clear" w:color="auto" w:fill="auto"/>
            <w:vAlign w:val="center"/>
          </w:tcPr>
          <w:p w14:paraId="5F24B4DC" w14:textId="77777777" w:rsidR="00EF3478" w:rsidRDefault="00EF3478">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shd w:val="clear" w:color="auto" w:fill="auto"/>
            <w:vAlign w:val="center"/>
          </w:tcPr>
          <w:p w14:paraId="1E3B4280" w14:textId="77777777" w:rsidR="00EF3478" w:rsidRPr="00F048FF" w:rsidRDefault="00EF3478">
            <w:pPr>
              <w:pStyle w:val="08-Tabelageral"/>
            </w:pPr>
            <w:r w:rsidRPr="00C80CAE">
              <w:t>(</w:t>
            </w:r>
            <w:r>
              <w:t>162</w:t>
            </w:r>
            <w:r w:rsidRPr="00C80CAE">
              <w:t>)</w:t>
            </w:r>
          </w:p>
        </w:tc>
        <w:tc>
          <w:tcPr>
            <w:tcW w:w="1359" w:type="dxa"/>
            <w:gridSpan w:val="2"/>
            <w:tcBorders>
              <w:bottom w:val="nil"/>
            </w:tcBorders>
            <w:shd w:val="clear" w:color="auto" w:fill="auto"/>
            <w:vAlign w:val="center"/>
          </w:tcPr>
          <w:p w14:paraId="6272F586" w14:textId="77777777" w:rsidR="00EF3478" w:rsidRDefault="00EF3478">
            <w:pPr>
              <w:pStyle w:val="08-Tabelageral"/>
            </w:pPr>
            <w:r w:rsidRPr="00C80CAE">
              <w:t>(1</w:t>
            </w:r>
            <w:r>
              <w:t>67</w:t>
            </w:r>
            <w:r w:rsidRPr="00C80CAE">
              <w:t>)</w:t>
            </w:r>
          </w:p>
        </w:tc>
        <w:tc>
          <w:tcPr>
            <w:tcW w:w="236" w:type="dxa"/>
            <w:gridSpan w:val="3"/>
            <w:tcBorders>
              <w:bottom w:val="nil"/>
            </w:tcBorders>
            <w:shd w:val="clear" w:color="auto" w:fill="auto"/>
            <w:vAlign w:val="center"/>
          </w:tcPr>
          <w:p w14:paraId="6F420B64" w14:textId="77777777" w:rsidR="00EF3478" w:rsidRPr="00AE31F4" w:rsidRDefault="00EF3478">
            <w:pPr>
              <w:pStyle w:val="08-Tabelageral"/>
            </w:pPr>
          </w:p>
        </w:tc>
        <w:tc>
          <w:tcPr>
            <w:tcW w:w="1407" w:type="dxa"/>
            <w:gridSpan w:val="3"/>
            <w:tcBorders>
              <w:bottom w:val="nil"/>
            </w:tcBorders>
            <w:shd w:val="clear" w:color="auto" w:fill="auto"/>
            <w:vAlign w:val="center"/>
          </w:tcPr>
          <w:p w14:paraId="53BBE2E1" w14:textId="77777777" w:rsidR="00EF3478" w:rsidRDefault="00EF3478">
            <w:pPr>
              <w:pStyle w:val="08-Tabelageral"/>
            </w:pPr>
            <w:r w:rsidRPr="00C80CAE">
              <w:t>(</w:t>
            </w:r>
            <w:r>
              <w:t>1,268</w:t>
            </w:r>
            <w:r w:rsidRPr="00C80CAE">
              <w:t>)</w:t>
            </w:r>
          </w:p>
        </w:tc>
        <w:tc>
          <w:tcPr>
            <w:tcW w:w="1351" w:type="dxa"/>
            <w:gridSpan w:val="2"/>
            <w:tcBorders>
              <w:bottom w:val="nil"/>
            </w:tcBorders>
            <w:shd w:val="clear" w:color="auto" w:fill="auto"/>
            <w:vAlign w:val="center"/>
          </w:tcPr>
          <w:p w14:paraId="69FBACC6" w14:textId="77777777" w:rsidR="00EF3478" w:rsidRDefault="00EF3478">
            <w:pPr>
              <w:pStyle w:val="08-Tabelageral"/>
            </w:pPr>
            <w:r w:rsidRPr="00C80CAE">
              <w:t>(</w:t>
            </w:r>
            <w:r>
              <w:t>1,303</w:t>
            </w:r>
            <w:r w:rsidRPr="00C80CAE">
              <w:t>)</w:t>
            </w:r>
          </w:p>
        </w:tc>
      </w:tr>
      <w:tr w:rsidR="00EF3478" w:rsidRPr="005171F7" w14:paraId="3D0875F0" w14:textId="77777777">
        <w:trPr>
          <w:trHeight w:val="20"/>
          <w:jc w:val="center"/>
        </w:trPr>
        <w:tc>
          <w:tcPr>
            <w:tcW w:w="3936" w:type="dxa"/>
            <w:gridSpan w:val="2"/>
            <w:tcBorders>
              <w:bottom w:val="nil"/>
            </w:tcBorders>
            <w:shd w:val="clear" w:color="auto" w:fill="auto"/>
            <w:vAlign w:val="center"/>
          </w:tcPr>
          <w:p w14:paraId="25ED2654" w14:textId="77777777" w:rsidR="00EF3478" w:rsidRPr="005171F7" w:rsidRDefault="00EF3478">
            <w:pPr>
              <w:pStyle w:val="08-Tabelageral"/>
              <w:ind w:left="113"/>
              <w:jc w:val="left"/>
              <w:rPr>
                <w:rFonts w:cs="Arial"/>
                <w:szCs w:val="14"/>
              </w:rPr>
            </w:pPr>
            <w:r>
              <w:rPr>
                <w:rFonts w:cs="Arial"/>
                <w:szCs w:val="14"/>
              </w:rPr>
              <w:t xml:space="preserve">Other </w:t>
            </w:r>
            <w:proofErr w:type="spellStart"/>
            <w:r>
              <w:rPr>
                <w:rFonts w:cs="Arial"/>
                <w:szCs w:val="14"/>
              </w:rPr>
              <w:t>expenses</w:t>
            </w:r>
            <w:proofErr w:type="spellEnd"/>
          </w:p>
        </w:tc>
        <w:tc>
          <w:tcPr>
            <w:tcW w:w="1359" w:type="dxa"/>
            <w:gridSpan w:val="2"/>
            <w:tcBorders>
              <w:bottom w:val="nil"/>
            </w:tcBorders>
            <w:shd w:val="clear" w:color="auto" w:fill="auto"/>
            <w:vAlign w:val="center"/>
          </w:tcPr>
          <w:p w14:paraId="15E438D0" w14:textId="4E7F2569" w:rsidR="00EF3478" w:rsidRPr="00AE31F4" w:rsidRDefault="00EF3478">
            <w:pPr>
              <w:pStyle w:val="08-Tabelageral"/>
            </w:pPr>
            <w:r w:rsidRPr="00C80CAE">
              <w:t>(</w:t>
            </w:r>
            <w:r w:rsidR="001C018B">
              <w:t>6</w:t>
            </w:r>
            <w:r w:rsidRPr="00C80CAE">
              <w:t>)</w:t>
            </w:r>
          </w:p>
        </w:tc>
        <w:tc>
          <w:tcPr>
            <w:tcW w:w="1359" w:type="dxa"/>
            <w:gridSpan w:val="2"/>
            <w:tcBorders>
              <w:bottom w:val="nil"/>
            </w:tcBorders>
            <w:shd w:val="clear" w:color="auto" w:fill="auto"/>
            <w:vAlign w:val="center"/>
          </w:tcPr>
          <w:p w14:paraId="6F64444C" w14:textId="77777777" w:rsidR="00EF3478" w:rsidRPr="00AE31F4" w:rsidRDefault="00EF3478">
            <w:pPr>
              <w:pStyle w:val="08-Tabelageral"/>
            </w:pPr>
            <w:r w:rsidRPr="00C80CAE">
              <w:t>(</w:t>
            </w:r>
            <w:r>
              <w:t>3</w:t>
            </w:r>
            <w:r w:rsidRPr="00C80CAE">
              <w:t>)</w:t>
            </w:r>
          </w:p>
        </w:tc>
        <w:tc>
          <w:tcPr>
            <w:tcW w:w="236" w:type="dxa"/>
            <w:gridSpan w:val="3"/>
            <w:tcBorders>
              <w:bottom w:val="nil"/>
            </w:tcBorders>
            <w:shd w:val="clear" w:color="auto" w:fill="auto"/>
            <w:vAlign w:val="center"/>
          </w:tcPr>
          <w:p w14:paraId="749D1569" w14:textId="77777777" w:rsidR="00EF3478" w:rsidRPr="00AE31F4" w:rsidRDefault="00EF3478">
            <w:pPr>
              <w:pStyle w:val="08-Tabelageral"/>
            </w:pPr>
          </w:p>
        </w:tc>
        <w:tc>
          <w:tcPr>
            <w:tcW w:w="1407" w:type="dxa"/>
            <w:gridSpan w:val="3"/>
            <w:tcBorders>
              <w:bottom w:val="nil"/>
            </w:tcBorders>
            <w:shd w:val="clear" w:color="auto" w:fill="auto"/>
            <w:vAlign w:val="center"/>
          </w:tcPr>
          <w:p w14:paraId="494B5C73" w14:textId="18E72F72" w:rsidR="00EF3478" w:rsidRPr="00AE31F4" w:rsidRDefault="00EF3478">
            <w:pPr>
              <w:pStyle w:val="08-Tabelageral"/>
            </w:pPr>
            <w:r w:rsidRPr="00C80CAE">
              <w:t>(</w:t>
            </w:r>
            <w:r w:rsidR="001C018B">
              <w:t>7</w:t>
            </w:r>
            <w:r w:rsidRPr="00C80CAE">
              <w:t>)</w:t>
            </w:r>
          </w:p>
        </w:tc>
        <w:tc>
          <w:tcPr>
            <w:tcW w:w="1351" w:type="dxa"/>
            <w:gridSpan w:val="2"/>
            <w:tcBorders>
              <w:bottom w:val="nil"/>
            </w:tcBorders>
            <w:shd w:val="clear" w:color="auto" w:fill="auto"/>
            <w:vAlign w:val="center"/>
          </w:tcPr>
          <w:p w14:paraId="6B2672A1" w14:textId="3E1144A1" w:rsidR="00EF3478" w:rsidRPr="00AE31F4" w:rsidRDefault="00EF3478">
            <w:pPr>
              <w:pStyle w:val="08-Tabelageral"/>
            </w:pPr>
            <w:r w:rsidRPr="00C80CAE">
              <w:t>(49</w:t>
            </w:r>
            <w:r w:rsidR="00C92106">
              <w:t>4</w:t>
            </w:r>
            <w:r w:rsidRPr="00C80CAE">
              <w:t>)</w:t>
            </w:r>
          </w:p>
        </w:tc>
      </w:tr>
      <w:tr w:rsidR="00EF3478" w:rsidRPr="007D1ACC" w14:paraId="6E239188" w14:textId="77777777">
        <w:trPr>
          <w:trHeight w:val="20"/>
          <w:jc w:val="center"/>
        </w:trPr>
        <w:tc>
          <w:tcPr>
            <w:tcW w:w="3936" w:type="dxa"/>
            <w:gridSpan w:val="2"/>
            <w:tcBorders>
              <w:top w:val="nil"/>
              <w:bottom w:val="single" w:sz="4" w:space="0" w:color="auto"/>
            </w:tcBorders>
            <w:shd w:val="clear" w:color="auto" w:fill="auto"/>
          </w:tcPr>
          <w:p w14:paraId="08A13DF3" w14:textId="77777777" w:rsidR="00EF3478" w:rsidRPr="007D1ACC" w:rsidRDefault="00EF3478">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shd w:val="clear" w:color="auto" w:fill="auto"/>
            <w:vAlign w:val="center"/>
          </w:tcPr>
          <w:p w14:paraId="2CD24AE0" w14:textId="77777777" w:rsidR="00EF3478" w:rsidRPr="007D1ACC" w:rsidRDefault="00EF3478">
            <w:pPr>
              <w:pStyle w:val="08-Tabelageral"/>
              <w:ind w:left="113"/>
              <w:rPr>
                <w:rFonts w:cs="Arial"/>
                <w:b/>
                <w:szCs w:val="14"/>
              </w:rPr>
            </w:pPr>
            <w:r w:rsidRPr="00C80CAE">
              <w:rPr>
                <w:b/>
                <w:bCs/>
              </w:rPr>
              <w:t>1</w:t>
            </w:r>
            <w:r>
              <w:rPr>
                <w:b/>
                <w:bCs/>
              </w:rPr>
              <w:t>,</w:t>
            </w:r>
            <w:r w:rsidRPr="00C80CAE">
              <w:rPr>
                <w:b/>
                <w:bCs/>
              </w:rPr>
              <w:t>3</w:t>
            </w:r>
            <w:r>
              <w:rPr>
                <w:b/>
                <w:bCs/>
              </w:rPr>
              <w:t>35</w:t>
            </w:r>
          </w:p>
        </w:tc>
        <w:tc>
          <w:tcPr>
            <w:tcW w:w="1359" w:type="dxa"/>
            <w:gridSpan w:val="2"/>
            <w:tcBorders>
              <w:top w:val="nil"/>
              <w:bottom w:val="single" w:sz="4" w:space="0" w:color="auto"/>
            </w:tcBorders>
            <w:shd w:val="clear" w:color="auto" w:fill="auto"/>
            <w:vAlign w:val="center"/>
          </w:tcPr>
          <w:p w14:paraId="1A8F44AD" w14:textId="27C02B5E" w:rsidR="00EF3478" w:rsidRPr="007D1ACC" w:rsidRDefault="00EF3478">
            <w:pPr>
              <w:pStyle w:val="08-Tabelageral"/>
              <w:ind w:left="113"/>
              <w:rPr>
                <w:rFonts w:cs="Arial"/>
                <w:b/>
                <w:szCs w:val="14"/>
              </w:rPr>
            </w:pPr>
            <w:r w:rsidRPr="00C80CAE">
              <w:rPr>
                <w:b/>
                <w:bCs/>
              </w:rPr>
              <w:t>5</w:t>
            </w:r>
            <w:r>
              <w:rPr>
                <w:b/>
                <w:bCs/>
              </w:rPr>
              <w:t>,</w:t>
            </w:r>
            <w:r w:rsidR="00781207">
              <w:rPr>
                <w:b/>
                <w:bCs/>
              </w:rPr>
              <w:t>399</w:t>
            </w:r>
          </w:p>
        </w:tc>
        <w:tc>
          <w:tcPr>
            <w:tcW w:w="236" w:type="dxa"/>
            <w:gridSpan w:val="3"/>
            <w:tcBorders>
              <w:top w:val="nil"/>
              <w:bottom w:val="single" w:sz="4" w:space="0" w:color="auto"/>
            </w:tcBorders>
            <w:shd w:val="clear" w:color="auto" w:fill="auto"/>
            <w:vAlign w:val="center"/>
          </w:tcPr>
          <w:p w14:paraId="054A5766" w14:textId="77777777" w:rsidR="00EF3478" w:rsidRPr="007D1ACC" w:rsidRDefault="00EF3478">
            <w:pPr>
              <w:pStyle w:val="08-Tabelageral"/>
              <w:ind w:left="113"/>
              <w:rPr>
                <w:rFonts w:cs="Arial"/>
                <w:b/>
                <w:szCs w:val="14"/>
              </w:rPr>
            </w:pPr>
          </w:p>
        </w:tc>
        <w:tc>
          <w:tcPr>
            <w:tcW w:w="1407" w:type="dxa"/>
            <w:gridSpan w:val="3"/>
            <w:tcBorders>
              <w:top w:val="nil"/>
              <w:bottom w:val="single" w:sz="4" w:space="0" w:color="auto"/>
            </w:tcBorders>
            <w:shd w:val="clear" w:color="auto" w:fill="auto"/>
            <w:vAlign w:val="center"/>
          </w:tcPr>
          <w:p w14:paraId="1007A086" w14:textId="77777777" w:rsidR="00EF3478" w:rsidRPr="007D1ACC" w:rsidRDefault="00EF3478">
            <w:pPr>
              <w:pStyle w:val="08-Tabelageral"/>
              <w:ind w:left="113"/>
              <w:rPr>
                <w:rFonts w:cs="Arial"/>
                <w:b/>
                <w:szCs w:val="14"/>
              </w:rPr>
            </w:pPr>
            <w:r w:rsidRPr="00C80CAE">
              <w:rPr>
                <w:b/>
              </w:rPr>
              <w:t>(1</w:t>
            </w:r>
            <w:r>
              <w:rPr>
                <w:b/>
              </w:rPr>
              <w:t>9,014</w:t>
            </w:r>
            <w:r w:rsidRPr="00C80CAE">
              <w:rPr>
                <w:b/>
              </w:rPr>
              <w:t>)</w:t>
            </w:r>
          </w:p>
        </w:tc>
        <w:tc>
          <w:tcPr>
            <w:tcW w:w="1351" w:type="dxa"/>
            <w:gridSpan w:val="2"/>
            <w:tcBorders>
              <w:top w:val="nil"/>
              <w:bottom w:val="single" w:sz="4" w:space="0" w:color="auto"/>
            </w:tcBorders>
            <w:shd w:val="clear" w:color="auto" w:fill="auto"/>
            <w:vAlign w:val="center"/>
          </w:tcPr>
          <w:p w14:paraId="0FA5FE90" w14:textId="12A2BCDA" w:rsidR="00EF3478" w:rsidRPr="007D1ACC" w:rsidRDefault="00EF3478">
            <w:pPr>
              <w:pStyle w:val="08-Tabelageral"/>
              <w:ind w:left="113"/>
              <w:rPr>
                <w:rFonts w:cs="Arial"/>
                <w:b/>
                <w:szCs w:val="14"/>
              </w:rPr>
            </w:pPr>
            <w:r w:rsidRPr="00C80CAE">
              <w:rPr>
                <w:b/>
              </w:rPr>
              <w:t>(</w:t>
            </w:r>
            <w:r>
              <w:rPr>
                <w:b/>
              </w:rPr>
              <w:t>9,9</w:t>
            </w:r>
            <w:r w:rsidR="00BC3732">
              <w:rPr>
                <w:b/>
              </w:rPr>
              <w:t>41</w:t>
            </w:r>
            <w:r w:rsidRPr="00C80CAE">
              <w:rPr>
                <w:b/>
              </w:rPr>
              <w:t>)</w:t>
            </w:r>
          </w:p>
        </w:tc>
      </w:tr>
    </w:tbl>
    <w:p w14:paraId="65930996" w14:textId="77777777" w:rsidR="00EF3478" w:rsidRDefault="00EF3478" w:rsidP="00A76AF4">
      <w:pPr>
        <w:pStyle w:val="07-Legenda"/>
        <w:numPr>
          <w:ilvl w:val="0"/>
          <w:numId w:val="37"/>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54E3B102" w14:textId="77777777" w:rsidR="00EF3478" w:rsidRPr="00681310" w:rsidRDefault="00EF3478" w:rsidP="00A76AF4">
      <w:pPr>
        <w:pStyle w:val="07-Legenda"/>
        <w:numPr>
          <w:ilvl w:val="0"/>
          <w:numId w:val="37"/>
        </w:numPr>
        <w:tabs>
          <w:tab w:val="clear" w:pos="284"/>
        </w:tabs>
        <w:ind w:left="284" w:hanging="284"/>
        <w:rPr>
          <w:rStyle w:val="tlid-translation"/>
          <w:lang w:val="en"/>
        </w:rPr>
      </w:pPr>
      <w:r w:rsidRPr="002C2B15">
        <w:rPr>
          <w:rStyle w:val="tlid-translation"/>
          <w:lang w:val="en"/>
        </w:rPr>
        <w:t xml:space="preserve">In the 9-month period ended on </w:t>
      </w:r>
      <w:r>
        <w:rPr>
          <w:rStyle w:val="tlid-translation"/>
          <w:lang w:val="en"/>
        </w:rPr>
        <w:t xml:space="preserve">September </w:t>
      </w:r>
      <w:r w:rsidRPr="002C2B15">
        <w:rPr>
          <w:rStyle w:val="tlid-translation"/>
          <w:lang w:val="en"/>
        </w:rPr>
        <w:t>30</w:t>
      </w:r>
      <w:r>
        <w:rPr>
          <w:rStyle w:val="tlid-translation"/>
          <w:lang w:val="en"/>
        </w:rPr>
        <w:t xml:space="preserve">, </w:t>
      </w:r>
      <w:r w:rsidRPr="002C2B15">
        <w:rPr>
          <w:rStyle w:val="tlid-translation"/>
          <w:lang w:val="en"/>
        </w:rPr>
        <w:t>202</w:t>
      </w:r>
      <w:r>
        <w:rPr>
          <w:rStyle w:val="tlid-translation"/>
          <w:lang w:val="en"/>
        </w:rPr>
        <w:t>4</w:t>
      </w:r>
      <w:r w:rsidRPr="002C2B15">
        <w:rPr>
          <w:rStyle w:val="tlid-translation"/>
          <w:lang w:val="en"/>
        </w:rPr>
        <w:t xml:space="preserve">, at BB </w:t>
      </w:r>
      <w:proofErr w:type="spellStart"/>
      <w:r w:rsidRPr="002C2B15">
        <w:rPr>
          <w:rStyle w:val="tlid-translation"/>
          <w:lang w:val="en"/>
        </w:rPr>
        <w:t>Corretora</w:t>
      </w:r>
      <w:proofErr w:type="spellEnd"/>
      <w:r w:rsidRPr="002C2B15">
        <w:rPr>
          <w:rStyle w:val="tlid-translation"/>
          <w:lang w:val="en"/>
        </w:rPr>
        <w:t>, there was, in addition to an increase in the volume of civil claims, a review of the classification of existing lawsuits, with an increase in the probability of loss</w:t>
      </w:r>
      <w:r>
        <w:rPr>
          <w:rStyle w:val="tlid-translation"/>
          <w:lang w:val="en"/>
        </w:rPr>
        <w:t>.</w:t>
      </w:r>
    </w:p>
    <w:p w14:paraId="3E0A7AAF" w14:textId="47E431E8" w:rsidR="00EF3478" w:rsidRPr="00CB6A4B" w:rsidRDefault="00EF3478" w:rsidP="00A76AF4">
      <w:pPr>
        <w:pStyle w:val="07-Legenda"/>
        <w:numPr>
          <w:ilvl w:val="0"/>
          <w:numId w:val="37"/>
        </w:numPr>
        <w:tabs>
          <w:tab w:val="clear" w:pos="284"/>
        </w:tabs>
        <w:ind w:left="284" w:hanging="284"/>
        <w:rPr>
          <w:rStyle w:val="tlid-translation"/>
          <w:lang w:val="en"/>
        </w:rPr>
      </w:pPr>
      <w:r w:rsidRPr="00CB6A4B">
        <w:rPr>
          <w:rStyle w:val="tlid-translation"/>
          <w:lang w:val="en"/>
        </w:rPr>
        <w:t>Refers to the price adjustment mechanism of the assets</w:t>
      </w:r>
      <w:r>
        <w:rPr>
          <w:rStyle w:val="tlid-translation"/>
          <w:lang w:val="en"/>
        </w:rPr>
        <w:t xml:space="preserve"> of the </w:t>
      </w:r>
      <w:proofErr w:type="spellStart"/>
      <w:r>
        <w:rPr>
          <w:rStyle w:val="tlid-translation"/>
          <w:lang w:val="en"/>
        </w:rPr>
        <w:t>Brasilveiculos</w:t>
      </w:r>
      <w:proofErr w:type="spellEnd"/>
      <w:r>
        <w:rPr>
          <w:rStyle w:val="tlid-translation"/>
          <w:lang w:val="en"/>
        </w:rPr>
        <w:t xml:space="preserve"> (current M</w:t>
      </w:r>
      <w:r w:rsidR="00197B49">
        <w:rPr>
          <w:rStyle w:val="tlid-translation"/>
          <w:lang w:val="en"/>
        </w:rPr>
        <w:t>APFRE</w:t>
      </w:r>
      <w:r>
        <w:rPr>
          <w:rStyle w:val="tlid-translation"/>
          <w:lang w:val="en"/>
        </w:rPr>
        <w:t xml:space="preserve"> </w:t>
      </w:r>
      <w:proofErr w:type="spellStart"/>
      <w:r>
        <w:rPr>
          <w:rStyle w:val="tlid-translation"/>
          <w:lang w:val="en"/>
        </w:rPr>
        <w:t>Seguros</w:t>
      </w:r>
      <w:proofErr w:type="spellEnd"/>
      <w:r>
        <w:rPr>
          <w:rStyle w:val="tlid-translation"/>
          <w:lang w:val="en"/>
        </w:rPr>
        <w:t xml:space="preserve"> Gerais) asset sold to M</w:t>
      </w:r>
      <w:r w:rsidR="00896DF9">
        <w:rPr>
          <w:rStyle w:val="tlid-translation"/>
          <w:lang w:val="en"/>
        </w:rPr>
        <w:t>APFRE</w:t>
      </w:r>
      <w:r>
        <w:rPr>
          <w:rStyle w:val="tlid-translation"/>
          <w:lang w:val="en"/>
        </w:rPr>
        <w:t xml:space="preserve"> </w:t>
      </w:r>
      <w:proofErr w:type="spellStart"/>
      <w:r>
        <w:rPr>
          <w:rStyle w:val="tlid-translation"/>
          <w:lang w:val="en"/>
        </w:rPr>
        <w:t>Brasil</w:t>
      </w:r>
      <w:proofErr w:type="spellEnd"/>
      <w:r>
        <w:rPr>
          <w:rStyle w:val="tlid-translation"/>
          <w:lang w:val="en"/>
        </w:rPr>
        <w:t xml:space="preserve"> on November 30, 2018, with calculation, monthly provisions, and annual payment, made based on the fulfilment of goals in the sales of auto insurance, </w:t>
      </w:r>
      <w:r w:rsidRPr="00027448">
        <w:rPr>
          <w:rStyle w:val="tlid-translation"/>
          <w:lang w:val="en"/>
        </w:rPr>
        <w:t xml:space="preserve">The mechanism provides for the possibility of earn in or earn out, that is, payment from MAPFRE </w:t>
      </w:r>
      <w:proofErr w:type="spellStart"/>
      <w:r w:rsidRPr="00027448">
        <w:rPr>
          <w:rStyle w:val="tlid-translation"/>
          <w:lang w:val="en"/>
        </w:rPr>
        <w:t>Brasil</w:t>
      </w:r>
      <w:proofErr w:type="spellEnd"/>
      <w:r w:rsidRPr="00027448">
        <w:rPr>
          <w:rStyle w:val="tlid-translation"/>
          <w:lang w:val="en"/>
        </w:rPr>
        <w:t xml:space="preserve"> to BB </w:t>
      </w:r>
      <w:proofErr w:type="spellStart"/>
      <w:r w:rsidRPr="00027448">
        <w:rPr>
          <w:rStyle w:val="tlid-translation"/>
          <w:lang w:val="en"/>
        </w:rPr>
        <w:t>Seguros</w:t>
      </w:r>
      <w:proofErr w:type="spellEnd"/>
      <w:r w:rsidRPr="00027448">
        <w:rPr>
          <w:rStyle w:val="tlid-translation"/>
          <w:lang w:val="en"/>
        </w:rPr>
        <w:t xml:space="preserve"> or from BB </w:t>
      </w:r>
      <w:proofErr w:type="spellStart"/>
      <w:r w:rsidRPr="00027448">
        <w:rPr>
          <w:rStyle w:val="tlid-translation"/>
          <w:lang w:val="en"/>
        </w:rPr>
        <w:t>Seguros</w:t>
      </w:r>
      <w:proofErr w:type="spellEnd"/>
      <w:r w:rsidRPr="00027448">
        <w:rPr>
          <w:rStyle w:val="tlid-translation"/>
          <w:lang w:val="en"/>
        </w:rPr>
        <w:t xml:space="preserve"> to MAPFRE </w:t>
      </w:r>
      <w:proofErr w:type="spellStart"/>
      <w:r w:rsidRPr="00027448">
        <w:rPr>
          <w:rStyle w:val="tlid-translation"/>
          <w:lang w:val="en"/>
        </w:rPr>
        <w:t>Brasil</w:t>
      </w:r>
      <w:proofErr w:type="spellEnd"/>
      <w:r>
        <w:rPr>
          <w:rStyle w:val="tlid-translation"/>
          <w:lang w:val="en"/>
        </w:rPr>
        <w:t xml:space="preserve"> and </w:t>
      </w:r>
      <w:r w:rsidRPr="00F05BF8">
        <w:rPr>
          <w:rStyle w:val="tlid-translation"/>
          <w:lang w:val="en"/>
        </w:rPr>
        <w:t>will be calculated for each financial year until 2031</w:t>
      </w:r>
      <w:r>
        <w:rPr>
          <w:rStyle w:val="tlid-translation"/>
          <w:lang w:val="en"/>
        </w:rPr>
        <w:t xml:space="preserve">, </w:t>
      </w:r>
      <w:r w:rsidRPr="00675883">
        <w:rPr>
          <w:rStyle w:val="tlid-translation"/>
          <w:lang w:val="en"/>
        </w:rPr>
        <w:t>On December 29, 2022, the 1st Amendment to the Partnership Restructuring Agreement was signed, providing for the elimination of the price adjustment mechanism, effective for three years, renewable successively, starting in 2023</w:t>
      </w:r>
      <w:r>
        <w:rPr>
          <w:rStyle w:val="tlid-translation"/>
          <w:lang w:val="en"/>
        </w:rPr>
        <w:t>.</w:t>
      </w:r>
    </w:p>
    <w:p w14:paraId="33116710" w14:textId="77777777" w:rsidR="00EF3478" w:rsidRDefault="00EF3478" w:rsidP="00EF3478">
      <w:pPr>
        <w:pStyle w:val="07-Legenda"/>
        <w:tabs>
          <w:tab w:val="clear" w:pos="284"/>
        </w:tabs>
        <w:rPr>
          <w:rStyle w:val="tlid-translation"/>
          <w:lang w:val="en"/>
        </w:rPr>
      </w:pPr>
    </w:p>
    <w:p w14:paraId="7323F310" w14:textId="77777777" w:rsidR="00EF3478" w:rsidRPr="00EF3478" w:rsidRDefault="00EF3478" w:rsidP="00EF3478">
      <w:pPr>
        <w:rPr>
          <w:lang w:val="en"/>
        </w:rPr>
      </w:pPr>
    </w:p>
    <w:p w14:paraId="60B1CA13" w14:textId="1002A70A" w:rsidR="007D4AB0" w:rsidRPr="00432934" w:rsidRDefault="004725AE" w:rsidP="000B6ED4">
      <w:pPr>
        <w:pStyle w:val="Ttulo1"/>
        <w:keepNext w:val="0"/>
        <w:keepLines w:val="0"/>
        <w:pageBreakBefore/>
        <w:spacing w:line="259" w:lineRule="auto"/>
        <w:jc w:val="both"/>
        <w:rPr>
          <w:rFonts w:ascii="Arial" w:hAnsi="Arial" w:cs="Arial"/>
          <w:b/>
          <w:color w:val="1F3864" w:themeColor="accent1" w:themeShade="80"/>
          <w:sz w:val="20"/>
          <w:lang w:val="en-US"/>
        </w:rPr>
      </w:pPr>
      <w:bookmarkStart w:id="76" w:name="_Toc149573399"/>
      <w:bookmarkStart w:id="77" w:name="_Toc157446727"/>
      <w:bookmarkStart w:id="78" w:name="_Toc190680635"/>
      <w:r w:rsidRPr="00432934">
        <w:rPr>
          <w:rFonts w:ascii="Arial" w:hAnsi="Arial" w:cs="Arial"/>
          <w:b/>
          <w:color w:val="1F3864" w:themeColor="accent1" w:themeShade="80"/>
          <w:sz w:val="20"/>
          <w:lang w:val="en-US"/>
        </w:rPr>
        <w:lastRenderedPageBreak/>
        <w:t>14 – FINANCIAL RESULT</w:t>
      </w:r>
      <w:bookmarkEnd w:id="76"/>
      <w:bookmarkEnd w:id="77"/>
      <w:bookmarkEnd w:id="78"/>
    </w:p>
    <w:p w14:paraId="485D79A4" w14:textId="77777777" w:rsidR="003872EA" w:rsidRPr="00D318B6" w:rsidRDefault="003872EA" w:rsidP="003872EA">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3872EA" w:rsidRPr="004022AE" w14:paraId="7D743D09" w14:textId="77777777">
        <w:trPr>
          <w:trHeight w:val="238"/>
        </w:trPr>
        <w:tc>
          <w:tcPr>
            <w:tcW w:w="1605" w:type="pct"/>
            <w:tcBorders>
              <w:top w:val="single" w:sz="2" w:space="0" w:color="1F3864" w:themeColor="accent1" w:themeShade="80"/>
              <w:bottom w:val="nil"/>
            </w:tcBorders>
            <w:shd w:val="clear" w:color="auto" w:fill="auto"/>
          </w:tcPr>
          <w:p w14:paraId="45106CE8" w14:textId="77777777" w:rsidR="003872EA" w:rsidRPr="004022AE" w:rsidRDefault="003872EA">
            <w:pPr>
              <w:spacing w:after="0"/>
              <w:jc w:val="center"/>
              <w:rPr>
                <w:rFonts w:ascii="Arial" w:hAnsi="Arial" w:cs="Arial"/>
                <w:b/>
                <w:color w:val="FF0000"/>
                <w:sz w:val="18"/>
                <w:szCs w:val="18"/>
              </w:rPr>
            </w:pPr>
          </w:p>
        </w:tc>
        <w:tc>
          <w:tcPr>
            <w:tcW w:w="313" w:type="pct"/>
            <w:tcBorders>
              <w:top w:val="single" w:sz="2" w:space="0" w:color="1F3864" w:themeColor="accent1" w:themeShade="80"/>
              <w:bottom w:val="nil"/>
            </w:tcBorders>
            <w:shd w:val="clear" w:color="auto" w:fill="auto"/>
          </w:tcPr>
          <w:p w14:paraId="222EE271" w14:textId="77777777" w:rsidR="003872EA" w:rsidRPr="004022AE" w:rsidRDefault="003872EA">
            <w:pPr>
              <w:spacing w:after="0"/>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7BB1BA93" w14:textId="77777777" w:rsidR="003872EA" w:rsidRPr="004022AE" w:rsidRDefault="003872EA">
            <w:pPr>
              <w:spacing w:after="0"/>
              <w:jc w:val="center"/>
              <w:rPr>
                <w:rFonts w:ascii="Arial" w:hAnsi="Arial" w:cs="Arial"/>
                <w:b/>
                <w:sz w:val="14"/>
                <w:szCs w:val="18"/>
              </w:rPr>
            </w:pPr>
            <w:proofErr w:type="spellStart"/>
            <w:r w:rsidRPr="004022AE">
              <w:rPr>
                <w:rFonts w:ascii="Arial" w:hAnsi="Arial" w:cs="Arial"/>
                <w:b/>
                <w:sz w:val="14"/>
                <w:szCs w:val="18"/>
              </w:rPr>
              <w:t>Parent</w:t>
            </w:r>
            <w:proofErr w:type="spellEnd"/>
          </w:p>
        </w:tc>
        <w:tc>
          <w:tcPr>
            <w:tcW w:w="147" w:type="pct"/>
            <w:tcBorders>
              <w:top w:val="single" w:sz="2" w:space="0" w:color="1F3864" w:themeColor="accent1" w:themeShade="80"/>
              <w:bottom w:val="nil"/>
            </w:tcBorders>
            <w:shd w:val="clear" w:color="auto" w:fill="auto"/>
            <w:vAlign w:val="center"/>
          </w:tcPr>
          <w:p w14:paraId="6C4F9C13" w14:textId="77777777" w:rsidR="003872EA" w:rsidRPr="004022AE" w:rsidRDefault="003872EA">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shd w:val="clear" w:color="auto" w:fill="auto"/>
            <w:vAlign w:val="center"/>
          </w:tcPr>
          <w:p w14:paraId="45237CB6" w14:textId="77777777" w:rsidR="003872EA" w:rsidRPr="004022AE" w:rsidRDefault="003872EA">
            <w:pPr>
              <w:spacing w:after="0"/>
              <w:jc w:val="center"/>
              <w:rPr>
                <w:rFonts w:ascii="Arial" w:hAnsi="Arial" w:cs="Arial"/>
                <w:b/>
                <w:sz w:val="18"/>
                <w:szCs w:val="18"/>
              </w:rPr>
            </w:pPr>
            <w:proofErr w:type="spellStart"/>
            <w:r w:rsidRPr="004022AE">
              <w:rPr>
                <w:rFonts w:ascii="Arial" w:hAnsi="Arial" w:cs="Arial"/>
                <w:b/>
                <w:sz w:val="14"/>
                <w:szCs w:val="18"/>
              </w:rPr>
              <w:t>Consolidated</w:t>
            </w:r>
            <w:proofErr w:type="spellEnd"/>
          </w:p>
        </w:tc>
      </w:tr>
      <w:tr w:rsidR="003872EA" w:rsidRPr="004022AE" w14:paraId="2BF0F885" w14:textId="77777777">
        <w:trPr>
          <w:trHeight w:val="238"/>
        </w:trPr>
        <w:tc>
          <w:tcPr>
            <w:tcW w:w="1605" w:type="pct"/>
            <w:tcBorders>
              <w:top w:val="nil"/>
              <w:bottom w:val="single" w:sz="2" w:space="0" w:color="1F3864" w:themeColor="accent1" w:themeShade="80"/>
            </w:tcBorders>
            <w:shd w:val="clear" w:color="auto" w:fill="auto"/>
          </w:tcPr>
          <w:p w14:paraId="6F568A30" w14:textId="77777777" w:rsidR="003872EA" w:rsidRPr="004022AE" w:rsidRDefault="003872EA">
            <w:pPr>
              <w:pStyle w:val="08-Tabelageral"/>
              <w:rPr>
                <w:rFonts w:cs="Arial"/>
                <w:b/>
                <w:color w:val="FF0000"/>
              </w:rPr>
            </w:pPr>
          </w:p>
        </w:tc>
        <w:tc>
          <w:tcPr>
            <w:tcW w:w="313" w:type="pct"/>
            <w:tcBorders>
              <w:top w:val="nil"/>
              <w:bottom w:val="single" w:sz="2" w:space="0" w:color="1F3864" w:themeColor="accent1" w:themeShade="80"/>
            </w:tcBorders>
            <w:shd w:val="clear" w:color="auto" w:fill="auto"/>
          </w:tcPr>
          <w:p w14:paraId="66004075" w14:textId="77777777" w:rsidR="003872EA" w:rsidRPr="004022AE" w:rsidRDefault="003872EA">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shd w:val="clear" w:color="auto" w:fill="auto"/>
          </w:tcPr>
          <w:p w14:paraId="32B5AD6F" w14:textId="77777777" w:rsidR="003872EA" w:rsidRPr="004022AE" w:rsidRDefault="003872EA">
            <w:pPr>
              <w:pStyle w:val="08-Tabelageral"/>
              <w:rPr>
                <w:rFonts w:cs="Arial"/>
                <w:b/>
              </w:rPr>
            </w:pPr>
            <w:r w:rsidRPr="004022AE">
              <w:rPr>
                <w:rFonts w:cs="Arial"/>
                <w:b/>
                <w:bCs/>
                <w:szCs w:val="14"/>
              </w:rPr>
              <w:t>202</w:t>
            </w:r>
            <w:r>
              <w:rPr>
                <w:rFonts w:cs="Arial"/>
                <w:b/>
                <w:bCs/>
                <w:szCs w:val="14"/>
              </w:rPr>
              <w:t>4</w:t>
            </w:r>
          </w:p>
        </w:tc>
        <w:tc>
          <w:tcPr>
            <w:tcW w:w="732" w:type="pct"/>
            <w:tcBorders>
              <w:top w:val="single" w:sz="2" w:space="0" w:color="1F3864" w:themeColor="accent1" w:themeShade="80"/>
              <w:bottom w:val="single" w:sz="2" w:space="0" w:color="1F3864" w:themeColor="accent1" w:themeShade="80"/>
            </w:tcBorders>
            <w:shd w:val="clear" w:color="auto" w:fill="auto"/>
          </w:tcPr>
          <w:p w14:paraId="7ECB487F" w14:textId="77777777" w:rsidR="003872EA" w:rsidRPr="004022AE" w:rsidRDefault="003872EA">
            <w:pPr>
              <w:pStyle w:val="08-Tabelageral"/>
              <w:rPr>
                <w:rFonts w:cs="Arial"/>
                <w:b/>
              </w:rPr>
            </w:pPr>
            <w:r w:rsidRPr="004022AE">
              <w:rPr>
                <w:rFonts w:cs="Arial"/>
                <w:b/>
                <w:szCs w:val="14"/>
              </w:rPr>
              <w:t>202</w:t>
            </w:r>
            <w:r>
              <w:rPr>
                <w:rFonts w:cs="Arial"/>
                <w:b/>
                <w:szCs w:val="14"/>
              </w:rPr>
              <w:t>3</w:t>
            </w:r>
          </w:p>
        </w:tc>
        <w:tc>
          <w:tcPr>
            <w:tcW w:w="147" w:type="pct"/>
            <w:tcBorders>
              <w:top w:val="nil"/>
              <w:bottom w:val="single" w:sz="2" w:space="0" w:color="1F3864" w:themeColor="accent1" w:themeShade="80"/>
            </w:tcBorders>
            <w:shd w:val="clear" w:color="auto" w:fill="auto"/>
            <w:vAlign w:val="center"/>
          </w:tcPr>
          <w:p w14:paraId="57A933C9" w14:textId="77777777" w:rsidR="003872EA" w:rsidRPr="004022AE" w:rsidRDefault="003872EA">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shd w:val="clear" w:color="auto" w:fill="auto"/>
          </w:tcPr>
          <w:p w14:paraId="11348568" w14:textId="77777777" w:rsidR="003872EA" w:rsidRPr="004022AE" w:rsidRDefault="003872EA">
            <w:pPr>
              <w:pStyle w:val="08-Tabelageral"/>
              <w:rPr>
                <w:rFonts w:cs="Arial"/>
                <w:b/>
              </w:rPr>
            </w:pPr>
            <w:r w:rsidRPr="004022AE">
              <w:rPr>
                <w:rFonts w:cs="Arial"/>
                <w:b/>
                <w:bCs/>
                <w:szCs w:val="14"/>
              </w:rPr>
              <w:t>202</w:t>
            </w:r>
            <w:r>
              <w:rPr>
                <w:rFonts w:cs="Arial"/>
                <w:b/>
                <w:bCs/>
                <w:szCs w:val="14"/>
              </w:rPr>
              <w:t>4</w:t>
            </w:r>
          </w:p>
        </w:tc>
        <w:tc>
          <w:tcPr>
            <w:tcW w:w="736" w:type="pct"/>
            <w:tcBorders>
              <w:top w:val="single" w:sz="2" w:space="0" w:color="1F3864" w:themeColor="accent1" w:themeShade="80"/>
              <w:bottom w:val="single" w:sz="2" w:space="0" w:color="1F3864" w:themeColor="accent1" w:themeShade="80"/>
            </w:tcBorders>
            <w:shd w:val="clear" w:color="auto" w:fill="auto"/>
          </w:tcPr>
          <w:p w14:paraId="26EEA307" w14:textId="77777777" w:rsidR="003872EA" w:rsidRPr="004022AE" w:rsidRDefault="003872EA">
            <w:pPr>
              <w:pStyle w:val="08-Tabelageral"/>
              <w:rPr>
                <w:rFonts w:cs="Arial"/>
                <w:b/>
              </w:rPr>
            </w:pPr>
            <w:r w:rsidRPr="004022AE">
              <w:rPr>
                <w:rFonts w:cs="Arial"/>
                <w:b/>
                <w:szCs w:val="14"/>
              </w:rPr>
              <w:t>202</w:t>
            </w:r>
            <w:r>
              <w:rPr>
                <w:rFonts w:cs="Arial"/>
                <w:b/>
                <w:szCs w:val="14"/>
              </w:rPr>
              <w:t>3</w:t>
            </w:r>
          </w:p>
        </w:tc>
      </w:tr>
      <w:tr w:rsidR="003872EA" w:rsidRPr="00280CA1" w14:paraId="44014A87" w14:textId="77777777">
        <w:trPr>
          <w:trHeight w:val="238"/>
        </w:trPr>
        <w:tc>
          <w:tcPr>
            <w:tcW w:w="1605" w:type="pct"/>
            <w:tcBorders>
              <w:top w:val="single" w:sz="2" w:space="0" w:color="1F3864" w:themeColor="accent1" w:themeShade="80"/>
            </w:tcBorders>
            <w:shd w:val="clear" w:color="auto" w:fill="auto"/>
            <w:vAlign w:val="center"/>
          </w:tcPr>
          <w:p w14:paraId="567AC9E7" w14:textId="77777777" w:rsidR="003872EA" w:rsidRPr="00280CA1" w:rsidRDefault="003872EA">
            <w:pPr>
              <w:pStyle w:val="08-Tabelageral"/>
              <w:jc w:val="left"/>
              <w:rPr>
                <w:b/>
              </w:rPr>
            </w:pPr>
            <w:r w:rsidRPr="00280CA1">
              <w:rPr>
                <w:b/>
              </w:rPr>
              <w:t>Financial Income</w:t>
            </w:r>
          </w:p>
        </w:tc>
        <w:tc>
          <w:tcPr>
            <w:tcW w:w="313" w:type="pct"/>
            <w:tcBorders>
              <w:top w:val="single" w:sz="2" w:space="0" w:color="1F3864" w:themeColor="accent1" w:themeShade="80"/>
            </w:tcBorders>
            <w:shd w:val="clear" w:color="auto" w:fill="auto"/>
          </w:tcPr>
          <w:p w14:paraId="3FA0769D" w14:textId="77777777" w:rsidR="003872EA" w:rsidRPr="00280CA1" w:rsidRDefault="003872EA">
            <w:pPr>
              <w:pStyle w:val="08-Tabelageral"/>
              <w:jc w:val="center"/>
              <w:rPr>
                <w:rFonts w:cs="Arial"/>
                <w:b/>
                <w:szCs w:val="14"/>
              </w:rPr>
            </w:pPr>
          </w:p>
        </w:tc>
        <w:tc>
          <w:tcPr>
            <w:tcW w:w="732" w:type="pct"/>
            <w:tcBorders>
              <w:top w:val="single" w:sz="2" w:space="0" w:color="1F3864" w:themeColor="accent1" w:themeShade="80"/>
            </w:tcBorders>
            <w:shd w:val="clear" w:color="auto" w:fill="auto"/>
            <w:vAlign w:val="center"/>
          </w:tcPr>
          <w:p w14:paraId="09F33AC2" w14:textId="77777777" w:rsidR="003872EA" w:rsidRPr="00280CA1" w:rsidRDefault="003872EA">
            <w:pPr>
              <w:pStyle w:val="08-Tabelageral"/>
              <w:rPr>
                <w:b/>
              </w:rPr>
            </w:pPr>
            <w:r>
              <w:rPr>
                <w:b/>
              </w:rPr>
              <w:t>89,041</w:t>
            </w:r>
          </w:p>
        </w:tc>
        <w:tc>
          <w:tcPr>
            <w:tcW w:w="732" w:type="pct"/>
            <w:tcBorders>
              <w:top w:val="single" w:sz="2" w:space="0" w:color="1F3864" w:themeColor="accent1" w:themeShade="80"/>
            </w:tcBorders>
            <w:shd w:val="clear" w:color="auto" w:fill="auto"/>
            <w:vAlign w:val="center"/>
          </w:tcPr>
          <w:p w14:paraId="5321D029" w14:textId="77777777" w:rsidR="003872EA" w:rsidRPr="00280CA1" w:rsidRDefault="003872EA">
            <w:pPr>
              <w:pStyle w:val="08-Tabelageral"/>
              <w:rPr>
                <w:b/>
              </w:rPr>
            </w:pPr>
            <w:r>
              <w:rPr>
                <w:b/>
              </w:rPr>
              <w:t>132,900</w:t>
            </w:r>
          </w:p>
        </w:tc>
        <w:tc>
          <w:tcPr>
            <w:tcW w:w="147" w:type="pct"/>
            <w:tcBorders>
              <w:top w:val="single" w:sz="2" w:space="0" w:color="1F3864" w:themeColor="accent1" w:themeShade="80"/>
            </w:tcBorders>
            <w:shd w:val="clear" w:color="auto" w:fill="auto"/>
            <w:vAlign w:val="center"/>
          </w:tcPr>
          <w:p w14:paraId="533B8AC3" w14:textId="77777777" w:rsidR="003872EA" w:rsidRPr="00280CA1" w:rsidRDefault="003872EA">
            <w:pPr>
              <w:pStyle w:val="08-Tabelageral"/>
              <w:rPr>
                <w:b/>
              </w:rPr>
            </w:pPr>
          </w:p>
        </w:tc>
        <w:tc>
          <w:tcPr>
            <w:tcW w:w="735" w:type="pct"/>
            <w:tcBorders>
              <w:top w:val="single" w:sz="2" w:space="0" w:color="1F3864" w:themeColor="accent1" w:themeShade="80"/>
            </w:tcBorders>
            <w:shd w:val="clear" w:color="auto" w:fill="auto"/>
            <w:vAlign w:val="center"/>
          </w:tcPr>
          <w:p w14:paraId="2E473AD3" w14:textId="77777777" w:rsidR="003872EA" w:rsidRPr="00280CA1" w:rsidRDefault="003872EA">
            <w:pPr>
              <w:pStyle w:val="08-Tabelageral"/>
              <w:rPr>
                <w:b/>
              </w:rPr>
            </w:pPr>
            <w:r>
              <w:rPr>
                <w:b/>
              </w:rPr>
              <w:t>696,360</w:t>
            </w:r>
          </w:p>
        </w:tc>
        <w:tc>
          <w:tcPr>
            <w:tcW w:w="736" w:type="pct"/>
            <w:tcBorders>
              <w:top w:val="single" w:sz="2" w:space="0" w:color="1F3864" w:themeColor="accent1" w:themeShade="80"/>
            </w:tcBorders>
            <w:shd w:val="clear" w:color="auto" w:fill="auto"/>
            <w:vAlign w:val="center"/>
          </w:tcPr>
          <w:p w14:paraId="7DA87E46" w14:textId="77777777" w:rsidR="003872EA" w:rsidRPr="00280CA1" w:rsidRDefault="003872EA">
            <w:pPr>
              <w:pStyle w:val="08-Tabelageral"/>
              <w:rPr>
                <w:b/>
              </w:rPr>
            </w:pPr>
            <w:r>
              <w:rPr>
                <w:b/>
              </w:rPr>
              <w:t>670,933</w:t>
            </w:r>
          </w:p>
        </w:tc>
      </w:tr>
      <w:tr w:rsidR="003872EA" w:rsidRPr="00280CA1" w14:paraId="78801E1E" w14:textId="77777777">
        <w:trPr>
          <w:trHeight w:val="238"/>
        </w:trPr>
        <w:tc>
          <w:tcPr>
            <w:tcW w:w="1605" w:type="pct"/>
            <w:shd w:val="clear" w:color="auto" w:fill="auto"/>
            <w:vAlign w:val="center"/>
          </w:tcPr>
          <w:p w14:paraId="0094E3B4" w14:textId="77777777" w:rsidR="003872EA" w:rsidRPr="00280CA1" w:rsidRDefault="003872EA">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shd w:val="clear" w:color="auto" w:fill="auto"/>
          </w:tcPr>
          <w:p w14:paraId="6AF02EE1" w14:textId="77777777" w:rsidR="003872EA" w:rsidRPr="00280CA1" w:rsidRDefault="003872EA">
            <w:pPr>
              <w:pStyle w:val="08-Tabelageral"/>
              <w:ind w:left="113"/>
              <w:jc w:val="center"/>
              <w:rPr>
                <w:rFonts w:cs="Arial"/>
                <w:szCs w:val="14"/>
              </w:rPr>
            </w:pPr>
          </w:p>
        </w:tc>
        <w:tc>
          <w:tcPr>
            <w:tcW w:w="732" w:type="pct"/>
            <w:shd w:val="clear" w:color="auto" w:fill="auto"/>
            <w:vAlign w:val="center"/>
          </w:tcPr>
          <w:p w14:paraId="1B435A50" w14:textId="77777777" w:rsidR="003872EA" w:rsidRPr="00280CA1" w:rsidRDefault="003872EA">
            <w:pPr>
              <w:pStyle w:val="08-Tabelageral"/>
            </w:pPr>
            <w:r>
              <w:t>46,930</w:t>
            </w:r>
          </w:p>
        </w:tc>
        <w:tc>
          <w:tcPr>
            <w:tcW w:w="732" w:type="pct"/>
            <w:shd w:val="clear" w:color="auto" w:fill="auto"/>
            <w:vAlign w:val="center"/>
          </w:tcPr>
          <w:p w14:paraId="01EC75B9" w14:textId="77777777" w:rsidR="003872EA" w:rsidRPr="00280CA1" w:rsidRDefault="003872EA">
            <w:pPr>
              <w:pStyle w:val="08-Tabelageral"/>
            </w:pPr>
            <w:r>
              <w:t>46,445</w:t>
            </w:r>
          </w:p>
        </w:tc>
        <w:tc>
          <w:tcPr>
            <w:tcW w:w="147" w:type="pct"/>
            <w:shd w:val="clear" w:color="auto" w:fill="auto"/>
            <w:vAlign w:val="center"/>
          </w:tcPr>
          <w:p w14:paraId="676CF8B2" w14:textId="77777777" w:rsidR="003872EA" w:rsidRPr="00280CA1" w:rsidRDefault="003872EA">
            <w:pPr>
              <w:pStyle w:val="08-Tabelageral"/>
            </w:pPr>
          </w:p>
        </w:tc>
        <w:tc>
          <w:tcPr>
            <w:tcW w:w="735" w:type="pct"/>
            <w:shd w:val="clear" w:color="auto" w:fill="auto"/>
            <w:vAlign w:val="center"/>
          </w:tcPr>
          <w:p w14:paraId="5A8DB13C" w14:textId="77777777" w:rsidR="003872EA" w:rsidRPr="00280CA1" w:rsidRDefault="003872EA">
            <w:pPr>
              <w:pStyle w:val="08-Tabelageral"/>
            </w:pPr>
            <w:r>
              <w:t>673,854</w:t>
            </w:r>
          </w:p>
        </w:tc>
        <w:tc>
          <w:tcPr>
            <w:tcW w:w="736" w:type="pct"/>
            <w:shd w:val="clear" w:color="auto" w:fill="auto"/>
            <w:vAlign w:val="center"/>
          </w:tcPr>
          <w:p w14:paraId="08D54336" w14:textId="77777777" w:rsidR="003872EA" w:rsidRPr="00280CA1" w:rsidRDefault="003872EA">
            <w:pPr>
              <w:pStyle w:val="08-Tabelageral"/>
            </w:pPr>
            <w:r>
              <w:t>648,350</w:t>
            </w:r>
          </w:p>
        </w:tc>
      </w:tr>
      <w:tr w:rsidR="003872EA" w:rsidRPr="00280CA1" w14:paraId="0595A264" w14:textId="77777777">
        <w:trPr>
          <w:trHeight w:val="238"/>
        </w:trPr>
        <w:tc>
          <w:tcPr>
            <w:tcW w:w="1605" w:type="pct"/>
            <w:shd w:val="clear" w:color="auto" w:fill="auto"/>
            <w:vAlign w:val="center"/>
          </w:tcPr>
          <w:p w14:paraId="66106B3E" w14:textId="77777777" w:rsidR="003872EA" w:rsidRPr="00280CA1" w:rsidRDefault="003872EA">
            <w:pPr>
              <w:pStyle w:val="08-Tabelageral"/>
              <w:ind w:left="113"/>
              <w:jc w:val="left"/>
              <w:rPr>
                <w:lang w:val="en-US"/>
              </w:rPr>
            </w:pPr>
            <w:r w:rsidRPr="00280CA1">
              <w:rPr>
                <w:lang w:val="en-US"/>
              </w:rPr>
              <w:t>Monetary adjustment of judicial deposits</w:t>
            </w:r>
          </w:p>
        </w:tc>
        <w:tc>
          <w:tcPr>
            <w:tcW w:w="313" w:type="pct"/>
            <w:shd w:val="clear" w:color="auto" w:fill="auto"/>
          </w:tcPr>
          <w:p w14:paraId="1EEF1D97" w14:textId="77777777" w:rsidR="003872EA" w:rsidRPr="00280CA1" w:rsidRDefault="003872EA">
            <w:pPr>
              <w:pStyle w:val="08-Tabelageral"/>
              <w:ind w:left="113"/>
              <w:jc w:val="left"/>
              <w:rPr>
                <w:lang w:val="en-US"/>
              </w:rPr>
            </w:pPr>
          </w:p>
        </w:tc>
        <w:tc>
          <w:tcPr>
            <w:tcW w:w="732" w:type="pct"/>
            <w:shd w:val="clear" w:color="auto" w:fill="auto"/>
            <w:vAlign w:val="center"/>
          </w:tcPr>
          <w:p w14:paraId="564EEB31" w14:textId="77777777" w:rsidR="003872EA" w:rsidRPr="00280CA1" w:rsidRDefault="003872EA">
            <w:pPr>
              <w:pStyle w:val="08-Tabelageral"/>
              <w:rPr>
                <w:lang w:val="en-US"/>
              </w:rPr>
            </w:pPr>
            <w:r>
              <w:t>4</w:t>
            </w:r>
          </w:p>
        </w:tc>
        <w:tc>
          <w:tcPr>
            <w:tcW w:w="732" w:type="pct"/>
            <w:shd w:val="clear" w:color="auto" w:fill="auto"/>
            <w:vAlign w:val="center"/>
          </w:tcPr>
          <w:p w14:paraId="2CA19FA1" w14:textId="77777777" w:rsidR="003872EA" w:rsidRPr="00280CA1" w:rsidRDefault="003872EA">
            <w:pPr>
              <w:pStyle w:val="08-Tabelageral"/>
            </w:pPr>
            <w:r>
              <w:t>1</w:t>
            </w:r>
          </w:p>
        </w:tc>
        <w:tc>
          <w:tcPr>
            <w:tcW w:w="147" w:type="pct"/>
            <w:shd w:val="clear" w:color="auto" w:fill="auto"/>
            <w:vAlign w:val="center"/>
          </w:tcPr>
          <w:p w14:paraId="4F759B62" w14:textId="77777777" w:rsidR="003872EA" w:rsidRPr="00280CA1" w:rsidRDefault="003872EA">
            <w:pPr>
              <w:pStyle w:val="08-Tabelageral"/>
            </w:pPr>
          </w:p>
        </w:tc>
        <w:tc>
          <w:tcPr>
            <w:tcW w:w="735" w:type="pct"/>
            <w:shd w:val="clear" w:color="auto" w:fill="auto"/>
            <w:vAlign w:val="center"/>
          </w:tcPr>
          <w:p w14:paraId="6DD6EBC5" w14:textId="77777777" w:rsidR="003872EA" w:rsidRPr="00280CA1" w:rsidRDefault="003872EA">
            <w:pPr>
              <w:pStyle w:val="08-Tabelageral"/>
            </w:pPr>
            <w:r>
              <w:t>11,737</w:t>
            </w:r>
          </w:p>
        </w:tc>
        <w:tc>
          <w:tcPr>
            <w:tcW w:w="736" w:type="pct"/>
            <w:shd w:val="clear" w:color="auto" w:fill="auto"/>
            <w:vAlign w:val="center"/>
          </w:tcPr>
          <w:p w14:paraId="691FD75B" w14:textId="77777777" w:rsidR="003872EA" w:rsidRPr="00280CA1" w:rsidRDefault="003872EA">
            <w:pPr>
              <w:pStyle w:val="08-Tabelageral"/>
            </w:pPr>
            <w:r>
              <w:t>13,481</w:t>
            </w:r>
          </w:p>
        </w:tc>
      </w:tr>
      <w:tr w:rsidR="003872EA" w:rsidRPr="00280CA1" w14:paraId="0199DB8E" w14:textId="77777777">
        <w:trPr>
          <w:trHeight w:val="238"/>
        </w:trPr>
        <w:tc>
          <w:tcPr>
            <w:tcW w:w="1605" w:type="pct"/>
            <w:shd w:val="clear" w:color="auto" w:fill="auto"/>
            <w:vAlign w:val="center"/>
          </w:tcPr>
          <w:p w14:paraId="5883921F" w14:textId="77777777" w:rsidR="003872EA" w:rsidRPr="00280CA1" w:rsidRDefault="003872EA">
            <w:pPr>
              <w:pStyle w:val="08-Tabelageral"/>
              <w:ind w:left="113"/>
              <w:jc w:val="left"/>
            </w:pPr>
            <w:r w:rsidRPr="00245676">
              <w:rPr>
                <w:lang w:val="en-US"/>
              </w:rPr>
              <w:t>Monetary adjustment of taxes</w:t>
            </w:r>
          </w:p>
        </w:tc>
        <w:tc>
          <w:tcPr>
            <w:tcW w:w="313" w:type="pct"/>
            <w:shd w:val="clear" w:color="auto" w:fill="auto"/>
          </w:tcPr>
          <w:p w14:paraId="4A898727" w14:textId="77777777" w:rsidR="003872EA" w:rsidRPr="00245676" w:rsidRDefault="003872EA">
            <w:pPr>
              <w:pStyle w:val="08-Tabelageral"/>
              <w:ind w:left="113"/>
              <w:jc w:val="center"/>
              <w:rPr>
                <w:rFonts w:cs="Arial"/>
                <w:szCs w:val="14"/>
                <w:lang w:val="en-US"/>
              </w:rPr>
            </w:pPr>
          </w:p>
        </w:tc>
        <w:tc>
          <w:tcPr>
            <w:tcW w:w="732" w:type="pct"/>
            <w:shd w:val="clear" w:color="auto" w:fill="auto"/>
            <w:vAlign w:val="center"/>
          </w:tcPr>
          <w:p w14:paraId="1912BF7B" w14:textId="77777777" w:rsidR="003872EA" w:rsidRPr="00280CA1" w:rsidRDefault="003872EA">
            <w:pPr>
              <w:pStyle w:val="08-Tabelageral"/>
            </w:pPr>
            <w:r>
              <w:t>8,196</w:t>
            </w:r>
          </w:p>
        </w:tc>
        <w:tc>
          <w:tcPr>
            <w:tcW w:w="732" w:type="pct"/>
            <w:shd w:val="clear" w:color="auto" w:fill="auto"/>
            <w:vAlign w:val="center"/>
          </w:tcPr>
          <w:p w14:paraId="7F48A321" w14:textId="77777777" w:rsidR="003872EA" w:rsidRPr="00280CA1" w:rsidRDefault="003872EA">
            <w:pPr>
              <w:pStyle w:val="08-Tabelageral"/>
            </w:pPr>
            <w:r>
              <w:t>8,964</w:t>
            </w:r>
          </w:p>
        </w:tc>
        <w:tc>
          <w:tcPr>
            <w:tcW w:w="147" w:type="pct"/>
            <w:shd w:val="clear" w:color="auto" w:fill="auto"/>
            <w:vAlign w:val="center"/>
          </w:tcPr>
          <w:p w14:paraId="20A713D7" w14:textId="77777777" w:rsidR="003872EA" w:rsidRPr="00280CA1" w:rsidRDefault="003872EA">
            <w:pPr>
              <w:pStyle w:val="08-Tabelageral"/>
            </w:pPr>
          </w:p>
        </w:tc>
        <w:tc>
          <w:tcPr>
            <w:tcW w:w="735" w:type="pct"/>
            <w:shd w:val="clear" w:color="auto" w:fill="auto"/>
            <w:vAlign w:val="center"/>
          </w:tcPr>
          <w:p w14:paraId="44B0D37B" w14:textId="77777777" w:rsidR="003872EA" w:rsidRPr="00280CA1" w:rsidRDefault="003872EA">
            <w:pPr>
              <w:pStyle w:val="08-Tabelageral"/>
            </w:pPr>
            <w:r>
              <w:t>10,762</w:t>
            </w:r>
          </w:p>
        </w:tc>
        <w:tc>
          <w:tcPr>
            <w:tcW w:w="736" w:type="pct"/>
            <w:shd w:val="clear" w:color="auto" w:fill="auto"/>
            <w:vAlign w:val="center"/>
          </w:tcPr>
          <w:p w14:paraId="4EADEE40" w14:textId="77777777" w:rsidR="003872EA" w:rsidRPr="00280CA1" w:rsidRDefault="003872EA">
            <w:pPr>
              <w:pStyle w:val="08-Tabelageral"/>
            </w:pPr>
            <w:r>
              <w:t>9,095</w:t>
            </w:r>
          </w:p>
        </w:tc>
      </w:tr>
      <w:tr w:rsidR="003872EA" w:rsidRPr="00280CA1" w14:paraId="26571611" w14:textId="77777777">
        <w:trPr>
          <w:trHeight w:val="238"/>
        </w:trPr>
        <w:tc>
          <w:tcPr>
            <w:tcW w:w="1605" w:type="pct"/>
            <w:shd w:val="clear" w:color="auto" w:fill="auto"/>
            <w:vAlign w:val="center"/>
          </w:tcPr>
          <w:p w14:paraId="068882F3" w14:textId="77777777" w:rsidR="003872EA" w:rsidRPr="00245676" w:rsidRDefault="003872EA">
            <w:pPr>
              <w:pStyle w:val="08-Tabelageral"/>
              <w:ind w:left="113"/>
              <w:jc w:val="left"/>
              <w:rPr>
                <w:lang w:val="en-US"/>
              </w:rPr>
            </w:pPr>
            <w:r w:rsidRPr="00280CA1">
              <w:rPr>
                <w:lang w:val="en-US"/>
              </w:rPr>
              <w:t>Monetary adjustment of dividends</w:t>
            </w:r>
          </w:p>
        </w:tc>
        <w:tc>
          <w:tcPr>
            <w:tcW w:w="313" w:type="pct"/>
            <w:shd w:val="clear" w:color="auto" w:fill="auto"/>
          </w:tcPr>
          <w:p w14:paraId="3E1445C6" w14:textId="77777777" w:rsidR="003872EA" w:rsidRPr="00245676" w:rsidRDefault="003872EA">
            <w:pPr>
              <w:pStyle w:val="08-Tabelageral"/>
              <w:ind w:left="113"/>
              <w:jc w:val="center"/>
              <w:rPr>
                <w:rFonts w:cs="Arial"/>
                <w:szCs w:val="14"/>
                <w:lang w:val="en-US"/>
              </w:rPr>
            </w:pPr>
          </w:p>
        </w:tc>
        <w:tc>
          <w:tcPr>
            <w:tcW w:w="732" w:type="pct"/>
            <w:shd w:val="clear" w:color="auto" w:fill="auto"/>
            <w:vAlign w:val="center"/>
          </w:tcPr>
          <w:p w14:paraId="2AC58352" w14:textId="77777777" w:rsidR="003872EA" w:rsidRDefault="003872EA">
            <w:pPr>
              <w:pStyle w:val="08-Tabelageral"/>
            </w:pPr>
            <w:r>
              <w:t>33,904</w:t>
            </w:r>
          </w:p>
        </w:tc>
        <w:tc>
          <w:tcPr>
            <w:tcW w:w="732" w:type="pct"/>
            <w:shd w:val="clear" w:color="auto" w:fill="auto"/>
            <w:vAlign w:val="center"/>
          </w:tcPr>
          <w:p w14:paraId="764BB8D4" w14:textId="77777777" w:rsidR="003872EA" w:rsidRPr="00000E96" w:rsidRDefault="003872EA">
            <w:pPr>
              <w:pStyle w:val="08-Tabelageral"/>
            </w:pPr>
            <w:r>
              <w:t>77,483</w:t>
            </w:r>
          </w:p>
        </w:tc>
        <w:tc>
          <w:tcPr>
            <w:tcW w:w="147" w:type="pct"/>
            <w:shd w:val="clear" w:color="auto" w:fill="auto"/>
            <w:vAlign w:val="center"/>
          </w:tcPr>
          <w:p w14:paraId="51FE8743" w14:textId="77777777" w:rsidR="003872EA" w:rsidRPr="00280CA1" w:rsidRDefault="003872EA">
            <w:pPr>
              <w:pStyle w:val="08-Tabelageral"/>
            </w:pPr>
          </w:p>
        </w:tc>
        <w:tc>
          <w:tcPr>
            <w:tcW w:w="735" w:type="pct"/>
            <w:shd w:val="clear" w:color="auto" w:fill="auto"/>
            <w:vAlign w:val="center"/>
          </w:tcPr>
          <w:p w14:paraId="2C98050F" w14:textId="77777777" w:rsidR="003872EA" w:rsidRDefault="003872EA">
            <w:pPr>
              <w:pStyle w:val="08-Tabelageral"/>
            </w:pPr>
            <w:r>
              <w:t>--</w:t>
            </w:r>
          </w:p>
        </w:tc>
        <w:tc>
          <w:tcPr>
            <w:tcW w:w="736" w:type="pct"/>
            <w:shd w:val="clear" w:color="auto" w:fill="auto"/>
            <w:vAlign w:val="center"/>
          </w:tcPr>
          <w:p w14:paraId="5F06E39E" w14:textId="77777777" w:rsidR="003872EA" w:rsidRPr="00435BC2" w:rsidRDefault="003872EA">
            <w:pPr>
              <w:pStyle w:val="08-Tabelageral"/>
            </w:pPr>
            <w:r>
              <w:t>--</w:t>
            </w:r>
          </w:p>
        </w:tc>
      </w:tr>
      <w:tr w:rsidR="003872EA" w:rsidRPr="00280CA1" w14:paraId="4344D767" w14:textId="77777777">
        <w:trPr>
          <w:trHeight w:val="238"/>
        </w:trPr>
        <w:tc>
          <w:tcPr>
            <w:tcW w:w="1605" w:type="pct"/>
            <w:shd w:val="clear" w:color="auto" w:fill="auto"/>
            <w:vAlign w:val="center"/>
          </w:tcPr>
          <w:p w14:paraId="75F652B4" w14:textId="77777777" w:rsidR="003872EA" w:rsidRPr="00245676" w:rsidRDefault="003872EA">
            <w:pPr>
              <w:pStyle w:val="08-Tabelageral"/>
              <w:ind w:left="113"/>
              <w:jc w:val="left"/>
              <w:rPr>
                <w:lang w:val="en-US"/>
              </w:rPr>
            </w:pPr>
            <w:r w:rsidRPr="00280CA1">
              <w:t>Other</w:t>
            </w:r>
          </w:p>
        </w:tc>
        <w:tc>
          <w:tcPr>
            <w:tcW w:w="313" w:type="pct"/>
            <w:shd w:val="clear" w:color="auto" w:fill="auto"/>
          </w:tcPr>
          <w:p w14:paraId="05CFBD01" w14:textId="77777777" w:rsidR="003872EA" w:rsidRPr="00245676" w:rsidRDefault="003872EA">
            <w:pPr>
              <w:pStyle w:val="08-Tabelageral"/>
              <w:ind w:left="113"/>
              <w:jc w:val="center"/>
              <w:rPr>
                <w:rFonts w:cs="Arial"/>
                <w:szCs w:val="14"/>
                <w:lang w:val="en-US"/>
              </w:rPr>
            </w:pPr>
          </w:p>
        </w:tc>
        <w:tc>
          <w:tcPr>
            <w:tcW w:w="732" w:type="pct"/>
            <w:shd w:val="clear" w:color="auto" w:fill="auto"/>
            <w:vAlign w:val="center"/>
          </w:tcPr>
          <w:p w14:paraId="0D927B59" w14:textId="77777777" w:rsidR="003872EA" w:rsidRDefault="003872EA">
            <w:pPr>
              <w:pStyle w:val="08-Tabelageral"/>
            </w:pPr>
            <w:r>
              <w:t>7</w:t>
            </w:r>
          </w:p>
        </w:tc>
        <w:tc>
          <w:tcPr>
            <w:tcW w:w="732" w:type="pct"/>
            <w:shd w:val="clear" w:color="auto" w:fill="auto"/>
            <w:vAlign w:val="center"/>
          </w:tcPr>
          <w:p w14:paraId="4792D0B6" w14:textId="77777777" w:rsidR="003872EA" w:rsidRPr="00000E96" w:rsidRDefault="003872EA">
            <w:pPr>
              <w:pStyle w:val="08-Tabelageral"/>
            </w:pPr>
            <w:r>
              <w:t>7</w:t>
            </w:r>
          </w:p>
        </w:tc>
        <w:tc>
          <w:tcPr>
            <w:tcW w:w="147" w:type="pct"/>
            <w:shd w:val="clear" w:color="auto" w:fill="auto"/>
            <w:vAlign w:val="center"/>
          </w:tcPr>
          <w:p w14:paraId="665DA59D" w14:textId="77777777" w:rsidR="003872EA" w:rsidRPr="00280CA1" w:rsidRDefault="003872EA">
            <w:pPr>
              <w:pStyle w:val="08-Tabelageral"/>
            </w:pPr>
          </w:p>
        </w:tc>
        <w:tc>
          <w:tcPr>
            <w:tcW w:w="735" w:type="pct"/>
            <w:shd w:val="clear" w:color="auto" w:fill="auto"/>
            <w:vAlign w:val="center"/>
          </w:tcPr>
          <w:p w14:paraId="31A76D86" w14:textId="77777777" w:rsidR="003872EA" w:rsidRDefault="003872EA">
            <w:pPr>
              <w:pStyle w:val="08-Tabelageral"/>
            </w:pPr>
            <w:r>
              <w:t>7</w:t>
            </w:r>
          </w:p>
        </w:tc>
        <w:tc>
          <w:tcPr>
            <w:tcW w:w="736" w:type="pct"/>
            <w:shd w:val="clear" w:color="auto" w:fill="auto"/>
            <w:vAlign w:val="center"/>
          </w:tcPr>
          <w:p w14:paraId="7F218052" w14:textId="77777777" w:rsidR="003872EA" w:rsidRPr="00435BC2" w:rsidRDefault="003872EA">
            <w:pPr>
              <w:pStyle w:val="08-Tabelageral"/>
            </w:pPr>
            <w:r>
              <w:t>7</w:t>
            </w:r>
          </w:p>
        </w:tc>
      </w:tr>
      <w:tr w:rsidR="003872EA" w:rsidRPr="00280CA1" w14:paraId="4F648EB7" w14:textId="77777777">
        <w:trPr>
          <w:trHeight w:val="238"/>
        </w:trPr>
        <w:tc>
          <w:tcPr>
            <w:tcW w:w="1605" w:type="pct"/>
            <w:shd w:val="clear" w:color="auto" w:fill="auto"/>
            <w:vAlign w:val="center"/>
          </w:tcPr>
          <w:p w14:paraId="43086FF2" w14:textId="77777777" w:rsidR="003872EA" w:rsidRPr="00280CA1" w:rsidRDefault="003872EA">
            <w:pPr>
              <w:pStyle w:val="08-Tabelageral"/>
              <w:jc w:val="left"/>
              <w:rPr>
                <w:b/>
              </w:rPr>
            </w:pPr>
            <w:r w:rsidRPr="00280CA1">
              <w:rPr>
                <w:b/>
              </w:rPr>
              <w:t xml:space="preserve">Financial </w:t>
            </w:r>
            <w:proofErr w:type="spellStart"/>
            <w:r w:rsidRPr="00280CA1">
              <w:rPr>
                <w:b/>
              </w:rPr>
              <w:t>Expenses</w:t>
            </w:r>
            <w:proofErr w:type="spellEnd"/>
          </w:p>
        </w:tc>
        <w:tc>
          <w:tcPr>
            <w:tcW w:w="313" w:type="pct"/>
            <w:shd w:val="clear" w:color="auto" w:fill="auto"/>
          </w:tcPr>
          <w:p w14:paraId="35BB7579" w14:textId="77777777" w:rsidR="003872EA" w:rsidRPr="00280CA1" w:rsidRDefault="003872EA">
            <w:pPr>
              <w:pStyle w:val="08-Tabelageral"/>
              <w:jc w:val="center"/>
              <w:rPr>
                <w:rFonts w:cs="Arial"/>
                <w:b/>
                <w:szCs w:val="14"/>
              </w:rPr>
            </w:pPr>
          </w:p>
        </w:tc>
        <w:tc>
          <w:tcPr>
            <w:tcW w:w="732" w:type="pct"/>
            <w:shd w:val="clear" w:color="auto" w:fill="auto"/>
            <w:vAlign w:val="center"/>
          </w:tcPr>
          <w:p w14:paraId="739685A3" w14:textId="77777777" w:rsidR="003872EA" w:rsidRPr="00280CA1" w:rsidRDefault="003872EA">
            <w:pPr>
              <w:pStyle w:val="08-Tabelageral"/>
              <w:rPr>
                <w:b/>
              </w:rPr>
            </w:pPr>
            <w:r>
              <w:rPr>
                <w:b/>
              </w:rPr>
              <w:t>(41,020)</w:t>
            </w:r>
          </w:p>
        </w:tc>
        <w:tc>
          <w:tcPr>
            <w:tcW w:w="732" w:type="pct"/>
            <w:shd w:val="clear" w:color="auto" w:fill="auto"/>
            <w:vAlign w:val="center"/>
          </w:tcPr>
          <w:p w14:paraId="7091A085" w14:textId="77777777" w:rsidR="003872EA" w:rsidRPr="00280CA1" w:rsidRDefault="003872EA">
            <w:pPr>
              <w:pStyle w:val="08-Tabelageral"/>
              <w:rPr>
                <w:b/>
              </w:rPr>
            </w:pPr>
            <w:r>
              <w:rPr>
                <w:b/>
              </w:rPr>
              <w:t>(81,861)</w:t>
            </w:r>
          </w:p>
        </w:tc>
        <w:tc>
          <w:tcPr>
            <w:tcW w:w="147" w:type="pct"/>
            <w:shd w:val="clear" w:color="auto" w:fill="auto"/>
            <w:vAlign w:val="center"/>
          </w:tcPr>
          <w:p w14:paraId="1DC7F425" w14:textId="77777777" w:rsidR="003872EA" w:rsidRPr="00280CA1" w:rsidRDefault="003872EA">
            <w:pPr>
              <w:pStyle w:val="08-Tabelageral"/>
              <w:rPr>
                <w:b/>
              </w:rPr>
            </w:pPr>
          </w:p>
        </w:tc>
        <w:tc>
          <w:tcPr>
            <w:tcW w:w="735" w:type="pct"/>
            <w:shd w:val="clear" w:color="auto" w:fill="auto"/>
            <w:vAlign w:val="center"/>
          </w:tcPr>
          <w:p w14:paraId="1AEE0397" w14:textId="77777777" w:rsidR="003872EA" w:rsidRPr="00280CA1" w:rsidRDefault="003872EA">
            <w:pPr>
              <w:pStyle w:val="08-Tabelageral"/>
              <w:rPr>
                <w:b/>
              </w:rPr>
            </w:pPr>
            <w:r>
              <w:rPr>
                <w:b/>
              </w:rPr>
              <w:t>(42,638)</w:t>
            </w:r>
          </w:p>
        </w:tc>
        <w:tc>
          <w:tcPr>
            <w:tcW w:w="736" w:type="pct"/>
            <w:shd w:val="clear" w:color="auto" w:fill="auto"/>
            <w:vAlign w:val="center"/>
          </w:tcPr>
          <w:p w14:paraId="380C6AA8" w14:textId="77777777" w:rsidR="003872EA" w:rsidRPr="00280CA1" w:rsidRDefault="003872EA">
            <w:pPr>
              <w:pStyle w:val="08-Tabelageral"/>
              <w:rPr>
                <w:b/>
              </w:rPr>
            </w:pPr>
            <w:r>
              <w:rPr>
                <w:b/>
              </w:rPr>
              <w:t>(83,388)</w:t>
            </w:r>
          </w:p>
        </w:tc>
      </w:tr>
      <w:tr w:rsidR="003872EA" w:rsidRPr="00280CA1" w14:paraId="3FD7B3A4" w14:textId="77777777">
        <w:trPr>
          <w:trHeight w:val="238"/>
        </w:trPr>
        <w:tc>
          <w:tcPr>
            <w:tcW w:w="1605" w:type="pct"/>
            <w:shd w:val="clear" w:color="auto" w:fill="auto"/>
            <w:vAlign w:val="center"/>
          </w:tcPr>
          <w:p w14:paraId="5FC3DA98" w14:textId="77777777" w:rsidR="003872EA" w:rsidRPr="00136FEB" w:rsidRDefault="003872EA">
            <w:pPr>
              <w:pStyle w:val="08-Tabelageral"/>
              <w:ind w:left="113"/>
              <w:jc w:val="left"/>
            </w:pPr>
            <w:r w:rsidRPr="00280CA1">
              <w:rPr>
                <w:lang w:val="en-US"/>
              </w:rPr>
              <w:t>Monetary adjustment of dividends</w:t>
            </w:r>
          </w:p>
        </w:tc>
        <w:tc>
          <w:tcPr>
            <w:tcW w:w="313" w:type="pct"/>
            <w:shd w:val="clear" w:color="auto" w:fill="auto"/>
          </w:tcPr>
          <w:p w14:paraId="77A5EA6F" w14:textId="77777777" w:rsidR="003872EA" w:rsidRPr="00280CA1" w:rsidRDefault="003872EA">
            <w:pPr>
              <w:pStyle w:val="08-Tabelageral"/>
              <w:ind w:left="113"/>
              <w:jc w:val="center"/>
              <w:rPr>
                <w:rFonts w:cs="Arial"/>
                <w:szCs w:val="14"/>
              </w:rPr>
            </w:pPr>
          </w:p>
        </w:tc>
        <w:tc>
          <w:tcPr>
            <w:tcW w:w="732" w:type="pct"/>
            <w:shd w:val="clear" w:color="auto" w:fill="auto"/>
            <w:vAlign w:val="center"/>
          </w:tcPr>
          <w:p w14:paraId="331F8FC6" w14:textId="77777777" w:rsidR="003872EA" w:rsidRDefault="003872EA">
            <w:pPr>
              <w:pStyle w:val="08-Tabelageral"/>
            </w:pPr>
            <w:r>
              <w:t>(38,377)</w:t>
            </w:r>
          </w:p>
        </w:tc>
        <w:tc>
          <w:tcPr>
            <w:tcW w:w="732" w:type="pct"/>
            <w:shd w:val="clear" w:color="auto" w:fill="auto"/>
            <w:vAlign w:val="center"/>
          </w:tcPr>
          <w:p w14:paraId="5CDB64B0" w14:textId="77777777" w:rsidR="003872EA" w:rsidRDefault="003872EA">
            <w:pPr>
              <w:pStyle w:val="08-Tabelageral"/>
            </w:pPr>
            <w:r>
              <w:t>(77,281)</w:t>
            </w:r>
          </w:p>
        </w:tc>
        <w:tc>
          <w:tcPr>
            <w:tcW w:w="147" w:type="pct"/>
            <w:shd w:val="clear" w:color="auto" w:fill="auto"/>
            <w:vAlign w:val="center"/>
          </w:tcPr>
          <w:p w14:paraId="67B291E5" w14:textId="77777777" w:rsidR="003872EA" w:rsidRPr="00280CA1" w:rsidRDefault="003872EA">
            <w:pPr>
              <w:pStyle w:val="08-Tabelageral"/>
            </w:pPr>
          </w:p>
        </w:tc>
        <w:tc>
          <w:tcPr>
            <w:tcW w:w="735" w:type="pct"/>
            <w:shd w:val="clear" w:color="auto" w:fill="auto"/>
            <w:vAlign w:val="center"/>
          </w:tcPr>
          <w:p w14:paraId="4893F5DA" w14:textId="77777777" w:rsidR="003872EA" w:rsidRDefault="003872EA">
            <w:pPr>
              <w:pStyle w:val="08-Tabelageral"/>
            </w:pPr>
            <w:r>
              <w:t>(38,377)</w:t>
            </w:r>
          </w:p>
        </w:tc>
        <w:tc>
          <w:tcPr>
            <w:tcW w:w="736" w:type="pct"/>
            <w:shd w:val="clear" w:color="auto" w:fill="auto"/>
            <w:vAlign w:val="center"/>
          </w:tcPr>
          <w:p w14:paraId="6F4B891B" w14:textId="77777777" w:rsidR="003872EA" w:rsidRPr="00435BC2" w:rsidRDefault="003872EA">
            <w:pPr>
              <w:pStyle w:val="08-Tabelageral"/>
            </w:pPr>
            <w:r>
              <w:t>(77,281)</w:t>
            </w:r>
          </w:p>
        </w:tc>
      </w:tr>
      <w:tr w:rsidR="003872EA" w:rsidRPr="00280CA1" w14:paraId="3AE7B322" w14:textId="77777777">
        <w:trPr>
          <w:trHeight w:val="238"/>
        </w:trPr>
        <w:tc>
          <w:tcPr>
            <w:tcW w:w="1605" w:type="pct"/>
            <w:shd w:val="clear" w:color="auto" w:fill="auto"/>
            <w:vAlign w:val="center"/>
          </w:tcPr>
          <w:p w14:paraId="51136488" w14:textId="77777777" w:rsidR="003872EA" w:rsidRPr="00136FEB" w:rsidRDefault="003872EA">
            <w:pPr>
              <w:pStyle w:val="08-Tabelageral"/>
              <w:ind w:left="113"/>
              <w:jc w:val="left"/>
            </w:pPr>
            <w:r w:rsidRPr="00280CA1">
              <w:t xml:space="preserve">Financial system </w:t>
            </w:r>
            <w:proofErr w:type="spellStart"/>
            <w:r w:rsidRPr="00280CA1">
              <w:t>services</w:t>
            </w:r>
            <w:proofErr w:type="spellEnd"/>
          </w:p>
        </w:tc>
        <w:tc>
          <w:tcPr>
            <w:tcW w:w="313" w:type="pct"/>
            <w:shd w:val="clear" w:color="auto" w:fill="auto"/>
          </w:tcPr>
          <w:p w14:paraId="700499F5" w14:textId="77777777" w:rsidR="003872EA" w:rsidRPr="00280CA1" w:rsidRDefault="003872EA">
            <w:pPr>
              <w:pStyle w:val="08-Tabelageral"/>
              <w:ind w:left="113"/>
              <w:jc w:val="center"/>
              <w:rPr>
                <w:rFonts w:cs="Arial"/>
                <w:szCs w:val="14"/>
              </w:rPr>
            </w:pPr>
          </w:p>
        </w:tc>
        <w:tc>
          <w:tcPr>
            <w:tcW w:w="732" w:type="pct"/>
            <w:shd w:val="clear" w:color="auto" w:fill="auto"/>
            <w:vAlign w:val="center"/>
          </w:tcPr>
          <w:p w14:paraId="7B934310" w14:textId="77777777" w:rsidR="003872EA" w:rsidRDefault="003872EA">
            <w:pPr>
              <w:pStyle w:val="08-Tabelageral"/>
            </w:pPr>
            <w:r>
              <w:t>(1,280)</w:t>
            </w:r>
          </w:p>
        </w:tc>
        <w:tc>
          <w:tcPr>
            <w:tcW w:w="732" w:type="pct"/>
            <w:shd w:val="clear" w:color="auto" w:fill="auto"/>
            <w:vAlign w:val="center"/>
          </w:tcPr>
          <w:p w14:paraId="5B80AEC7" w14:textId="77777777" w:rsidR="003872EA" w:rsidRDefault="003872EA">
            <w:pPr>
              <w:pStyle w:val="08-Tabelageral"/>
            </w:pPr>
            <w:r>
              <w:t>(1,510)</w:t>
            </w:r>
          </w:p>
        </w:tc>
        <w:tc>
          <w:tcPr>
            <w:tcW w:w="147" w:type="pct"/>
            <w:shd w:val="clear" w:color="auto" w:fill="auto"/>
            <w:vAlign w:val="center"/>
          </w:tcPr>
          <w:p w14:paraId="72BDECC5" w14:textId="77777777" w:rsidR="003872EA" w:rsidRPr="00280CA1" w:rsidRDefault="003872EA">
            <w:pPr>
              <w:pStyle w:val="08-Tabelageral"/>
            </w:pPr>
          </w:p>
        </w:tc>
        <w:tc>
          <w:tcPr>
            <w:tcW w:w="735" w:type="pct"/>
            <w:shd w:val="clear" w:color="auto" w:fill="auto"/>
            <w:vAlign w:val="center"/>
          </w:tcPr>
          <w:p w14:paraId="7B3131A8" w14:textId="77777777" w:rsidR="003872EA" w:rsidRDefault="003872EA">
            <w:pPr>
              <w:pStyle w:val="08-Tabelageral"/>
            </w:pPr>
            <w:r>
              <w:t>(1,860)</w:t>
            </w:r>
          </w:p>
        </w:tc>
        <w:tc>
          <w:tcPr>
            <w:tcW w:w="736" w:type="pct"/>
            <w:shd w:val="clear" w:color="auto" w:fill="auto"/>
            <w:vAlign w:val="center"/>
          </w:tcPr>
          <w:p w14:paraId="294AF00C" w14:textId="77777777" w:rsidR="003872EA" w:rsidRPr="00435BC2" w:rsidRDefault="003872EA">
            <w:pPr>
              <w:pStyle w:val="08-Tabelageral"/>
            </w:pPr>
            <w:r>
              <w:t>(1,940)</w:t>
            </w:r>
          </w:p>
        </w:tc>
      </w:tr>
      <w:tr w:rsidR="003872EA" w:rsidRPr="00280CA1" w14:paraId="317A691E" w14:textId="77777777">
        <w:trPr>
          <w:trHeight w:val="238"/>
        </w:trPr>
        <w:tc>
          <w:tcPr>
            <w:tcW w:w="1605" w:type="pct"/>
            <w:shd w:val="clear" w:color="auto" w:fill="auto"/>
            <w:vAlign w:val="center"/>
          </w:tcPr>
          <w:p w14:paraId="65CFF0B9" w14:textId="77777777" w:rsidR="003872EA" w:rsidRPr="00280CA1" w:rsidRDefault="003872EA">
            <w:pPr>
              <w:pStyle w:val="08-Tabelageral"/>
              <w:ind w:left="113"/>
              <w:jc w:val="left"/>
            </w:pPr>
            <w:proofErr w:type="spellStart"/>
            <w:r w:rsidRPr="00280CA1">
              <w:t>Loss</w:t>
            </w:r>
            <w:proofErr w:type="spellEnd"/>
            <w:r w:rsidRPr="00280CA1">
              <w:t xml:space="preserve"> </w:t>
            </w:r>
            <w:proofErr w:type="spellStart"/>
            <w:r w:rsidRPr="00280CA1">
              <w:t>on</w:t>
            </w:r>
            <w:proofErr w:type="spellEnd"/>
            <w:r w:rsidRPr="00280CA1">
              <w:t xml:space="preserve"> financial </w:t>
            </w:r>
            <w:proofErr w:type="spellStart"/>
            <w:r w:rsidRPr="00280CA1">
              <w:t>investments</w:t>
            </w:r>
            <w:proofErr w:type="spellEnd"/>
          </w:p>
        </w:tc>
        <w:tc>
          <w:tcPr>
            <w:tcW w:w="313" w:type="pct"/>
            <w:shd w:val="clear" w:color="auto" w:fill="auto"/>
          </w:tcPr>
          <w:p w14:paraId="7552CD15" w14:textId="77777777" w:rsidR="003872EA" w:rsidRPr="00280CA1" w:rsidRDefault="003872EA">
            <w:pPr>
              <w:pStyle w:val="08-Tabelageral"/>
              <w:ind w:left="113"/>
              <w:jc w:val="center"/>
              <w:rPr>
                <w:rFonts w:cs="Arial"/>
                <w:szCs w:val="14"/>
              </w:rPr>
            </w:pPr>
          </w:p>
        </w:tc>
        <w:tc>
          <w:tcPr>
            <w:tcW w:w="732" w:type="pct"/>
            <w:shd w:val="clear" w:color="auto" w:fill="auto"/>
            <w:vAlign w:val="center"/>
          </w:tcPr>
          <w:p w14:paraId="0492A3B5" w14:textId="77777777" w:rsidR="003872EA" w:rsidRDefault="003872EA">
            <w:pPr>
              <w:pStyle w:val="08-Tabelageral"/>
            </w:pPr>
            <w:r>
              <w:t>(1,352)</w:t>
            </w:r>
          </w:p>
        </w:tc>
        <w:tc>
          <w:tcPr>
            <w:tcW w:w="732" w:type="pct"/>
            <w:shd w:val="clear" w:color="auto" w:fill="auto"/>
            <w:vAlign w:val="center"/>
          </w:tcPr>
          <w:p w14:paraId="089EFAA6" w14:textId="77777777" w:rsidR="003872EA" w:rsidRDefault="003872EA">
            <w:pPr>
              <w:pStyle w:val="08-Tabelageral"/>
              <w:rPr>
                <w:lang w:eastAsia="en-US"/>
              </w:rPr>
            </w:pPr>
            <w:r>
              <w:t>(3,070)</w:t>
            </w:r>
          </w:p>
        </w:tc>
        <w:tc>
          <w:tcPr>
            <w:tcW w:w="147" w:type="pct"/>
            <w:shd w:val="clear" w:color="auto" w:fill="auto"/>
            <w:vAlign w:val="center"/>
          </w:tcPr>
          <w:p w14:paraId="56026601" w14:textId="77777777" w:rsidR="003872EA" w:rsidRPr="00280CA1" w:rsidRDefault="003872EA">
            <w:pPr>
              <w:pStyle w:val="08-Tabelageral"/>
            </w:pPr>
          </w:p>
        </w:tc>
        <w:tc>
          <w:tcPr>
            <w:tcW w:w="735" w:type="pct"/>
            <w:shd w:val="clear" w:color="auto" w:fill="auto"/>
            <w:vAlign w:val="center"/>
          </w:tcPr>
          <w:p w14:paraId="35101AF1" w14:textId="77777777" w:rsidR="003872EA" w:rsidRPr="00435BC2" w:rsidRDefault="003872EA">
            <w:pPr>
              <w:pStyle w:val="08-Tabelageral"/>
            </w:pPr>
            <w:r>
              <w:t>(1,352)</w:t>
            </w:r>
          </w:p>
        </w:tc>
        <w:tc>
          <w:tcPr>
            <w:tcW w:w="736" w:type="pct"/>
            <w:shd w:val="clear" w:color="auto" w:fill="auto"/>
            <w:vAlign w:val="center"/>
          </w:tcPr>
          <w:p w14:paraId="45E65C94" w14:textId="77777777" w:rsidR="003872EA" w:rsidRDefault="003872EA">
            <w:pPr>
              <w:pStyle w:val="08-Tabelageral"/>
              <w:rPr>
                <w:lang w:eastAsia="en-US"/>
              </w:rPr>
            </w:pPr>
            <w:r>
              <w:t>(3,070)</w:t>
            </w:r>
          </w:p>
        </w:tc>
      </w:tr>
      <w:tr w:rsidR="003872EA" w:rsidRPr="00280CA1" w14:paraId="5D3D48DC" w14:textId="77777777">
        <w:trPr>
          <w:trHeight w:val="238"/>
        </w:trPr>
        <w:tc>
          <w:tcPr>
            <w:tcW w:w="1605" w:type="pct"/>
            <w:shd w:val="clear" w:color="auto" w:fill="auto"/>
            <w:vAlign w:val="center"/>
          </w:tcPr>
          <w:p w14:paraId="401F6516" w14:textId="77777777" w:rsidR="003872EA" w:rsidRPr="00280CA1" w:rsidRDefault="003872EA">
            <w:pPr>
              <w:pStyle w:val="08-Tabelageral"/>
              <w:ind w:left="113"/>
              <w:jc w:val="left"/>
            </w:pPr>
            <w:r w:rsidRPr="00581FB5">
              <w:rPr>
                <w:lang w:val="en-US"/>
              </w:rPr>
              <w:t>Fair Value Reversal</w:t>
            </w:r>
            <w:r>
              <w:rPr>
                <w:lang w:val="en-US"/>
              </w:rPr>
              <w:t xml:space="preserve"> - LFT</w:t>
            </w:r>
          </w:p>
        </w:tc>
        <w:tc>
          <w:tcPr>
            <w:tcW w:w="313" w:type="pct"/>
            <w:shd w:val="clear" w:color="auto" w:fill="auto"/>
          </w:tcPr>
          <w:p w14:paraId="0F75D7E2" w14:textId="77777777" w:rsidR="003872EA" w:rsidRPr="00280CA1" w:rsidRDefault="003872EA">
            <w:pPr>
              <w:pStyle w:val="08-Tabelageral"/>
              <w:ind w:left="113"/>
              <w:jc w:val="center"/>
              <w:rPr>
                <w:rFonts w:cs="Arial"/>
                <w:szCs w:val="14"/>
              </w:rPr>
            </w:pPr>
          </w:p>
        </w:tc>
        <w:tc>
          <w:tcPr>
            <w:tcW w:w="732" w:type="pct"/>
            <w:shd w:val="clear" w:color="auto" w:fill="auto"/>
            <w:vAlign w:val="center"/>
          </w:tcPr>
          <w:p w14:paraId="36E7B93E" w14:textId="77777777" w:rsidR="003872EA" w:rsidRPr="00280CA1" w:rsidRDefault="003872EA">
            <w:pPr>
              <w:pStyle w:val="08-Tabelageral"/>
            </w:pPr>
            <w:r>
              <w:t>--</w:t>
            </w:r>
          </w:p>
        </w:tc>
        <w:tc>
          <w:tcPr>
            <w:tcW w:w="732" w:type="pct"/>
            <w:shd w:val="clear" w:color="auto" w:fill="auto"/>
            <w:vAlign w:val="center"/>
          </w:tcPr>
          <w:p w14:paraId="72BA4594" w14:textId="77777777" w:rsidR="003872EA" w:rsidRPr="00280CA1" w:rsidRDefault="003872EA">
            <w:pPr>
              <w:pStyle w:val="08-Tabelageral"/>
            </w:pPr>
            <w:r>
              <w:t>--</w:t>
            </w:r>
          </w:p>
        </w:tc>
        <w:tc>
          <w:tcPr>
            <w:tcW w:w="147" w:type="pct"/>
            <w:shd w:val="clear" w:color="auto" w:fill="auto"/>
            <w:vAlign w:val="center"/>
          </w:tcPr>
          <w:p w14:paraId="6F0C3899" w14:textId="77777777" w:rsidR="003872EA" w:rsidRPr="00280CA1" w:rsidRDefault="003872EA">
            <w:pPr>
              <w:pStyle w:val="08-Tabelageral"/>
            </w:pPr>
          </w:p>
        </w:tc>
        <w:tc>
          <w:tcPr>
            <w:tcW w:w="735" w:type="pct"/>
            <w:shd w:val="clear" w:color="auto" w:fill="auto"/>
            <w:vAlign w:val="center"/>
          </w:tcPr>
          <w:p w14:paraId="42E42CE9" w14:textId="77777777" w:rsidR="003872EA" w:rsidRPr="00280CA1" w:rsidRDefault="003872EA">
            <w:pPr>
              <w:pStyle w:val="08-Tabelageral"/>
            </w:pPr>
            <w:r>
              <w:t>(1,038)</w:t>
            </w:r>
          </w:p>
        </w:tc>
        <w:tc>
          <w:tcPr>
            <w:tcW w:w="736" w:type="pct"/>
            <w:shd w:val="clear" w:color="auto" w:fill="auto"/>
            <w:vAlign w:val="center"/>
          </w:tcPr>
          <w:p w14:paraId="469BACB4" w14:textId="77777777" w:rsidR="003872EA" w:rsidRPr="00280CA1" w:rsidRDefault="003872EA">
            <w:pPr>
              <w:pStyle w:val="08-Tabelageral"/>
            </w:pPr>
            <w:r>
              <w:t>(1,097)</w:t>
            </w:r>
          </w:p>
        </w:tc>
      </w:tr>
      <w:tr w:rsidR="003872EA" w:rsidRPr="00280CA1" w14:paraId="6CBEF68C" w14:textId="77777777">
        <w:trPr>
          <w:trHeight w:val="238"/>
        </w:trPr>
        <w:tc>
          <w:tcPr>
            <w:tcW w:w="1605" w:type="pct"/>
            <w:shd w:val="clear" w:color="auto" w:fill="auto"/>
            <w:vAlign w:val="center"/>
          </w:tcPr>
          <w:p w14:paraId="1321071A" w14:textId="77777777" w:rsidR="003872EA" w:rsidRPr="00280CA1" w:rsidRDefault="003872EA">
            <w:pPr>
              <w:pStyle w:val="08-Tabelageral"/>
              <w:ind w:left="113"/>
              <w:jc w:val="left"/>
            </w:pPr>
            <w:r w:rsidRPr="00581FB5">
              <w:rPr>
                <w:lang w:val="en-US"/>
              </w:rPr>
              <w:t>Monetary Variation</w:t>
            </w:r>
          </w:p>
        </w:tc>
        <w:tc>
          <w:tcPr>
            <w:tcW w:w="313" w:type="pct"/>
            <w:shd w:val="clear" w:color="auto" w:fill="auto"/>
          </w:tcPr>
          <w:p w14:paraId="751A287D" w14:textId="77777777" w:rsidR="003872EA" w:rsidRPr="00280CA1" w:rsidRDefault="003872EA">
            <w:pPr>
              <w:pStyle w:val="08-Tabelageral"/>
              <w:ind w:left="113"/>
              <w:jc w:val="center"/>
              <w:rPr>
                <w:rFonts w:cs="Arial"/>
                <w:szCs w:val="14"/>
              </w:rPr>
            </w:pPr>
          </w:p>
        </w:tc>
        <w:tc>
          <w:tcPr>
            <w:tcW w:w="732" w:type="pct"/>
            <w:shd w:val="clear" w:color="auto" w:fill="auto"/>
            <w:vAlign w:val="center"/>
          </w:tcPr>
          <w:p w14:paraId="07903E85" w14:textId="77777777" w:rsidR="003872EA" w:rsidRPr="00280CA1" w:rsidRDefault="003872EA">
            <w:pPr>
              <w:pStyle w:val="08-Tabelageral"/>
            </w:pPr>
            <w:r>
              <w:t>(11)</w:t>
            </w:r>
          </w:p>
        </w:tc>
        <w:tc>
          <w:tcPr>
            <w:tcW w:w="732" w:type="pct"/>
            <w:shd w:val="clear" w:color="auto" w:fill="auto"/>
            <w:vAlign w:val="center"/>
          </w:tcPr>
          <w:p w14:paraId="43BB3894" w14:textId="77777777" w:rsidR="003872EA" w:rsidRPr="00280CA1" w:rsidRDefault="003872EA">
            <w:pPr>
              <w:pStyle w:val="08-Tabelageral"/>
            </w:pPr>
            <w:r>
              <w:t>--</w:t>
            </w:r>
          </w:p>
        </w:tc>
        <w:tc>
          <w:tcPr>
            <w:tcW w:w="147" w:type="pct"/>
            <w:shd w:val="clear" w:color="auto" w:fill="auto"/>
            <w:vAlign w:val="center"/>
          </w:tcPr>
          <w:p w14:paraId="00764B74" w14:textId="77777777" w:rsidR="003872EA" w:rsidRPr="00280CA1" w:rsidRDefault="003872EA">
            <w:pPr>
              <w:pStyle w:val="08-Tabelageral"/>
            </w:pPr>
          </w:p>
        </w:tc>
        <w:tc>
          <w:tcPr>
            <w:tcW w:w="735" w:type="pct"/>
            <w:shd w:val="clear" w:color="auto" w:fill="auto"/>
            <w:vAlign w:val="center"/>
          </w:tcPr>
          <w:p w14:paraId="553951C5" w14:textId="77777777" w:rsidR="003872EA" w:rsidRPr="00280CA1" w:rsidRDefault="003872EA">
            <w:pPr>
              <w:pStyle w:val="08-Tabelageral"/>
            </w:pPr>
            <w:r>
              <w:t>(11)</w:t>
            </w:r>
          </w:p>
        </w:tc>
        <w:tc>
          <w:tcPr>
            <w:tcW w:w="736" w:type="pct"/>
            <w:shd w:val="clear" w:color="auto" w:fill="auto"/>
            <w:vAlign w:val="center"/>
          </w:tcPr>
          <w:p w14:paraId="1302C7FD" w14:textId="77777777" w:rsidR="003872EA" w:rsidRPr="00280CA1" w:rsidRDefault="003872EA">
            <w:pPr>
              <w:pStyle w:val="08-Tabelageral"/>
            </w:pPr>
            <w:r>
              <w:t>--</w:t>
            </w:r>
          </w:p>
        </w:tc>
      </w:tr>
      <w:tr w:rsidR="003872EA" w:rsidRPr="00280CA1" w14:paraId="6DAA1D9C" w14:textId="77777777">
        <w:trPr>
          <w:trHeight w:val="238"/>
        </w:trPr>
        <w:tc>
          <w:tcPr>
            <w:tcW w:w="1605" w:type="pct"/>
            <w:tcBorders>
              <w:bottom w:val="single" w:sz="2" w:space="0" w:color="1F3864" w:themeColor="accent1" w:themeShade="80"/>
            </w:tcBorders>
            <w:shd w:val="clear" w:color="auto" w:fill="auto"/>
            <w:vAlign w:val="center"/>
          </w:tcPr>
          <w:p w14:paraId="75053731" w14:textId="77777777" w:rsidR="003872EA" w:rsidRPr="00280CA1" w:rsidRDefault="003872EA">
            <w:pPr>
              <w:pStyle w:val="08-Tabelageral"/>
              <w:jc w:val="left"/>
              <w:rPr>
                <w:b/>
              </w:rPr>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shd w:val="clear" w:color="auto" w:fill="auto"/>
          </w:tcPr>
          <w:p w14:paraId="64234703" w14:textId="77777777" w:rsidR="003872EA" w:rsidRPr="00280CA1" w:rsidRDefault="003872EA">
            <w:pPr>
              <w:pStyle w:val="08-Tabelageral"/>
              <w:jc w:val="center"/>
              <w:rPr>
                <w:rFonts w:cs="Arial"/>
                <w:b/>
                <w:szCs w:val="14"/>
              </w:rPr>
            </w:pPr>
          </w:p>
        </w:tc>
        <w:tc>
          <w:tcPr>
            <w:tcW w:w="732" w:type="pct"/>
            <w:tcBorders>
              <w:bottom w:val="single" w:sz="2" w:space="0" w:color="1F3864" w:themeColor="accent1" w:themeShade="80"/>
            </w:tcBorders>
            <w:shd w:val="clear" w:color="auto" w:fill="auto"/>
            <w:vAlign w:val="center"/>
          </w:tcPr>
          <w:p w14:paraId="386833CE" w14:textId="77777777" w:rsidR="003872EA" w:rsidRPr="00280CA1" w:rsidRDefault="003872EA">
            <w:pPr>
              <w:pStyle w:val="08-Tabelageral"/>
              <w:rPr>
                <w:b/>
              </w:rPr>
            </w:pPr>
            <w:r>
              <w:rPr>
                <w:b/>
              </w:rPr>
              <w:t>48,021</w:t>
            </w:r>
          </w:p>
        </w:tc>
        <w:tc>
          <w:tcPr>
            <w:tcW w:w="732" w:type="pct"/>
            <w:tcBorders>
              <w:bottom w:val="single" w:sz="2" w:space="0" w:color="1F3864" w:themeColor="accent1" w:themeShade="80"/>
            </w:tcBorders>
            <w:shd w:val="clear" w:color="auto" w:fill="auto"/>
            <w:vAlign w:val="center"/>
          </w:tcPr>
          <w:p w14:paraId="10982707" w14:textId="77777777" w:rsidR="003872EA" w:rsidRPr="00280CA1" w:rsidRDefault="003872EA">
            <w:pPr>
              <w:pStyle w:val="08-Tabelageral"/>
              <w:rPr>
                <w:b/>
              </w:rPr>
            </w:pPr>
            <w:r>
              <w:rPr>
                <w:b/>
              </w:rPr>
              <w:t>51,039</w:t>
            </w:r>
          </w:p>
        </w:tc>
        <w:tc>
          <w:tcPr>
            <w:tcW w:w="147" w:type="pct"/>
            <w:tcBorders>
              <w:bottom w:val="single" w:sz="2" w:space="0" w:color="1F3864" w:themeColor="accent1" w:themeShade="80"/>
            </w:tcBorders>
            <w:shd w:val="clear" w:color="auto" w:fill="auto"/>
            <w:vAlign w:val="center"/>
          </w:tcPr>
          <w:p w14:paraId="381DEC12" w14:textId="77777777" w:rsidR="003872EA" w:rsidRPr="00280CA1" w:rsidRDefault="003872EA">
            <w:pPr>
              <w:pStyle w:val="08-Tabelageral"/>
              <w:rPr>
                <w:b/>
              </w:rPr>
            </w:pPr>
          </w:p>
        </w:tc>
        <w:tc>
          <w:tcPr>
            <w:tcW w:w="735" w:type="pct"/>
            <w:tcBorders>
              <w:bottom w:val="single" w:sz="2" w:space="0" w:color="1F3864" w:themeColor="accent1" w:themeShade="80"/>
            </w:tcBorders>
            <w:shd w:val="clear" w:color="auto" w:fill="auto"/>
            <w:vAlign w:val="center"/>
          </w:tcPr>
          <w:p w14:paraId="6EF62EAD" w14:textId="77777777" w:rsidR="003872EA" w:rsidRPr="00280CA1" w:rsidRDefault="003872EA">
            <w:pPr>
              <w:pStyle w:val="08-Tabelageral"/>
              <w:rPr>
                <w:b/>
              </w:rPr>
            </w:pPr>
            <w:r>
              <w:rPr>
                <w:b/>
              </w:rPr>
              <w:t>653,722</w:t>
            </w:r>
          </w:p>
        </w:tc>
        <w:tc>
          <w:tcPr>
            <w:tcW w:w="736" w:type="pct"/>
            <w:tcBorders>
              <w:bottom w:val="single" w:sz="2" w:space="0" w:color="1F3864" w:themeColor="accent1" w:themeShade="80"/>
            </w:tcBorders>
            <w:shd w:val="clear" w:color="auto" w:fill="auto"/>
            <w:vAlign w:val="center"/>
          </w:tcPr>
          <w:p w14:paraId="75698F44" w14:textId="77777777" w:rsidR="003872EA" w:rsidRPr="00280CA1" w:rsidRDefault="003872EA">
            <w:pPr>
              <w:pStyle w:val="08-Tabelageral"/>
              <w:rPr>
                <w:b/>
              </w:rPr>
            </w:pPr>
            <w:r>
              <w:rPr>
                <w:b/>
              </w:rPr>
              <w:t>587,545</w:t>
            </w:r>
          </w:p>
        </w:tc>
      </w:tr>
    </w:tbl>
    <w:p w14:paraId="5E8EF602" w14:textId="3E3470E6" w:rsidR="007D4AB0" w:rsidRPr="00432934" w:rsidRDefault="004725AE" w:rsidP="00F660A7">
      <w:pPr>
        <w:pStyle w:val="Ttulo1"/>
        <w:keepNext w:val="0"/>
        <w:keepLines w:val="0"/>
        <w:spacing w:line="259" w:lineRule="auto"/>
        <w:jc w:val="both"/>
        <w:rPr>
          <w:rFonts w:ascii="Arial" w:hAnsi="Arial" w:cs="Arial"/>
          <w:b/>
          <w:color w:val="1F3864" w:themeColor="accent1" w:themeShade="80"/>
          <w:sz w:val="20"/>
          <w:lang w:val="en-US"/>
        </w:rPr>
      </w:pPr>
      <w:bookmarkStart w:id="79" w:name="_Toc149573400"/>
      <w:bookmarkStart w:id="80" w:name="_Toc157446728"/>
      <w:bookmarkStart w:id="81" w:name="_Toc190680636"/>
      <w:r w:rsidRPr="004C5A7A">
        <w:rPr>
          <w:rFonts w:ascii="Arial" w:hAnsi="Arial" w:cs="Arial"/>
          <w:b/>
          <w:color w:val="1F3864" w:themeColor="accent1" w:themeShade="80"/>
          <w:sz w:val="20"/>
          <w:lang w:val="en-US"/>
        </w:rPr>
        <w:t>15 – CASH AND CASH EQUIVALENTS</w:t>
      </w:r>
      <w:bookmarkEnd w:id="79"/>
      <w:bookmarkEnd w:id="80"/>
      <w:bookmarkEnd w:id="81"/>
    </w:p>
    <w:p w14:paraId="68CD6349" w14:textId="77777777" w:rsidR="002E2E72" w:rsidRPr="00396B61" w:rsidRDefault="002E2E72" w:rsidP="002E2E72">
      <w:pPr>
        <w:spacing w:after="0"/>
        <w:jc w:val="right"/>
        <w:rPr>
          <w:rFonts w:ascii="Arial" w:hAnsi="Arial" w:cs="Arial"/>
          <w:b/>
          <w:sz w:val="14"/>
          <w:szCs w:val="14"/>
          <w:lang w:val="en-US" w:eastAsia="pt-BR"/>
        </w:rPr>
      </w:pPr>
      <w:r w:rsidRPr="00396B61">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2E2E72" w:rsidRPr="00BC7DA5" w14:paraId="44EB9269" w14:textId="77777777">
        <w:trPr>
          <w:trHeight w:val="238"/>
        </w:trPr>
        <w:tc>
          <w:tcPr>
            <w:tcW w:w="3261" w:type="dxa"/>
            <w:tcBorders>
              <w:top w:val="single" w:sz="2" w:space="0" w:color="1F3864" w:themeColor="accent1" w:themeShade="80"/>
              <w:bottom w:val="nil"/>
            </w:tcBorders>
            <w:shd w:val="clear" w:color="auto" w:fill="auto"/>
          </w:tcPr>
          <w:p w14:paraId="2A66CED9" w14:textId="77777777" w:rsidR="002E2E72" w:rsidRPr="00396B61" w:rsidRDefault="002E2E72">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shd w:val="clear" w:color="auto" w:fill="auto"/>
          </w:tcPr>
          <w:p w14:paraId="451A20D1" w14:textId="77777777" w:rsidR="002E2E72" w:rsidRPr="00396B61" w:rsidRDefault="002E2E72">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669BE6E" w14:textId="77777777" w:rsidR="002E2E72" w:rsidRPr="00BC7DA5" w:rsidRDefault="002E2E72">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shd w:val="clear" w:color="auto" w:fill="auto"/>
            <w:vAlign w:val="center"/>
          </w:tcPr>
          <w:p w14:paraId="71BB46E4" w14:textId="77777777" w:rsidR="002E2E72" w:rsidRPr="00BC7DA5" w:rsidRDefault="002E2E72">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389B9D3A" w14:textId="77777777" w:rsidR="002E2E72" w:rsidRPr="00BC7DA5" w:rsidRDefault="002E2E72">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2E2E72" w:rsidRPr="00BC7DA5" w14:paraId="234B41C9" w14:textId="77777777">
        <w:trPr>
          <w:trHeight w:val="238"/>
        </w:trPr>
        <w:tc>
          <w:tcPr>
            <w:tcW w:w="3261" w:type="dxa"/>
            <w:tcBorders>
              <w:top w:val="nil"/>
              <w:bottom w:val="single" w:sz="2" w:space="0" w:color="1F3864" w:themeColor="accent1" w:themeShade="80"/>
            </w:tcBorders>
            <w:shd w:val="clear" w:color="auto" w:fill="auto"/>
          </w:tcPr>
          <w:p w14:paraId="1C5CA5E8" w14:textId="77777777" w:rsidR="002E2E72" w:rsidRPr="00BC7DA5" w:rsidRDefault="002E2E72">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shd w:val="clear" w:color="auto" w:fill="auto"/>
          </w:tcPr>
          <w:p w14:paraId="29556E01" w14:textId="77777777" w:rsidR="002E2E72" w:rsidRPr="00BC7DA5" w:rsidRDefault="002E2E7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4D69E318" w14:textId="68166FAD" w:rsidR="002E2E72" w:rsidRPr="00BC7DA5" w:rsidRDefault="002E2E72">
            <w:pPr>
              <w:pStyle w:val="08-Tabelageral"/>
              <w:rPr>
                <w:rFonts w:cs="Arial"/>
                <w:b/>
              </w:rPr>
            </w:pPr>
            <w:r>
              <w:rPr>
                <w:rFonts w:cs="Arial"/>
                <w:b/>
              </w:rPr>
              <w:t>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7239FB8A" w14:textId="3FC7418D" w:rsidR="002E2E72" w:rsidRPr="00BC7DA5" w:rsidRDefault="002E2E72">
            <w:pPr>
              <w:pStyle w:val="08-Tabelageral"/>
              <w:rPr>
                <w:rFonts w:cs="Arial"/>
                <w:b/>
              </w:rPr>
            </w:pPr>
            <w:r>
              <w:rPr>
                <w:rFonts w:cs="Arial"/>
                <w:b/>
              </w:rPr>
              <w:t>2023</w:t>
            </w:r>
          </w:p>
        </w:tc>
        <w:tc>
          <w:tcPr>
            <w:tcW w:w="283" w:type="dxa"/>
            <w:tcBorders>
              <w:top w:val="nil"/>
              <w:bottom w:val="single" w:sz="2" w:space="0" w:color="1F3864" w:themeColor="accent1" w:themeShade="80"/>
            </w:tcBorders>
            <w:shd w:val="clear" w:color="auto" w:fill="auto"/>
            <w:vAlign w:val="center"/>
          </w:tcPr>
          <w:p w14:paraId="3573C595" w14:textId="77777777" w:rsidR="002E2E72" w:rsidRPr="00BC7DA5" w:rsidRDefault="002E2E7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56FC710" w14:textId="5A2A81CF" w:rsidR="002E2E72" w:rsidRPr="00BC7DA5" w:rsidRDefault="002E2E72">
            <w:pPr>
              <w:pStyle w:val="08-Tabelageral"/>
              <w:rPr>
                <w:rFonts w:cs="Arial"/>
                <w:b/>
                <w:vertAlign w:val="superscript"/>
              </w:rPr>
            </w:pPr>
            <w:r>
              <w:rPr>
                <w:rFonts w:cs="Arial"/>
                <w:b/>
              </w:rPr>
              <w:t>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C3473CD" w14:textId="2BC2B5E5" w:rsidR="002E2E72" w:rsidRPr="00BC7DA5" w:rsidRDefault="002E2E72">
            <w:pPr>
              <w:pStyle w:val="08-Tabelageral"/>
              <w:rPr>
                <w:rFonts w:cs="Arial"/>
                <w:b/>
                <w:vertAlign w:val="superscript"/>
              </w:rPr>
            </w:pPr>
            <w:r>
              <w:rPr>
                <w:rFonts w:cs="Arial"/>
                <w:b/>
              </w:rPr>
              <w:t>2023</w:t>
            </w:r>
          </w:p>
        </w:tc>
      </w:tr>
      <w:tr w:rsidR="002E2E72" w:rsidRPr="009D0C3F" w14:paraId="0EA79339" w14:textId="77777777">
        <w:trPr>
          <w:trHeight w:val="238"/>
        </w:trPr>
        <w:tc>
          <w:tcPr>
            <w:tcW w:w="3261" w:type="dxa"/>
            <w:tcBorders>
              <w:top w:val="single" w:sz="2" w:space="0" w:color="1F3864" w:themeColor="accent1" w:themeShade="80"/>
            </w:tcBorders>
            <w:shd w:val="clear" w:color="auto" w:fill="auto"/>
          </w:tcPr>
          <w:p w14:paraId="19278C58" w14:textId="77777777" w:rsidR="002E2E72" w:rsidRPr="00DB20DC" w:rsidRDefault="002E2E72">
            <w:pPr>
              <w:pStyle w:val="08-Tabelageral"/>
              <w:ind w:left="113"/>
              <w:jc w:val="left"/>
              <w:rPr>
                <w:b/>
              </w:rPr>
            </w:pPr>
            <w:r w:rsidRPr="00617D47">
              <w:t>Cash</w:t>
            </w:r>
          </w:p>
        </w:tc>
        <w:tc>
          <w:tcPr>
            <w:tcW w:w="437" w:type="dxa"/>
            <w:tcBorders>
              <w:top w:val="single" w:sz="2" w:space="0" w:color="1F3864" w:themeColor="accent1" w:themeShade="80"/>
              <w:bottom w:val="nil"/>
            </w:tcBorders>
            <w:shd w:val="clear" w:color="auto" w:fill="auto"/>
          </w:tcPr>
          <w:p w14:paraId="1D3FDB05" w14:textId="77777777" w:rsidR="002E2E72" w:rsidRPr="009D0C3F" w:rsidRDefault="002E2E72">
            <w:pPr>
              <w:pStyle w:val="08-Tabelageral"/>
              <w:rPr>
                <w:rFonts w:cs="Arial"/>
                <w:b/>
              </w:rPr>
            </w:pPr>
          </w:p>
        </w:tc>
        <w:tc>
          <w:tcPr>
            <w:tcW w:w="1411" w:type="dxa"/>
            <w:tcBorders>
              <w:top w:val="single" w:sz="2" w:space="0" w:color="9CC2E5" w:themeColor="accent5" w:themeTint="99"/>
              <w:bottom w:val="nil"/>
            </w:tcBorders>
          </w:tcPr>
          <w:p w14:paraId="35C21A7F" w14:textId="77777777" w:rsidR="002E2E72" w:rsidRPr="00A02918" w:rsidRDefault="002E2E72">
            <w:pPr>
              <w:pStyle w:val="08-Tabelageral"/>
            </w:pPr>
            <w:r w:rsidRPr="00FD7427">
              <w:t>47</w:t>
            </w:r>
            <w:r>
              <w:t>1</w:t>
            </w:r>
          </w:p>
        </w:tc>
        <w:tc>
          <w:tcPr>
            <w:tcW w:w="1412" w:type="dxa"/>
            <w:tcBorders>
              <w:top w:val="single" w:sz="2" w:space="0" w:color="9CC2E5" w:themeColor="accent5" w:themeTint="99"/>
              <w:bottom w:val="nil"/>
            </w:tcBorders>
          </w:tcPr>
          <w:p w14:paraId="727F3F25" w14:textId="77777777" w:rsidR="002E2E72" w:rsidRPr="00A02918" w:rsidRDefault="002E2E72">
            <w:pPr>
              <w:pStyle w:val="08-Tabelageral"/>
            </w:pPr>
            <w:r w:rsidRPr="00ED38A0">
              <w:t>4</w:t>
            </w:r>
            <w:r>
              <w:t>64</w:t>
            </w:r>
          </w:p>
        </w:tc>
        <w:tc>
          <w:tcPr>
            <w:tcW w:w="283" w:type="dxa"/>
            <w:tcBorders>
              <w:top w:val="single" w:sz="2" w:space="0" w:color="1F3864" w:themeColor="accent1" w:themeShade="80"/>
              <w:bottom w:val="nil"/>
            </w:tcBorders>
            <w:shd w:val="clear" w:color="auto" w:fill="auto"/>
            <w:vAlign w:val="center"/>
          </w:tcPr>
          <w:p w14:paraId="16A65373" w14:textId="77777777" w:rsidR="002E2E72" w:rsidRPr="009D0C3F" w:rsidRDefault="002E2E72">
            <w:pPr>
              <w:pStyle w:val="08-Tabelageral"/>
              <w:rPr>
                <w:rFonts w:cs="Arial"/>
                <w:b/>
              </w:rPr>
            </w:pPr>
          </w:p>
        </w:tc>
        <w:tc>
          <w:tcPr>
            <w:tcW w:w="1417" w:type="dxa"/>
            <w:tcBorders>
              <w:top w:val="single" w:sz="2" w:space="0" w:color="9CC2E5" w:themeColor="accent5" w:themeTint="99"/>
              <w:bottom w:val="nil"/>
            </w:tcBorders>
          </w:tcPr>
          <w:p w14:paraId="05DC1090" w14:textId="77777777" w:rsidR="002E2E72" w:rsidRPr="0057573E" w:rsidRDefault="002E2E72">
            <w:pPr>
              <w:pStyle w:val="08-Tabelageral"/>
            </w:pPr>
            <w:r>
              <w:t>5,301</w:t>
            </w:r>
          </w:p>
        </w:tc>
        <w:tc>
          <w:tcPr>
            <w:tcW w:w="1418" w:type="dxa"/>
            <w:tcBorders>
              <w:top w:val="single" w:sz="2" w:space="0" w:color="9CC2E5" w:themeColor="accent5" w:themeTint="99"/>
              <w:bottom w:val="nil"/>
            </w:tcBorders>
          </w:tcPr>
          <w:p w14:paraId="6674171D" w14:textId="77777777" w:rsidR="002E2E72" w:rsidRPr="0057573E" w:rsidRDefault="002E2E72">
            <w:pPr>
              <w:pStyle w:val="08-Tabelageral"/>
            </w:pPr>
            <w:r>
              <w:t>5,658</w:t>
            </w:r>
          </w:p>
        </w:tc>
      </w:tr>
      <w:tr w:rsidR="002E2E72" w:rsidRPr="00BC7DA5" w14:paraId="44A36C45" w14:textId="77777777">
        <w:trPr>
          <w:trHeight w:val="238"/>
        </w:trPr>
        <w:tc>
          <w:tcPr>
            <w:tcW w:w="3261" w:type="dxa"/>
            <w:tcBorders>
              <w:bottom w:val="nil"/>
            </w:tcBorders>
            <w:shd w:val="clear" w:color="auto" w:fill="auto"/>
          </w:tcPr>
          <w:p w14:paraId="4DC7A375" w14:textId="77777777" w:rsidR="002E2E72" w:rsidRPr="00DB20DC" w:rsidRDefault="002E2E72">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shd w:val="clear" w:color="auto" w:fill="auto"/>
          </w:tcPr>
          <w:p w14:paraId="7ED6B0B8" w14:textId="77777777" w:rsidR="002E2E72" w:rsidRPr="00BC7DA5" w:rsidRDefault="002E2E72">
            <w:pPr>
              <w:pStyle w:val="08-Tabelageral"/>
              <w:jc w:val="center"/>
              <w:rPr>
                <w:rFonts w:cs="Arial"/>
                <w:szCs w:val="14"/>
              </w:rPr>
            </w:pPr>
          </w:p>
        </w:tc>
        <w:tc>
          <w:tcPr>
            <w:tcW w:w="1411" w:type="dxa"/>
            <w:tcBorders>
              <w:top w:val="nil"/>
              <w:bottom w:val="nil"/>
            </w:tcBorders>
          </w:tcPr>
          <w:p w14:paraId="0D466E4B" w14:textId="77777777" w:rsidR="002E2E72" w:rsidRPr="00666448" w:rsidRDefault="002E2E72">
            <w:pPr>
              <w:pStyle w:val="08-Tabelageral"/>
            </w:pPr>
            <w:r w:rsidRPr="00FD7427">
              <w:t>33</w:t>
            </w:r>
            <w:r>
              <w:t>5,176</w:t>
            </w:r>
          </w:p>
        </w:tc>
        <w:tc>
          <w:tcPr>
            <w:tcW w:w="1412" w:type="dxa"/>
            <w:tcBorders>
              <w:top w:val="nil"/>
              <w:bottom w:val="nil"/>
            </w:tcBorders>
          </w:tcPr>
          <w:p w14:paraId="6201F901" w14:textId="77777777" w:rsidR="002E2E72" w:rsidRPr="00666448" w:rsidRDefault="002E2E72">
            <w:pPr>
              <w:pStyle w:val="08-Tabelageral"/>
            </w:pPr>
            <w:r>
              <w:t>644,606</w:t>
            </w:r>
          </w:p>
        </w:tc>
        <w:tc>
          <w:tcPr>
            <w:tcW w:w="283" w:type="dxa"/>
            <w:tcBorders>
              <w:top w:val="nil"/>
              <w:bottom w:val="nil"/>
            </w:tcBorders>
            <w:shd w:val="clear" w:color="auto" w:fill="auto"/>
            <w:vAlign w:val="center"/>
          </w:tcPr>
          <w:p w14:paraId="00BA7954" w14:textId="77777777" w:rsidR="002E2E72" w:rsidRPr="00BC7DA5" w:rsidRDefault="002E2E72">
            <w:pPr>
              <w:pStyle w:val="08-Tabelageral"/>
              <w:rPr>
                <w:rFonts w:cs="Arial"/>
                <w:szCs w:val="14"/>
              </w:rPr>
            </w:pPr>
          </w:p>
        </w:tc>
        <w:tc>
          <w:tcPr>
            <w:tcW w:w="1417" w:type="dxa"/>
            <w:tcBorders>
              <w:top w:val="nil"/>
              <w:bottom w:val="nil"/>
            </w:tcBorders>
          </w:tcPr>
          <w:p w14:paraId="0CCD3674" w14:textId="77777777" w:rsidR="002E2E72" w:rsidRPr="0057573E" w:rsidRDefault="002E2E72">
            <w:pPr>
              <w:pStyle w:val="08-Tabelageral"/>
            </w:pPr>
            <w:r>
              <w:t>7,784,574</w:t>
            </w:r>
          </w:p>
        </w:tc>
        <w:tc>
          <w:tcPr>
            <w:tcW w:w="1418" w:type="dxa"/>
            <w:tcBorders>
              <w:top w:val="nil"/>
              <w:bottom w:val="nil"/>
            </w:tcBorders>
          </w:tcPr>
          <w:p w14:paraId="37AEB6B1" w14:textId="77777777" w:rsidR="002E2E72" w:rsidRPr="0057573E" w:rsidRDefault="002E2E72">
            <w:pPr>
              <w:pStyle w:val="08-Tabelageral"/>
            </w:pPr>
            <w:r>
              <w:t>4,747,084</w:t>
            </w:r>
          </w:p>
        </w:tc>
      </w:tr>
      <w:tr w:rsidR="002E2E72" w:rsidRPr="00BC7DA5" w14:paraId="694F6711" w14:textId="77777777">
        <w:trPr>
          <w:trHeight w:val="238"/>
        </w:trPr>
        <w:tc>
          <w:tcPr>
            <w:tcW w:w="3261" w:type="dxa"/>
            <w:tcBorders>
              <w:top w:val="nil"/>
              <w:bottom w:val="single" w:sz="4" w:space="0" w:color="1F3864" w:themeColor="accent1" w:themeShade="80"/>
            </w:tcBorders>
            <w:shd w:val="clear" w:color="auto" w:fill="auto"/>
          </w:tcPr>
          <w:p w14:paraId="4C7D6BA2" w14:textId="77777777" w:rsidR="002E2E72" w:rsidRPr="0091717A" w:rsidRDefault="002E2E72">
            <w:pPr>
              <w:pStyle w:val="08-Tabelageral"/>
              <w:jc w:val="left"/>
              <w:rPr>
                <w:b/>
              </w:rPr>
            </w:pPr>
            <w:r w:rsidRPr="0091717A">
              <w:rPr>
                <w:b/>
              </w:rPr>
              <w:t xml:space="preserve">Total </w:t>
            </w:r>
          </w:p>
        </w:tc>
        <w:tc>
          <w:tcPr>
            <w:tcW w:w="437" w:type="dxa"/>
            <w:tcBorders>
              <w:top w:val="nil"/>
              <w:bottom w:val="single" w:sz="4" w:space="0" w:color="1F3864" w:themeColor="accent1" w:themeShade="80"/>
            </w:tcBorders>
            <w:shd w:val="clear" w:color="auto" w:fill="auto"/>
          </w:tcPr>
          <w:p w14:paraId="0296F428" w14:textId="77777777" w:rsidR="002E2E72" w:rsidRPr="00BC7DA5" w:rsidRDefault="002E2E72">
            <w:pPr>
              <w:pStyle w:val="08-Tabelageral"/>
              <w:jc w:val="center"/>
              <w:rPr>
                <w:rFonts w:cs="Arial"/>
                <w:szCs w:val="14"/>
              </w:rPr>
            </w:pPr>
          </w:p>
        </w:tc>
        <w:tc>
          <w:tcPr>
            <w:tcW w:w="1411" w:type="dxa"/>
            <w:tcBorders>
              <w:top w:val="nil"/>
              <w:bottom w:val="single" w:sz="4" w:space="0" w:color="1F3864" w:themeColor="accent1" w:themeShade="80"/>
            </w:tcBorders>
          </w:tcPr>
          <w:p w14:paraId="74214EE3" w14:textId="77777777" w:rsidR="002E2E72" w:rsidRPr="002D2193" w:rsidRDefault="002E2E72">
            <w:pPr>
              <w:pStyle w:val="08-Tabelageral"/>
              <w:rPr>
                <w:b/>
              </w:rPr>
            </w:pPr>
            <w:r w:rsidRPr="004E2EBF">
              <w:rPr>
                <w:b/>
                <w:bCs/>
              </w:rPr>
              <w:t>3</w:t>
            </w:r>
            <w:r>
              <w:rPr>
                <w:b/>
                <w:bCs/>
              </w:rPr>
              <w:t>35,647</w:t>
            </w:r>
          </w:p>
        </w:tc>
        <w:tc>
          <w:tcPr>
            <w:tcW w:w="1412" w:type="dxa"/>
            <w:tcBorders>
              <w:top w:val="nil"/>
              <w:bottom w:val="single" w:sz="4" w:space="0" w:color="1F3864" w:themeColor="accent1" w:themeShade="80"/>
            </w:tcBorders>
          </w:tcPr>
          <w:p w14:paraId="3CDC48B0" w14:textId="77777777" w:rsidR="002E2E72" w:rsidRPr="0091717A" w:rsidRDefault="002E2E72">
            <w:pPr>
              <w:pStyle w:val="08-Tabelageral"/>
              <w:rPr>
                <w:b/>
              </w:rPr>
            </w:pPr>
            <w:r>
              <w:rPr>
                <w:b/>
                <w:bCs/>
              </w:rPr>
              <w:t>645,070</w:t>
            </w:r>
          </w:p>
        </w:tc>
        <w:tc>
          <w:tcPr>
            <w:tcW w:w="283" w:type="dxa"/>
            <w:tcBorders>
              <w:top w:val="nil"/>
              <w:bottom w:val="single" w:sz="4" w:space="0" w:color="1F3864" w:themeColor="accent1" w:themeShade="80"/>
            </w:tcBorders>
            <w:shd w:val="clear" w:color="auto" w:fill="auto"/>
            <w:vAlign w:val="center"/>
          </w:tcPr>
          <w:p w14:paraId="69DD59D5" w14:textId="77777777" w:rsidR="002E2E72" w:rsidRPr="00BC7DA5" w:rsidRDefault="002E2E72">
            <w:pPr>
              <w:pStyle w:val="08-Tabelageral"/>
              <w:rPr>
                <w:rFonts w:cs="Arial"/>
                <w:szCs w:val="14"/>
              </w:rPr>
            </w:pPr>
          </w:p>
        </w:tc>
        <w:tc>
          <w:tcPr>
            <w:tcW w:w="1417" w:type="dxa"/>
            <w:tcBorders>
              <w:top w:val="nil"/>
              <w:bottom w:val="single" w:sz="4" w:space="0" w:color="1F3864" w:themeColor="accent1" w:themeShade="80"/>
            </w:tcBorders>
          </w:tcPr>
          <w:p w14:paraId="6BCC2EAC" w14:textId="77777777" w:rsidR="002E2E72" w:rsidRPr="002D2193" w:rsidRDefault="002E2E72">
            <w:pPr>
              <w:pStyle w:val="08-Tabelageral"/>
              <w:rPr>
                <w:b/>
              </w:rPr>
            </w:pPr>
            <w:r>
              <w:rPr>
                <w:b/>
                <w:bCs/>
              </w:rPr>
              <w:t>7,789,875</w:t>
            </w:r>
          </w:p>
        </w:tc>
        <w:tc>
          <w:tcPr>
            <w:tcW w:w="1418" w:type="dxa"/>
            <w:tcBorders>
              <w:top w:val="nil"/>
              <w:bottom w:val="single" w:sz="4" w:space="0" w:color="1F3864" w:themeColor="accent1" w:themeShade="80"/>
            </w:tcBorders>
          </w:tcPr>
          <w:p w14:paraId="132764B6" w14:textId="77777777" w:rsidR="002E2E72" w:rsidRPr="0091717A" w:rsidRDefault="002E2E72">
            <w:pPr>
              <w:pStyle w:val="08-Tabelageral"/>
              <w:rPr>
                <w:b/>
              </w:rPr>
            </w:pPr>
            <w:r>
              <w:rPr>
                <w:b/>
                <w:bCs/>
              </w:rPr>
              <w:t>4,752,742</w:t>
            </w:r>
          </w:p>
        </w:tc>
      </w:tr>
    </w:tbl>
    <w:p w14:paraId="2631E5EC" w14:textId="77777777" w:rsidR="002E2E72" w:rsidRPr="00396B61" w:rsidRDefault="002E2E72" w:rsidP="00A76AF4">
      <w:pPr>
        <w:pStyle w:val="07-Legenda"/>
        <w:numPr>
          <w:ilvl w:val="0"/>
          <w:numId w:val="9"/>
        </w:numPr>
        <w:tabs>
          <w:tab w:val="left" w:pos="0"/>
        </w:tabs>
        <w:ind w:left="284" w:hanging="284"/>
        <w:rPr>
          <w:rFonts w:cs="Arial"/>
          <w:snapToGrid w:val="0"/>
          <w:lang w:val="en-US"/>
        </w:rPr>
      </w:pPr>
      <w:r w:rsidRPr="00396B61">
        <w:rPr>
          <w:rFonts w:cs="Arial"/>
          <w:snapToGrid w:val="0"/>
          <w:lang w:val="en-US"/>
        </w:rPr>
        <w:t xml:space="preserve">Refers to investments in repurchase </w:t>
      </w:r>
      <w:proofErr w:type="spellStart"/>
      <w:r w:rsidRPr="00396B61">
        <w:rPr>
          <w:rFonts w:cs="Arial"/>
          <w:snapToGrid w:val="0"/>
          <w:lang w:val="en-US"/>
        </w:rPr>
        <w:t>agréments</w:t>
      </w:r>
      <w:proofErr w:type="spellEnd"/>
      <w:r w:rsidRPr="00396B61">
        <w:rPr>
          <w:rFonts w:cs="Arial"/>
          <w:snapToGrid w:val="0"/>
          <w:lang w:val="en-US"/>
        </w:rPr>
        <w:t xml:space="preserve"> with Banco do </w:t>
      </w:r>
      <w:proofErr w:type="spellStart"/>
      <w:r w:rsidRPr="00396B61">
        <w:rPr>
          <w:rFonts w:cs="Arial"/>
          <w:snapToGrid w:val="0"/>
          <w:lang w:val="en-US"/>
        </w:rPr>
        <w:t>Brasil</w:t>
      </w:r>
      <w:proofErr w:type="spellEnd"/>
      <w:r w:rsidRPr="00396B61">
        <w:rPr>
          <w:rFonts w:cs="Arial"/>
          <w:snapToGrid w:val="0"/>
          <w:lang w:val="en-US"/>
        </w:rPr>
        <w:t xml:space="preserve"> S.A., backed by federal </w:t>
      </w:r>
      <w:proofErr w:type="spellStart"/>
      <w:r w:rsidRPr="00396B61">
        <w:rPr>
          <w:rFonts w:cs="Arial"/>
          <w:snapToGrid w:val="0"/>
          <w:lang w:val="en-US"/>
        </w:rPr>
        <w:t>govermment</w:t>
      </w:r>
      <w:proofErr w:type="spellEnd"/>
      <w:r w:rsidRPr="00396B61">
        <w:rPr>
          <w:rFonts w:cs="Arial"/>
          <w:snapToGrid w:val="0"/>
          <w:lang w:val="en-US"/>
        </w:rPr>
        <w:t xml:space="preserve"> securities with daily liquidity and </w:t>
      </w:r>
      <w:proofErr w:type="spellStart"/>
      <w:r w:rsidRPr="00396B61">
        <w:rPr>
          <w:rFonts w:cs="Arial"/>
          <w:snapToGrid w:val="0"/>
          <w:lang w:val="en-US"/>
        </w:rPr>
        <w:t>insignificante</w:t>
      </w:r>
      <w:proofErr w:type="spellEnd"/>
      <w:r w:rsidRPr="00396B61">
        <w:rPr>
          <w:rFonts w:cs="Arial"/>
          <w:snapToGrid w:val="0"/>
          <w:lang w:val="en-US"/>
        </w:rPr>
        <w:t xml:space="preserve"> risk of change in fair value. </w:t>
      </w:r>
    </w:p>
    <w:p w14:paraId="634E540B" w14:textId="77777777" w:rsidR="002E2E72" w:rsidRDefault="002E2E72" w:rsidP="002E2E72">
      <w:pPr>
        <w:pStyle w:val="05-Textonormal"/>
        <w:rPr>
          <w:lang w:val="en-US"/>
        </w:rPr>
      </w:pPr>
      <w:r w:rsidRPr="00F65F9C">
        <w:rPr>
          <w:lang w:val="en-US"/>
        </w:rPr>
        <w:t>The financial investments in repurchase agreements are categorized as financial assets at fair value through profit or loss and level 1 in the fair value hierarchy.</w:t>
      </w:r>
    </w:p>
    <w:p w14:paraId="75378DBA" w14:textId="77777777" w:rsidR="00803F80" w:rsidRPr="0085406F" w:rsidRDefault="00803F80" w:rsidP="00803F80">
      <w:pPr>
        <w:pStyle w:val="Ttulo1"/>
        <w:rPr>
          <w:rFonts w:ascii="Arial" w:hAnsi="Arial" w:cs="Arial"/>
          <w:b/>
          <w:color w:val="1F3864" w:themeColor="accent1" w:themeShade="80"/>
          <w:sz w:val="20"/>
          <w:szCs w:val="20"/>
        </w:rPr>
      </w:pPr>
      <w:bookmarkStart w:id="82" w:name="OLE_LINK9"/>
      <w:bookmarkStart w:id="83" w:name="_Toc190680637"/>
      <w:r>
        <w:rPr>
          <w:rFonts w:ascii="Arial" w:hAnsi="Arial" w:cs="Arial"/>
          <w:b/>
          <w:color w:val="1F3864" w:themeColor="accent1" w:themeShade="80"/>
          <w:sz w:val="20"/>
          <w:szCs w:val="20"/>
        </w:rPr>
        <w:t>16</w:t>
      </w:r>
      <w:r w:rsidRPr="00872C21">
        <w:rPr>
          <w:rFonts w:ascii="Arial" w:hAnsi="Arial" w:cs="Arial"/>
          <w:b/>
          <w:color w:val="1F3864" w:themeColor="accent1" w:themeShade="80"/>
          <w:sz w:val="20"/>
          <w:szCs w:val="20"/>
        </w:rPr>
        <w:t xml:space="preserve"> – </w:t>
      </w:r>
      <w:r>
        <w:rPr>
          <w:rFonts w:ascii="Arial" w:hAnsi="Arial" w:cs="Arial"/>
          <w:b/>
          <w:color w:val="1F3864" w:themeColor="accent1" w:themeShade="80"/>
          <w:sz w:val="20"/>
          <w:szCs w:val="20"/>
        </w:rPr>
        <w:t xml:space="preserve">FINANCIAL </w:t>
      </w:r>
      <w:r w:rsidRPr="00872C21">
        <w:rPr>
          <w:rFonts w:ascii="Arial" w:hAnsi="Arial" w:cs="Arial"/>
          <w:b/>
          <w:color w:val="1F3864" w:themeColor="accent1" w:themeShade="80"/>
          <w:sz w:val="20"/>
          <w:szCs w:val="20"/>
        </w:rPr>
        <w:t>INSTRUMENT</w:t>
      </w:r>
      <w:r>
        <w:rPr>
          <w:rFonts w:ascii="Arial" w:hAnsi="Arial" w:cs="Arial"/>
          <w:b/>
          <w:color w:val="1F3864" w:themeColor="accent1" w:themeShade="80"/>
          <w:sz w:val="20"/>
          <w:szCs w:val="20"/>
        </w:rPr>
        <w:t>S</w:t>
      </w:r>
      <w:bookmarkEnd w:id="83"/>
      <w:r w:rsidRPr="00872C21">
        <w:rPr>
          <w:rFonts w:ascii="Arial" w:hAnsi="Arial" w:cs="Arial"/>
          <w:b/>
          <w:color w:val="1F3864" w:themeColor="accent1" w:themeShade="80"/>
          <w:sz w:val="20"/>
          <w:szCs w:val="20"/>
        </w:rPr>
        <w:t xml:space="preserve"> </w:t>
      </w:r>
    </w:p>
    <w:p w14:paraId="6F450211" w14:textId="77777777" w:rsidR="00803F80" w:rsidRPr="00B245C8" w:rsidRDefault="00803F80" w:rsidP="00A76AF4">
      <w:pPr>
        <w:pStyle w:val="05-Textonormal"/>
        <w:numPr>
          <w:ilvl w:val="0"/>
          <w:numId w:val="11"/>
        </w:numPr>
        <w:rPr>
          <w:b/>
          <w:color w:val="1F3864" w:themeColor="accent1" w:themeShade="80"/>
          <w:lang w:val="en-US"/>
        </w:rPr>
      </w:pPr>
      <w:bookmarkStart w:id="84" w:name="_Hlk181031695"/>
      <w:r w:rsidRPr="00B245C8">
        <w:rPr>
          <w:b/>
          <w:color w:val="1F3864" w:themeColor="accent1" w:themeShade="80"/>
          <w:lang w:val="en-US"/>
        </w:rPr>
        <w:t xml:space="preserve">Financial Assets at Fair Value through Profit or Loss </w:t>
      </w:r>
    </w:p>
    <w:p w14:paraId="456D3CCA" w14:textId="77777777" w:rsidR="00803F80" w:rsidRDefault="00803F80" w:rsidP="00803F80">
      <w:pPr>
        <w:pStyle w:val="08-Tabelageral"/>
        <w:spacing w:before="0" w:after="0"/>
        <w:rPr>
          <w:rFonts w:cs="Arial"/>
        </w:rPr>
      </w:pPr>
      <w:bookmarkStart w:id="85"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803F80" w:rsidRPr="00F80522" w14:paraId="665CB36E" w14:textId="77777777">
        <w:trPr>
          <w:trHeight w:val="238"/>
        </w:trPr>
        <w:tc>
          <w:tcPr>
            <w:tcW w:w="2268" w:type="dxa"/>
            <w:tcBorders>
              <w:top w:val="single" w:sz="2" w:space="0" w:color="1F3864" w:themeColor="accent1" w:themeShade="80"/>
              <w:bottom w:val="single" w:sz="2" w:space="0" w:color="1F3864" w:themeColor="accent1" w:themeShade="80"/>
            </w:tcBorders>
            <w:shd w:val="clear" w:color="auto" w:fill="auto"/>
          </w:tcPr>
          <w:p w14:paraId="0AC1D98B" w14:textId="77777777" w:rsidR="00803F80" w:rsidRPr="00F80522" w:rsidRDefault="00803F80">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shd w:val="clear" w:color="auto" w:fill="auto"/>
            <w:vAlign w:val="center"/>
          </w:tcPr>
          <w:p w14:paraId="49C359E6" w14:textId="77777777" w:rsidR="00803F80" w:rsidRPr="00F80522" w:rsidRDefault="00803F80">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803F80" w:rsidRPr="00F80522" w14:paraId="3B0A8750" w14:textId="77777777">
        <w:trPr>
          <w:trHeight w:val="238"/>
        </w:trPr>
        <w:tc>
          <w:tcPr>
            <w:tcW w:w="2268" w:type="dxa"/>
            <w:tcBorders>
              <w:top w:val="single" w:sz="2" w:space="0" w:color="1F3864" w:themeColor="accent1" w:themeShade="80"/>
            </w:tcBorders>
            <w:shd w:val="clear" w:color="auto" w:fill="auto"/>
          </w:tcPr>
          <w:p w14:paraId="0D5C6BDD" w14:textId="77777777" w:rsidR="00803F80" w:rsidRPr="00F80522" w:rsidRDefault="00803F80">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shd w:val="clear" w:color="auto" w:fill="auto"/>
            <w:vAlign w:val="center"/>
          </w:tcPr>
          <w:p w14:paraId="2DA2BC27" w14:textId="5ED011BD" w:rsidR="00803F80" w:rsidRPr="00F80522" w:rsidRDefault="00665D9A">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00803F80">
              <w:rPr>
                <w:rFonts w:ascii="Arial" w:hAnsi="Arial" w:cs="Arial"/>
                <w:b/>
                <w:sz w:val="14"/>
                <w:szCs w:val="14"/>
              </w:rPr>
              <w:t>2023</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718E6DA" w14:textId="77777777" w:rsidR="00803F80" w:rsidRPr="00F80522" w:rsidRDefault="00803F8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15D2C5B" w14:textId="77777777" w:rsidR="00803F80" w:rsidRPr="00F80522" w:rsidRDefault="00803F8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1E7BA63B" w14:textId="77777777" w:rsidR="00803F80" w:rsidRPr="00F80522" w:rsidRDefault="00803F80">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shd w:val="clear" w:color="auto" w:fill="auto"/>
            <w:vAlign w:val="center"/>
          </w:tcPr>
          <w:p w14:paraId="08A4F2FD" w14:textId="74A16B81" w:rsidR="00803F80" w:rsidRPr="00F80522" w:rsidRDefault="00665D9A">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00803F80">
              <w:rPr>
                <w:rFonts w:ascii="Arial" w:hAnsi="Arial" w:cs="Arial"/>
                <w:b/>
                <w:sz w:val="14"/>
                <w:szCs w:val="14"/>
              </w:rPr>
              <w:t>2024</w:t>
            </w:r>
          </w:p>
        </w:tc>
      </w:tr>
      <w:tr w:rsidR="00803F80" w:rsidRPr="00F80522" w14:paraId="579DD604" w14:textId="77777777">
        <w:trPr>
          <w:trHeight w:val="238"/>
        </w:trPr>
        <w:tc>
          <w:tcPr>
            <w:tcW w:w="2268" w:type="dxa"/>
            <w:tcBorders>
              <w:bottom w:val="single" w:sz="2" w:space="0" w:color="1F3864" w:themeColor="accent1" w:themeShade="80"/>
            </w:tcBorders>
            <w:shd w:val="clear" w:color="auto" w:fill="auto"/>
          </w:tcPr>
          <w:p w14:paraId="1DF5D2C5" w14:textId="77777777" w:rsidR="00803F80" w:rsidRPr="00F80522" w:rsidRDefault="00803F80">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shd w:val="clear" w:color="auto" w:fill="auto"/>
            <w:vAlign w:val="center"/>
          </w:tcPr>
          <w:p w14:paraId="7AA386B6" w14:textId="77777777" w:rsidR="00803F80" w:rsidRPr="00F80522" w:rsidRDefault="00803F80">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6E73E854" w14:textId="77777777" w:rsidR="00803F80" w:rsidRPr="00F80522" w:rsidRDefault="00803F80">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FA4D43A" w14:textId="77777777" w:rsidR="00803F80" w:rsidRPr="00F80522" w:rsidRDefault="00803F80">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16E9CB3" w14:textId="77777777" w:rsidR="00803F80" w:rsidRPr="00F80522" w:rsidRDefault="00803F80">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B7E3A99" w14:textId="77777777" w:rsidR="00803F80" w:rsidRPr="00F80522" w:rsidRDefault="00803F80">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249AC292" w14:textId="77777777" w:rsidR="00803F80" w:rsidRPr="00F80522" w:rsidRDefault="00803F80">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60271D59" w14:textId="77777777" w:rsidR="00803F80" w:rsidRPr="00F80522" w:rsidRDefault="00803F80">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803F80" w:rsidRPr="00F80522" w14:paraId="73ECA519" w14:textId="77777777">
        <w:trPr>
          <w:trHeight w:val="238"/>
        </w:trPr>
        <w:tc>
          <w:tcPr>
            <w:tcW w:w="2268" w:type="dxa"/>
            <w:tcBorders>
              <w:top w:val="single" w:sz="2" w:space="0" w:color="1F3864" w:themeColor="accent1" w:themeShade="80"/>
            </w:tcBorders>
            <w:shd w:val="clear" w:color="auto" w:fill="auto"/>
          </w:tcPr>
          <w:p w14:paraId="5D284CDD" w14:textId="77777777" w:rsidR="00803F80" w:rsidRPr="00F878D3" w:rsidRDefault="00803F80">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shd w:val="clear" w:color="auto" w:fill="auto"/>
            <w:vAlign w:val="bottom"/>
          </w:tcPr>
          <w:p w14:paraId="6E19AC53" w14:textId="77777777" w:rsidR="00803F80" w:rsidRPr="00F80522" w:rsidRDefault="00803F80">
            <w:pPr>
              <w:pStyle w:val="08-Tabelageral"/>
              <w:rPr>
                <w:szCs w:val="14"/>
              </w:rPr>
            </w:pPr>
            <w:r>
              <w:rPr>
                <w:rFonts w:cs="Arial"/>
                <w:color w:val="000000"/>
              </w:rPr>
              <w:t>15,019</w:t>
            </w:r>
          </w:p>
        </w:tc>
        <w:tc>
          <w:tcPr>
            <w:tcW w:w="992" w:type="dxa"/>
            <w:tcBorders>
              <w:top w:val="single" w:sz="2" w:space="0" w:color="1F3864" w:themeColor="accent1" w:themeShade="80"/>
              <w:left w:val="nil"/>
              <w:bottom w:val="nil"/>
              <w:right w:val="nil"/>
            </w:tcBorders>
            <w:shd w:val="clear" w:color="auto" w:fill="auto"/>
            <w:vAlign w:val="bottom"/>
          </w:tcPr>
          <w:p w14:paraId="69F4D786" w14:textId="77777777" w:rsidR="00803F80" w:rsidRPr="00F80522" w:rsidRDefault="00803F80">
            <w:pPr>
              <w:pStyle w:val="08-Tabelageral"/>
              <w:rPr>
                <w:szCs w:val="14"/>
              </w:rPr>
            </w:pPr>
            <w:r>
              <w:rPr>
                <w:rFonts w:cs="Arial"/>
              </w:rPr>
              <w:t>21,020</w:t>
            </w:r>
          </w:p>
        </w:tc>
        <w:tc>
          <w:tcPr>
            <w:tcW w:w="1134" w:type="dxa"/>
            <w:tcBorders>
              <w:top w:val="single" w:sz="2" w:space="0" w:color="1F3864" w:themeColor="accent1" w:themeShade="80"/>
              <w:left w:val="nil"/>
              <w:bottom w:val="nil"/>
              <w:right w:val="nil"/>
            </w:tcBorders>
            <w:shd w:val="clear" w:color="auto" w:fill="auto"/>
          </w:tcPr>
          <w:p w14:paraId="70FD14C1" w14:textId="77777777" w:rsidR="00803F80" w:rsidRPr="00F80522" w:rsidRDefault="00803F80">
            <w:pPr>
              <w:pStyle w:val="08-Tabelageral"/>
              <w:rPr>
                <w:szCs w:val="14"/>
              </w:rPr>
            </w:pPr>
            <w:r w:rsidRPr="00377F23">
              <w:t>4</w:t>
            </w:r>
            <w:r>
              <w:t>,</w:t>
            </w:r>
            <w:r w:rsidRPr="00377F23">
              <w:t>890</w:t>
            </w:r>
          </w:p>
        </w:tc>
        <w:tc>
          <w:tcPr>
            <w:tcW w:w="1134" w:type="dxa"/>
            <w:tcBorders>
              <w:top w:val="single" w:sz="2" w:space="0" w:color="1F3864" w:themeColor="accent1" w:themeShade="80"/>
              <w:left w:val="nil"/>
              <w:bottom w:val="nil"/>
              <w:right w:val="nil"/>
            </w:tcBorders>
            <w:shd w:val="clear" w:color="auto" w:fill="auto"/>
          </w:tcPr>
          <w:p w14:paraId="38123197" w14:textId="77777777" w:rsidR="00803F80" w:rsidRPr="00F80522" w:rsidRDefault="00803F80">
            <w:pPr>
              <w:pStyle w:val="08-Tabelageral"/>
              <w:rPr>
                <w:szCs w:val="14"/>
              </w:rPr>
            </w:pPr>
            <w:r>
              <w:t>(</w:t>
            </w:r>
            <w:r w:rsidRPr="00377F23">
              <w:t>1</w:t>
            </w:r>
            <w:r>
              <w:t>,</w:t>
            </w:r>
            <w:r w:rsidRPr="00377F23">
              <w:t>165</w:t>
            </w:r>
            <w:r>
              <w:t>)</w:t>
            </w:r>
          </w:p>
        </w:tc>
        <w:tc>
          <w:tcPr>
            <w:tcW w:w="1134" w:type="dxa"/>
            <w:tcBorders>
              <w:top w:val="single" w:sz="2" w:space="0" w:color="1F3864" w:themeColor="accent1" w:themeShade="80"/>
              <w:left w:val="nil"/>
              <w:bottom w:val="nil"/>
              <w:right w:val="nil"/>
            </w:tcBorders>
            <w:shd w:val="clear" w:color="auto" w:fill="auto"/>
          </w:tcPr>
          <w:p w14:paraId="2D0542E7" w14:textId="77777777" w:rsidR="00803F80" w:rsidRPr="00F80522" w:rsidRDefault="00803F80">
            <w:pPr>
              <w:pStyle w:val="08-Tabelageral"/>
              <w:rPr>
                <w:rFonts w:cs="Arial"/>
                <w:szCs w:val="14"/>
              </w:rPr>
            </w:pPr>
            <w:r>
              <w:t>2,735</w:t>
            </w:r>
          </w:p>
        </w:tc>
        <w:tc>
          <w:tcPr>
            <w:tcW w:w="992" w:type="dxa"/>
            <w:tcBorders>
              <w:top w:val="single" w:sz="2" w:space="0" w:color="1F3864" w:themeColor="accent1" w:themeShade="80"/>
              <w:left w:val="nil"/>
              <w:bottom w:val="nil"/>
              <w:right w:val="nil"/>
            </w:tcBorders>
            <w:shd w:val="clear" w:color="auto" w:fill="auto"/>
          </w:tcPr>
          <w:p w14:paraId="3DE4519D" w14:textId="77777777" w:rsidR="00803F80" w:rsidRPr="00F80522" w:rsidRDefault="00803F80">
            <w:pPr>
              <w:pStyle w:val="08-Tabelageral"/>
              <w:rPr>
                <w:szCs w:val="14"/>
              </w:rPr>
            </w:pPr>
            <w:r>
              <w:t>20,048</w:t>
            </w:r>
          </w:p>
        </w:tc>
        <w:tc>
          <w:tcPr>
            <w:tcW w:w="992" w:type="dxa"/>
            <w:tcBorders>
              <w:top w:val="single" w:sz="2" w:space="0" w:color="1F3864" w:themeColor="accent1" w:themeShade="80"/>
              <w:left w:val="nil"/>
              <w:bottom w:val="nil"/>
              <w:right w:val="nil"/>
            </w:tcBorders>
            <w:shd w:val="clear" w:color="auto" w:fill="auto"/>
          </w:tcPr>
          <w:p w14:paraId="7B1BC8A0" w14:textId="77777777" w:rsidR="00803F80" w:rsidRPr="00F80522" w:rsidRDefault="00803F80">
            <w:pPr>
              <w:pStyle w:val="08-Tabelageral"/>
              <w:rPr>
                <w:szCs w:val="14"/>
              </w:rPr>
            </w:pPr>
            <w:r w:rsidRPr="00377F23">
              <w:t>2</w:t>
            </w:r>
            <w:r>
              <w:t>8,783</w:t>
            </w:r>
          </w:p>
        </w:tc>
      </w:tr>
      <w:tr w:rsidR="00803F80" w:rsidRPr="00F80522" w14:paraId="2F7BB235" w14:textId="77777777">
        <w:trPr>
          <w:trHeight w:val="238"/>
        </w:trPr>
        <w:tc>
          <w:tcPr>
            <w:tcW w:w="2268" w:type="dxa"/>
            <w:tcBorders>
              <w:bottom w:val="single" w:sz="2" w:space="0" w:color="1F3864" w:themeColor="accent1" w:themeShade="80"/>
            </w:tcBorders>
            <w:shd w:val="clear" w:color="auto" w:fill="auto"/>
          </w:tcPr>
          <w:p w14:paraId="58869D67" w14:textId="77777777" w:rsidR="00803F80" w:rsidRPr="00F80522" w:rsidRDefault="00803F80">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shd w:val="clear" w:color="auto" w:fill="auto"/>
            <w:vAlign w:val="bottom"/>
          </w:tcPr>
          <w:p w14:paraId="3F5152DB" w14:textId="77777777" w:rsidR="00803F80" w:rsidRPr="00F80522" w:rsidRDefault="00803F80">
            <w:pPr>
              <w:pStyle w:val="08-Tabelageral"/>
              <w:rPr>
                <w:b/>
                <w:szCs w:val="14"/>
              </w:rPr>
            </w:pPr>
            <w:r w:rsidRPr="00A251EE">
              <w:rPr>
                <w:rFonts w:cs="Arial"/>
                <w:b/>
                <w:bCs/>
                <w:color w:val="000000"/>
              </w:rPr>
              <w:t>15</w:t>
            </w:r>
            <w:r>
              <w:rPr>
                <w:rFonts w:cs="Arial"/>
                <w:b/>
                <w:bCs/>
                <w:color w:val="000000"/>
              </w:rPr>
              <w:t>,</w:t>
            </w:r>
            <w:r w:rsidRPr="00A251EE">
              <w:rPr>
                <w:rFonts w:cs="Arial"/>
                <w:b/>
                <w:bCs/>
                <w:color w:val="000000"/>
              </w:rPr>
              <w:t>019</w:t>
            </w:r>
          </w:p>
        </w:tc>
        <w:tc>
          <w:tcPr>
            <w:tcW w:w="992" w:type="dxa"/>
            <w:tcBorders>
              <w:top w:val="nil"/>
              <w:left w:val="nil"/>
              <w:bottom w:val="single" w:sz="2" w:space="0" w:color="1F3864" w:themeColor="accent1" w:themeShade="80"/>
              <w:right w:val="nil"/>
            </w:tcBorders>
            <w:shd w:val="clear" w:color="auto" w:fill="auto"/>
            <w:vAlign w:val="bottom"/>
          </w:tcPr>
          <w:p w14:paraId="2DE47E9D" w14:textId="77777777" w:rsidR="00803F80" w:rsidRPr="00F80522" w:rsidRDefault="00803F80">
            <w:pPr>
              <w:pStyle w:val="08-Tabelageral"/>
              <w:rPr>
                <w:b/>
                <w:szCs w:val="14"/>
              </w:rPr>
            </w:pPr>
            <w:r w:rsidRPr="00A251EE">
              <w:rPr>
                <w:rFonts w:cs="Arial"/>
                <w:b/>
                <w:bCs/>
              </w:rPr>
              <w:t>21</w:t>
            </w:r>
            <w:r>
              <w:rPr>
                <w:rFonts w:cs="Arial"/>
                <w:b/>
                <w:bCs/>
              </w:rPr>
              <w:t>,</w:t>
            </w:r>
            <w:r w:rsidRPr="00A251EE">
              <w:rPr>
                <w:rFonts w:cs="Arial"/>
                <w:b/>
                <w:bCs/>
              </w:rPr>
              <w:t>020</w:t>
            </w:r>
          </w:p>
        </w:tc>
        <w:tc>
          <w:tcPr>
            <w:tcW w:w="1134" w:type="dxa"/>
            <w:tcBorders>
              <w:top w:val="nil"/>
              <w:left w:val="nil"/>
              <w:bottom w:val="single" w:sz="2" w:space="0" w:color="1F3864" w:themeColor="accent1" w:themeShade="80"/>
              <w:right w:val="nil"/>
            </w:tcBorders>
            <w:shd w:val="clear" w:color="auto" w:fill="auto"/>
          </w:tcPr>
          <w:p w14:paraId="31DA2BD2" w14:textId="77777777" w:rsidR="00803F80" w:rsidRPr="00F80522" w:rsidRDefault="00803F80">
            <w:pPr>
              <w:pStyle w:val="08-Tabelageral"/>
              <w:rPr>
                <w:b/>
                <w:szCs w:val="14"/>
              </w:rPr>
            </w:pPr>
            <w:r w:rsidRPr="00480CA9">
              <w:rPr>
                <w:b/>
                <w:bCs/>
              </w:rPr>
              <w:t>4</w:t>
            </w:r>
            <w:r>
              <w:rPr>
                <w:b/>
                <w:bCs/>
              </w:rPr>
              <w:t>,</w:t>
            </w:r>
            <w:r w:rsidRPr="00480CA9">
              <w:rPr>
                <w:b/>
                <w:bCs/>
              </w:rPr>
              <w:t>890</w:t>
            </w:r>
          </w:p>
        </w:tc>
        <w:tc>
          <w:tcPr>
            <w:tcW w:w="1134" w:type="dxa"/>
            <w:tcBorders>
              <w:top w:val="nil"/>
              <w:left w:val="nil"/>
              <w:bottom w:val="single" w:sz="2" w:space="0" w:color="1F3864" w:themeColor="accent1" w:themeShade="80"/>
              <w:right w:val="nil"/>
            </w:tcBorders>
            <w:shd w:val="clear" w:color="auto" w:fill="auto"/>
          </w:tcPr>
          <w:p w14:paraId="19CFE884" w14:textId="77777777" w:rsidR="00803F80" w:rsidRPr="00F80522" w:rsidRDefault="00803F80">
            <w:pPr>
              <w:pStyle w:val="08-Tabelageral"/>
              <w:rPr>
                <w:b/>
                <w:szCs w:val="14"/>
              </w:rPr>
            </w:pPr>
            <w:r>
              <w:rPr>
                <w:b/>
                <w:bCs/>
              </w:rPr>
              <w:t>(</w:t>
            </w:r>
            <w:r w:rsidRPr="00480CA9">
              <w:rPr>
                <w:b/>
                <w:bCs/>
              </w:rPr>
              <w:t>1</w:t>
            </w:r>
            <w:r>
              <w:rPr>
                <w:b/>
                <w:bCs/>
              </w:rPr>
              <w:t>,</w:t>
            </w:r>
            <w:r w:rsidRPr="00480CA9">
              <w:rPr>
                <w:b/>
                <w:bCs/>
              </w:rPr>
              <w:t>165</w:t>
            </w:r>
            <w:r>
              <w:rPr>
                <w:b/>
                <w:bCs/>
              </w:rPr>
              <w:t>)</w:t>
            </w:r>
          </w:p>
        </w:tc>
        <w:tc>
          <w:tcPr>
            <w:tcW w:w="1134" w:type="dxa"/>
            <w:tcBorders>
              <w:top w:val="nil"/>
              <w:left w:val="nil"/>
              <w:bottom w:val="single" w:sz="2" w:space="0" w:color="1F3864" w:themeColor="accent1" w:themeShade="80"/>
              <w:right w:val="nil"/>
            </w:tcBorders>
            <w:shd w:val="clear" w:color="auto" w:fill="auto"/>
          </w:tcPr>
          <w:p w14:paraId="5817BF88" w14:textId="77777777" w:rsidR="00803F80" w:rsidRPr="00F80522" w:rsidRDefault="00803F80">
            <w:pPr>
              <w:pStyle w:val="08-Tabelageral"/>
              <w:rPr>
                <w:rFonts w:cs="Arial"/>
                <w:b/>
                <w:szCs w:val="14"/>
              </w:rPr>
            </w:pPr>
            <w:r>
              <w:rPr>
                <w:b/>
                <w:bCs/>
              </w:rPr>
              <w:t>2,7</w:t>
            </w:r>
            <w:r w:rsidRPr="00480CA9">
              <w:rPr>
                <w:b/>
                <w:bCs/>
              </w:rPr>
              <w:t>35</w:t>
            </w:r>
          </w:p>
        </w:tc>
        <w:tc>
          <w:tcPr>
            <w:tcW w:w="992" w:type="dxa"/>
            <w:tcBorders>
              <w:top w:val="nil"/>
              <w:left w:val="nil"/>
              <w:bottom w:val="single" w:sz="2" w:space="0" w:color="1F3864" w:themeColor="accent1" w:themeShade="80"/>
              <w:right w:val="nil"/>
            </w:tcBorders>
            <w:shd w:val="clear" w:color="auto" w:fill="auto"/>
          </w:tcPr>
          <w:p w14:paraId="221BAB5C" w14:textId="77777777" w:rsidR="00803F80" w:rsidRPr="00F80522" w:rsidRDefault="00803F80">
            <w:pPr>
              <w:pStyle w:val="08-Tabelageral"/>
              <w:rPr>
                <w:b/>
                <w:szCs w:val="14"/>
              </w:rPr>
            </w:pPr>
            <w:r>
              <w:rPr>
                <w:b/>
                <w:bCs/>
              </w:rPr>
              <w:t>20,048</w:t>
            </w:r>
          </w:p>
        </w:tc>
        <w:tc>
          <w:tcPr>
            <w:tcW w:w="992" w:type="dxa"/>
            <w:tcBorders>
              <w:top w:val="nil"/>
              <w:left w:val="nil"/>
              <w:bottom w:val="single" w:sz="2" w:space="0" w:color="1F3864" w:themeColor="accent1" w:themeShade="80"/>
              <w:right w:val="nil"/>
            </w:tcBorders>
            <w:shd w:val="clear" w:color="auto" w:fill="auto"/>
          </w:tcPr>
          <w:p w14:paraId="1A89B1EE" w14:textId="77777777" w:rsidR="00803F80" w:rsidRPr="00F80522" w:rsidRDefault="00803F80">
            <w:pPr>
              <w:pStyle w:val="08-Tabelageral"/>
              <w:rPr>
                <w:b/>
                <w:szCs w:val="14"/>
              </w:rPr>
            </w:pPr>
            <w:r w:rsidRPr="00480CA9">
              <w:rPr>
                <w:b/>
                <w:bCs/>
              </w:rPr>
              <w:t>2</w:t>
            </w:r>
            <w:r>
              <w:rPr>
                <w:b/>
                <w:bCs/>
              </w:rPr>
              <w:t>8,783</w:t>
            </w:r>
          </w:p>
        </w:tc>
      </w:tr>
      <w:bookmarkEnd w:id="85"/>
    </w:tbl>
    <w:p w14:paraId="37705E51" w14:textId="77777777" w:rsidR="00803F80" w:rsidRDefault="00803F80" w:rsidP="00803F80">
      <w:pPr>
        <w:pStyle w:val="07-Legenda"/>
        <w:spacing w:line="276" w:lineRule="auto"/>
        <w:ind w:left="0" w:firstLine="0"/>
        <w:rPr>
          <w:lang w:val="en-US"/>
        </w:rPr>
      </w:pPr>
    </w:p>
    <w:p w14:paraId="6CDF12B4" w14:textId="77777777" w:rsidR="00803F80" w:rsidRPr="00661FB1" w:rsidRDefault="00803F80" w:rsidP="00803F80">
      <w:pPr>
        <w:spacing w:after="0" w:line="240" w:lineRule="auto"/>
        <w:jc w:val="right"/>
        <w:rPr>
          <w:rFonts w:ascii="Arial" w:hAnsi="Arial" w:cs="Arial"/>
          <w:b/>
          <w:sz w:val="14"/>
          <w:szCs w:val="14"/>
          <w:lang w:eastAsia="pt-BR"/>
        </w:rPr>
      </w:pPr>
      <w:r w:rsidRPr="00661FB1">
        <w:rPr>
          <w:rFonts w:ascii="Arial" w:hAnsi="Arial" w:cs="Arial"/>
          <w:b/>
          <w:sz w:val="14"/>
          <w:szCs w:val="14"/>
        </w:rPr>
        <w:t xml:space="preserve">R$ </w:t>
      </w:r>
      <w:proofErr w:type="spellStart"/>
      <w:r w:rsidRPr="00C87972">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418"/>
        <w:gridCol w:w="992"/>
        <w:gridCol w:w="992"/>
        <w:gridCol w:w="1418"/>
        <w:gridCol w:w="1134"/>
        <w:gridCol w:w="1134"/>
        <w:gridCol w:w="850"/>
        <w:gridCol w:w="832"/>
        <w:gridCol w:w="869"/>
      </w:tblGrid>
      <w:tr w:rsidR="00803F80" w:rsidRPr="00427408" w14:paraId="3243AEFD" w14:textId="77777777">
        <w:trPr>
          <w:trHeight w:val="238"/>
          <w:jc w:val="center"/>
        </w:trPr>
        <w:tc>
          <w:tcPr>
            <w:tcW w:w="1418" w:type="dxa"/>
            <w:tcBorders>
              <w:top w:val="single" w:sz="2" w:space="0" w:color="1F3864" w:themeColor="accent1" w:themeShade="80"/>
              <w:bottom w:val="nil"/>
            </w:tcBorders>
          </w:tcPr>
          <w:p w14:paraId="44DD75F5" w14:textId="77777777" w:rsidR="00803F80" w:rsidRPr="00427408" w:rsidRDefault="00803F80">
            <w:pPr>
              <w:pStyle w:val="08-Tabelageral"/>
              <w:jc w:val="center"/>
              <w:rPr>
                <w:rFonts w:cs="Arial"/>
                <w:b/>
              </w:rPr>
            </w:pPr>
          </w:p>
        </w:tc>
        <w:tc>
          <w:tcPr>
            <w:tcW w:w="8221" w:type="dxa"/>
            <w:gridSpan w:val="8"/>
            <w:tcBorders>
              <w:top w:val="single" w:sz="2" w:space="0" w:color="1F3864" w:themeColor="accent1" w:themeShade="80"/>
              <w:bottom w:val="nil"/>
            </w:tcBorders>
            <w:shd w:val="clear" w:color="auto" w:fill="auto"/>
            <w:noWrap/>
            <w:vAlign w:val="center"/>
          </w:tcPr>
          <w:p w14:paraId="7F030780" w14:textId="77777777" w:rsidR="00803F80" w:rsidRPr="00427408" w:rsidRDefault="00803F80">
            <w:pPr>
              <w:pStyle w:val="08-Tabelageral"/>
              <w:jc w:val="center"/>
              <w:rPr>
                <w:rFonts w:cs="Arial"/>
                <w:b/>
              </w:rPr>
            </w:pPr>
            <w:proofErr w:type="spellStart"/>
            <w:r w:rsidRPr="00427408">
              <w:rPr>
                <w:rFonts w:cs="Arial"/>
                <w:b/>
              </w:rPr>
              <w:t>Conso</w:t>
            </w:r>
            <w:r>
              <w:rPr>
                <w:rFonts w:cs="Arial"/>
                <w:b/>
              </w:rPr>
              <w:t>lidated</w:t>
            </w:r>
            <w:proofErr w:type="spellEnd"/>
          </w:p>
        </w:tc>
      </w:tr>
      <w:tr w:rsidR="00803F80" w:rsidRPr="00427408" w14:paraId="6F021189" w14:textId="77777777">
        <w:trPr>
          <w:trHeight w:val="238"/>
          <w:jc w:val="center"/>
        </w:trPr>
        <w:tc>
          <w:tcPr>
            <w:tcW w:w="1418" w:type="dxa"/>
            <w:tcBorders>
              <w:top w:val="single" w:sz="2" w:space="0" w:color="1F3864" w:themeColor="accent1" w:themeShade="80"/>
              <w:bottom w:val="nil"/>
            </w:tcBorders>
            <w:shd w:val="clear" w:color="auto" w:fill="auto"/>
            <w:noWrap/>
            <w:vAlign w:val="center"/>
            <w:hideMark/>
          </w:tcPr>
          <w:p w14:paraId="699CF28E" w14:textId="77777777" w:rsidR="00803F80" w:rsidRPr="00427408" w:rsidRDefault="00803F80">
            <w:pPr>
              <w:pStyle w:val="08-Tabelageral"/>
              <w:jc w:val="center"/>
              <w:rPr>
                <w:rFonts w:cs="Arial"/>
                <w:b/>
              </w:rPr>
            </w:pPr>
          </w:p>
        </w:tc>
        <w:tc>
          <w:tcPr>
            <w:tcW w:w="1984"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451218D6" w14:textId="77777777" w:rsidR="00803F80" w:rsidRPr="00427408" w:rsidRDefault="00803F80">
            <w:pPr>
              <w:pStyle w:val="08-Tabelageral"/>
              <w:jc w:val="center"/>
              <w:rPr>
                <w:rFonts w:cs="Arial"/>
                <w:b/>
              </w:rPr>
            </w:pPr>
            <w:proofErr w:type="spellStart"/>
            <w:r w:rsidRPr="00A415A7">
              <w:rPr>
                <w:rFonts w:cs="Arial"/>
                <w:b/>
              </w:rPr>
              <w:t>Dec</w:t>
            </w:r>
            <w:proofErr w:type="spellEnd"/>
            <w:r w:rsidRPr="00A415A7">
              <w:rPr>
                <w:rFonts w:cs="Arial"/>
                <w:b/>
              </w:rPr>
              <w:t xml:space="preserve"> 31, 2023</w:t>
            </w:r>
          </w:p>
        </w:tc>
        <w:tc>
          <w:tcPr>
            <w:tcW w:w="1418" w:type="dxa"/>
            <w:tcBorders>
              <w:top w:val="single" w:sz="2" w:space="0" w:color="1F3864" w:themeColor="accent1" w:themeShade="80"/>
              <w:bottom w:val="single" w:sz="2" w:space="0" w:color="1F3864" w:themeColor="accent1" w:themeShade="80"/>
            </w:tcBorders>
          </w:tcPr>
          <w:p w14:paraId="624FAF1E" w14:textId="77777777" w:rsidR="00803F80" w:rsidRPr="00427408" w:rsidRDefault="00803F80">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shd w:val="clear" w:color="auto" w:fill="auto"/>
            <w:noWrap/>
            <w:vAlign w:val="center"/>
            <w:hideMark/>
          </w:tcPr>
          <w:p w14:paraId="25FE08E3" w14:textId="77777777" w:rsidR="00803F80" w:rsidRPr="00427408" w:rsidRDefault="00803F80">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shd w:val="clear" w:color="auto" w:fill="auto"/>
            <w:noWrap/>
            <w:vAlign w:val="center"/>
            <w:hideMark/>
          </w:tcPr>
          <w:p w14:paraId="1DA7B107" w14:textId="77777777" w:rsidR="00803F80" w:rsidRPr="00427408" w:rsidRDefault="00803F80">
            <w:pPr>
              <w:pStyle w:val="08-Tabelageral"/>
              <w:jc w:val="center"/>
              <w:rPr>
                <w:rFonts w:cs="Arial"/>
                <w:b/>
              </w:rPr>
            </w:pPr>
          </w:p>
        </w:tc>
        <w:tc>
          <w:tcPr>
            <w:tcW w:w="850" w:type="dxa"/>
            <w:tcBorders>
              <w:top w:val="single" w:sz="2" w:space="0" w:color="1F3864" w:themeColor="accent1" w:themeShade="80"/>
              <w:bottom w:val="single" w:sz="2" w:space="0" w:color="1F3864" w:themeColor="accent1" w:themeShade="80"/>
            </w:tcBorders>
            <w:shd w:val="clear" w:color="auto" w:fill="auto"/>
            <w:noWrap/>
            <w:vAlign w:val="center"/>
            <w:hideMark/>
          </w:tcPr>
          <w:p w14:paraId="453F14BD" w14:textId="77777777" w:rsidR="00803F80" w:rsidRPr="00427408" w:rsidRDefault="00803F80">
            <w:pPr>
              <w:pStyle w:val="08-Tabelageral"/>
              <w:jc w:val="center"/>
              <w:rPr>
                <w:rFonts w:cs="Arial"/>
                <w:b/>
              </w:rPr>
            </w:pPr>
          </w:p>
        </w:tc>
        <w:tc>
          <w:tcPr>
            <w:tcW w:w="170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200B5D2C" w14:textId="44A5783F" w:rsidR="00803F80" w:rsidRPr="00427408" w:rsidRDefault="00074128">
            <w:pPr>
              <w:pStyle w:val="08-Tabelageral"/>
              <w:jc w:val="center"/>
              <w:rPr>
                <w:rFonts w:cs="Arial"/>
                <w:b/>
              </w:rPr>
            </w:pPr>
            <w:proofErr w:type="spellStart"/>
            <w:r>
              <w:rPr>
                <w:rFonts w:cs="Arial"/>
                <w:b/>
                <w:szCs w:val="14"/>
              </w:rPr>
              <w:t>Dec</w:t>
            </w:r>
            <w:proofErr w:type="spellEnd"/>
            <w:r>
              <w:rPr>
                <w:rFonts w:cs="Arial"/>
                <w:b/>
                <w:szCs w:val="14"/>
              </w:rPr>
              <w:t xml:space="preserve"> 31</w:t>
            </w:r>
            <w:r w:rsidR="00665D9A">
              <w:rPr>
                <w:rFonts w:cs="Arial"/>
                <w:b/>
                <w:szCs w:val="14"/>
              </w:rPr>
              <w:t xml:space="preserve">, </w:t>
            </w:r>
            <w:r w:rsidR="00803F80">
              <w:rPr>
                <w:rFonts w:cs="Arial"/>
                <w:b/>
                <w:szCs w:val="14"/>
              </w:rPr>
              <w:t>2024</w:t>
            </w:r>
          </w:p>
        </w:tc>
      </w:tr>
      <w:tr w:rsidR="00803F80" w:rsidRPr="00427408" w14:paraId="3BF5043A" w14:textId="77777777">
        <w:trPr>
          <w:trHeight w:val="238"/>
          <w:jc w:val="center"/>
        </w:trPr>
        <w:tc>
          <w:tcPr>
            <w:tcW w:w="1418" w:type="dxa"/>
            <w:tcBorders>
              <w:top w:val="nil"/>
              <w:bottom w:val="single" w:sz="2" w:space="0" w:color="1F3864" w:themeColor="accent1" w:themeShade="80"/>
            </w:tcBorders>
            <w:shd w:val="clear" w:color="auto" w:fill="auto"/>
            <w:noWrap/>
            <w:vAlign w:val="center"/>
            <w:hideMark/>
          </w:tcPr>
          <w:p w14:paraId="3D67A995" w14:textId="77777777" w:rsidR="00803F80" w:rsidRPr="00427408" w:rsidRDefault="00803F80">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4CE199DC" w14:textId="77777777" w:rsidR="00803F80" w:rsidRPr="00427408" w:rsidRDefault="00803F80">
            <w:pPr>
              <w:pStyle w:val="08-Tabelageral"/>
              <w:jc w:val="center"/>
              <w:rPr>
                <w:rFonts w:cs="Arial"/>
                <w:b/>
              </w:rPr>
            </w:pPr>
            <w:proofErr w:type="spellStart"/>
            <w:r w:rsidRPr="00A415A7">
              <w:rPr>
                <w:rFonts w:cs="Arial"/>
                <w:b/>
              </w:rPr>
              <w:t>Cost</w:t>
            </w:r>
            <w:proofErr w:type="spellEnd"/>
            <w:r w:rsidRPr="00A415A7">
              <w:rPr>
                <w:rFonts w:cs="Arial"/>
                <w:b/>
              </w:rPr>
              <w:t xml:space="preserve"> </w:t>
            </w:r>
            <w:proofErr w:type="spellStart"/>
            <w:r w:rsidRPr="00A415A7">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05D879DF" w14:textId="77777777" w:rsidR="00803F80" w:rsidRPr="00427408" w:rsidRDefault="00803F80">
            <w:pPr>
              <w:pStyle w:val="08-Tabelageral"/>
              <w:jc w:val="center"/>
              <w:rPr>
                <w:rFonts w:cs="Arial"/>
                <w:b/>
              </w:rPr>
            </w:pPr>
            <w:r>
              <w:rPr>
                <w:rFonts w:cs="Arial"/>
                <w:b/>
              </w:rPr>
              <w:t xml:space="preserve">Market </w:t>
            </w:r>
            <w:proofErr w:type="spellStart"/>
            <w:r>
              <w:rPr>
                <w:rFonts w:cs="Arial"/>
                <w:b/>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5CC81788" w14:textId="77777777" w:rsidR="00803F80" w:rsidRPr="000F0C97" w:rsidRDefault="00803F80">
            <w:pPr>
              <w:pStyle w:val="08-Tabelageral"/>
              <w:jc w:val="center"/>
              <w:rPr>
                <w:rFonts w:cs="Arial"/>
                <w:b/>
                <w:vertAlign w:val="superscript"/>
              </w:rPr>
            </w:pPr>
            <w:proofErr w:type="spellStart"/>
            <w:r>
              <w:rPr>
                <w:rFonts w:cs="Arial"/>
                <w:b/>
              </w:rPr>
              <w:t>Reclassification</w:t>
            </w:r>
            <w:proofErr w:type="spellEnd"/>
            <w:r>
              <w:rPr>
                <w:rFonts w:cs="Arial"/>
                <w:b/>
              </w:rPr>
              <w:t xml:space="preserve"> </w:t>
            </w:r>
            <w:r>
              <w:rPr>
                <w:rFonts w:cs="Arial"/>
                <w:b/>
                <w:vertAlign w:val="superscript"/>
              </w:rPr>
              <w:t>(2)</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033BAD1A" w14:textId="77777777" w:rsidR="00803F80" w:rsidRPr="00427408" w:rsidRDefault="00803F80">
            <w:pPr>
              <w:pStyle w:val="08-Tabelageral"/>
              <w:jc w:val="center"/>
              <w:rPr>
                <w:rFonts w:cs="Arial"/>
                <w:b/>
              </w:rPr>
            </w:pPr>
            <w:proofErr w:type="spellStart"/>
            <w:r w:rsidRPr="00427408">
              <w:rPr>
                <w:rFonts w:cs="Arial"/>
                <w:b/>
              </w:rPr>
              <w:t>Ap</w:t>
            </w:r>
            <w:r>
              <w:rPr>
                <w:rFonts w:cs="Arial"/>
                <w:b/>
              </w:rPr>
              <w:t>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236C791E" w14:textId="77777777" w:rsidR="00803F80" w:rsidRPr="00427408" w:rsidRDefault="00803F80">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hideMark/>
          </w:tcPr>
          <w:p w14:paraId="136F2FFF" w14:textId="77777777" w:rsidR="00803F80" w:rsidRPr="00427408" w:rsidRDefault="00803F80">
            <w:pPr>
              <w:pStyle w:val="08-Tabelageral"/>
              <w:jc w:val="center"/>
              <w:rPr>
                <w:rFonts w:cs="Arial"/>
                <w:b/>
              </w:rPr>
            </w:pPr>
            <w:proofErr w:type="spellStart"/>
            <w:r>
              <w:rPr>
                <w:rFonts w:cs="Arial"/>
                <w:b/>
              </w:rPr>
              <w:t>Yield</w:t>
            </w:r>
            <w:proofErr w:type="spellEnd"/>
          </w:p>
        </w:tc>
        <w:tc>
          <w:tcPr>
            <w:tcW w:w="832" w:type="dxa"/>
            <w:tcBorders>
              <w:top w:val="single" w:sz="2" w:space="0" w:color="1F3864" w:themeColor="accent1" w:themeShade="80"/>
              <w:bottom w:val="single" w:sz="2" w:space="0" w:color="1F3864" w:themeColor="accent1" w:themeShade="80"/>
            </w:tcBorders>
            <w:shd w:val="clear" w:color="auto" w:fill="auto"/>
            <w:vAlign w:val="center"/>
            <w:hideMark/>
          </w:tcPr>
          <w:p w14:paraId="2B9107AE" w14:textId="77777777" w:rsidR="00803F80" w:rsidRPr="00427408" w:rsidRDefault="00803F80">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69" w:type="dxa"/>
            <w:tcBorders>
              <w:top w:val="single" w:sz="2" w:space="0" w:color="1F3864" w:themeColor="accent1" w:themeShade="80"/>
              <w:bottom w:val="single" w:sz="2" w:space="0" w:color="1F3864" w:themeColor="accent1" w:themeShade="80"/>
            </w:tcBorders>
            <w:shd w:val="clear" w:color="auto" w:fill="auto"/>
            <w:vAlign w:val="center"/>
            <w:hideMark/>
          </w:tcPr>
          <w:p w14:paraId="75E060F8" w14:textId="77777777" w:rsidR="00803F80" w:rsidRPr="00427408" w:rsidRDefault="00803F80">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803F80" w:rsidRPr="00427408" w14:paraId="5E831776" w14:textId="77777777">
        <w:trPr>
          <w:trHeight w:val="238"/>
          <w:jc w:val="center"/>
        </w:trPr>
        <w:tc>
          <w:tcPr>
            <w:tcW w:w="1418" w:type="dxa"/>
            <w:tcBorders>
              <w:top w:val="single" w:sz="2" w:space="0" w:color="1F3864" w:themeColor="accent1" w:themeShade="80"/>
              <w:bottom w:val="nil"/>
            </w:tcBorders>
            <w:shd w:val="clear" w:color="auto" w:fill="auto"/>
            <w:noWrap/>
          </w:tcPr>
          <w:p w14:paraId="41B001E8" w14:textId="77777777" w:rsidR="00803F80" w:rsidRPr="000F0C97" w:rsidRDefault="00803F80">
            <w:pPr>
              <w:pStyle w:val="08-Tabelageral"/>
              <w:ind w:left="113"/>
              <w:jc w:val="left"/>
              <w:rPr>
                <w:rFonts w:cs="Arial"/>
              </w:rPr>
            </w:pPr>
            <w:r w:rsidRPr="000F0C97">
              <w:rPr>
                <w:rFonts w:cs="Arial"/>
              </w:rPr>
              <w:t xml:space="preserve">TPF </w:t>
            </w:r>
          </w:p>
        </w:tc>
        <w:tc>
          <w:tcPr>
            <w:tcW w:w="992" w:type="dxa"/>
            <w:tcBorders>
              <w:top w:val="single" w:sz="2" w:space="0" w:color="1F3864" w:themeColor="accent1" w:themeShade="80"/>
              <w:left w:val="nil"/>
              <w:bottom w:val="nil"/>
              <w:right w:val="nil"/>
            </w:tcBorders>
            <w:shd w:val="clear" w:color="auto" w:fill="auto"/>
            <w:noWrap/>
          </w:tcPr>
          <w:p w14:paraId="1845FD25" w14:textId="77777777" w:rsidR="00803F80" w:rsidRPr="000F0C97" w:rsidRDefault="00803F80">
            <w:pPr>
              <w:pStyle w:val="08-Tabelageral"/>
              <w:rPr>
                <w:rFonts w:cs="Arial"/>
              </w:rPr>
            </w:pPr>
            <w:r w:rsidRPr="000F0C97">
              <w:rPr>
                <w:rFonts w:cs="Arial"/>
                <w:color w:val="000000"/>
              </w:rPr>
              <w:t>1</w:t>
            </w:r>
            <w:r>
              <w:rPr>
                <w:rFonts w:cs="Arial"/>
                <w:color w:val="000000"/>
              </w:rPr>
              <w:t>,</w:t>
            </w:r>
            <w:r w:rsidRPr="000F0C97">
              <w:rPr>
                <w:rFonts w:cs="Arial"/>
                <w:color w:val="000000"/>
              </w:rPr>
              <w:t>433</w:t>
            </w:r>
            <w:r>
              <w:rPr>
                <w:rFonts w:cs="Arial"/>
                <w:color w:val="000000"/>
              </w:rPr>
              <w:t>,</w:t>
            </w:r>
            <w:r w:rsidRPr="000F0C97">
              <w:rPr>
                <w:rFonts w:cs="Arial"/>
                <w:color w:val="000000"/>
              </w:rPr>
              <w:t>111</w:t>
            </w:r>
          </w:p>
        </w:tc>
        <w:tc>
          <w:tcPr>
            <w:tcW w:w="992" w:type="dxa"/>
            <w:tcBorders>
              <w:top w:val="single" w:sz="2" w:space="0" w:color="1F3864" w:themeColor="accent1" w:themeShade="80"/>
              <w:left w:val="nil"/>
              <w:bottom w:val="nil"/>
              <w:right w:val="nil"/>
            </w:tcBorders>
            <w:shd w:val="clear" w:color="auto" w:fill="auto"/>
            <w:noWrap/>
          </w:tcPr>
          <w:p w14:paraId="500D4271" w14:textId="77777777" w:rsidR="00803F80" w:rsidRPr="000F0C97" w:rsidRDefault="00803F80">
            <w:pPr>
              <w:pStyle w:val="08-Tabelageral"/>
              <w:rPr>
                <w:rFonts w:cs="Arial"/>
              </w:rPr>
            </w:pPr>
            <w:r w:rsidRPr="000F0C97">
              <w:t>1</w:t>
            </w:r>
            <w:r>
              <w:t>,</w:t>
            </w:r>
            <w:r w:rsidRPr="000F0C97">
              <w:t>586</w:t>
            </w:r>
            <w:r>
              <w:t>,</w:t>
            </w:r>
            <w:r w:rsidRPr="000F0C97">
              <w:t>371</w:t>
            </w:r>
          </w:p>
        </w:tc>
        <w:tc>
          <w:tcPr>
            <w:tcW w:w="1418" w:type="dxa"/>
            <w:tcBorders>
              <w:top w:val="single" w:sz="2" w:space="0" w:color="1F3864" w:themeColor="accent1" w:themeShade="80"/>
              <w:left w:val="nil"/>
              <w:bottom w:val="nil"/>
              <w:right w:val="nil"/>
            </w:tcBorders>
          </w:tcPr>
          <w:p w14:paraId="27BAC643" w14:textId="77777777" w:rsidR="00803F80" w:rsidRPr="000F0C97" w:rsidRDefault="00803F80">
            <w:pPr>
              <w:pStyle w:val="08-Tabelageral"/>
              <w:rPr>
                <w:rFonts w:cs="Arial"/>
              </w:rPr>
            </w:pPr>
            <w:r w:rsidRPr="000F0C97">
              <w:rPr>
                <w:rFonts w:cs="Arial"/>
              </w:rPr>
              <w:t>(1</w:t>
            </w:r>
            <w:r>
              <w:rPr>
                <w:rFonts w:cs="Arial"/>
              </w:rPr>
              <w:t>,</w:t>
            </w:r>
            <w:r w:rsidRPr="000F0C97">
              <w:rPr>
                <w:rFonts w:cs="Arial"/>
              </w:rPr>
              <w:t>586</w:t>
            </w:r>
            <w:r>
              <w:rPr>
                <w:rFonts w:cs="Arial"/>
              </w:rPr>
              <w:t>,</w:t>
            </w:r>
            <w:r w:rsidRPr="000F0C97">
              <w:rPr>
                <w:rFonts w:cs="Arial"/>
              </w:rPr>
              <w:t>371)</w:t>
            </w:r>
          </w:p>
        </w:tc>
        <w:tc>
          <w:tcPr>
            <w:tcW w:w="1134" w:type="dxa"/>
            <w:tcBorders>
              <w:top w:val="single" w:sz="2" w:space="0" w:color="1F3864" w:themeColor="accent1" w:themeShade="80"/>
              <w:left w:val="nil"/>
              <w:bottom w:val="nil"/>
              <w:right w:val="nil"/>
            </w:tcBorders>
            <w:shd w:val="clear" w:color="auto" w:fill="auto"/>
            <w:noWrap/>
          </w:tcPr>
          <w:p w14:paraId="4354D0AE" w14:textId="77777777" w:rsidR="00803F80" w:rsidRPr="000F0C97" w:rsidRDefault="00803F80">
            <w:pPr>
              <w:pStyle w:val="08-Tabelageral"/>
              <w:rPr>
                <w:rFonts w:cs="Arial"/>
              </w:rPr>
            </w:pPr>
            <w:r>
              <w:t>--</w:t>
            </w:r>
          </w:p>
        </w:tc>
        <w:tc>
          <w:tcPr>
            <w:tcW w:w="1134" w:type="dxa"/>
            <w:tcBorders>
              <w:top w:val="single" w:sz="2" w:space="0" w:color="1F3864" w:themeColor="accent1" w:themeShade="80"/>
              <w:left w:val="nil"/>
              <w:bottom w:val="nil"/>
              <w:right w:val="nil"/>
            </w:tcBorders>
            <w:shd w:val="clear" w:color="auto" w:fill="auto"/>
            <w:noWrap/>
          </w:tcPr>
          <w:p w14:paraId="27D682F9" w14:textId="77777777" w:rsidR="00803F80" w:rsidRPr="000F0C97" w:rsidRDefault="00803F80">
            <w:pPr>
              <w:pStyle w:val="08-Tabelageral"/>
              <w:rPr>
                <w:rFonts w:cs="Arial"/>
              </w:rPr>
            </w:pPr>
            <w:r>
              <w:rPr>
                <w:rFonts w:cs="Arial"/>
              </w:rPr>
              <w:t>--</w:t>
            </w:r>
          </w:p>
        </w:tc>
        <w:tc>
          <w:tcPr>
            <w:tcW w:w="850" w:type="dxa"/>
            <w:tcBorders>
              <w:top w:val="single" w:sz="2" w:space="0" w:color="1F3864" w:themeColor="accent1" w:themeShade="80"/>
              <w:left w:val="nil"/>
              <w:bottom w:val="nil"/>
              <w:right w:val="nil"/>
            </w:tcBorders>
            <w:shd w:val="clear" w:color="auto" w:fill="auto"/>
            <w:noWrap/>
          </w:tcPr>
          <w:p w14:paraId="6B6B432D" w14:textId="77777777" w:rsidR="00803F80" w:rsidRPr="000F0C97" w:rsidRDefault="00803F80">
            <w:pPr>
              <w:pStyle w:val="08-Tabelageral"/>
              <w:rPr>
                <w:rFonts w:cs="Arial"/>
              </w:rPr>
            </w:pPr>
            <w:r>
              <w:t>--</w:t>
            </w:r>
          </w:p>
        </w:tc>
        <w:tc>
          <w:tcPr>
            <w:tcW w:w="832" w:type="dxa"/>
            <w:tcBorders>
              <w:top w:val="single" w:sz="2" w:space="0" w:color="1F3864" w:themeColor="accent1" w:themeShade="80"/>
              <w:left w:val="nil"/>
              <w:bottom w:val="nil"/>
              <w:right w:val="nil"/>
            </w:tcBorders>
            <w:shd w:val="clear" w:color="auto" w:fill="auto"/>
            <w:noWrap/>
          </w:tcPr>
          <w:p w14:paraId="0CFD0272" w14:textId="77777777" w:rsidR="00803F80" w:rsidRPr="000F0C97" w:rsidRDefault="00803F80">
            <w:pPr>
              <w:pStyle w:val="08-Tabelageral"/>
              <w:rPr>
                <w:rFonts w:cs="Arial"/>
                <w:color w:val="000000"/>
              </w:rPr>
            </w:pPr>
            <w:r>
              <w:t>--</w:t>
            </w:r>
          </w:p>
        </w:tc>
        <w:tc>
          <w:tcPr>
            <w:tcW w:w="869" w:type="dxa"/>
            <w:tcBorders>
              <w:top w:val="single" w:sz="2" w:space="0" w:color="1F3864" w:themeColor="accent1" w:themeShade="80"/>
              <w:left w:val="nil"/>
              <w:bottom w:val="nil"/>
              <w:right w:val="nil"/>
            </w:tcBorders>
            <w:shd w:val="clear" w:color="auto" w:fill="auto"/>
            <w:noWrap/>
          </w:tcPr>
          <w:p w14:paraId="615394DF" w14:textId="77777777" w:rsidR="00803F80" w:rsidRPr="00427408" w:rsidRDefault="00803F80">
            <w:pPr>
              <w:pStyle w:val="08-Tabelageral"/>
              <w:rPr>
                <w:rFonts w:cs="Arial"/>
              </w:rPr>
            </w:pPr>
            <w:r>
              <w:rPr>
                <w:rFonts w:cs="Arial"/>
              </w:rPr>
              <w:t>--</w:t>
            </w:r>
          </w:p>
        </w:tc>
      </w:tr>
      <w:tr w:rsidR="00803F80" w:rsidRPr="00427408" w14:paraId="639C107D" w14:textId="77777777">
        <w:trPr>
          <w:trHeight w:val="238"/>
          <w:jc w:val="center"/>
        </w:trPr>
        <w:tc>
          <w:tcPr>
            <w:tcW w:w="1418" w:type="dxa"/>
            <w:tcBorders>
              <w:top w:val="nil"/>
              <w:bottom w:val="nil"/>
            </w:tcBorders>
            <w:shd w:val="clear" w:color="auto" w:fill="auto"/>
            <w:noWrap/>
            <w:hideMark/>
          </w:tcPr>
          <w:p w14:paraId="6627EBA6" w14:textId="77777777" w:rsidR="00803F80" w:rsidRPr="00427408" w:rsidRDefault="00803F80">
            <w:pPr>
              <w:pStyle w:val="08-Tabelageral"/>
              <w:ind w:left="113"/>
              <w:jc w:val="left"/>
              <w:rPr>
                <w:rFonts w:cs="Arial"/>
              </w:rPr>
            </w:pPr>
            <w:proofErr w:type="spellStart"/>
            <w:r w:rsidRPr="00C87972">
              <w:rPr>
                <w:rFonts w:cs="Arial"/>
              </w:rPr>
              <w:t>Long-term</w:t>
            </w:r>
            <w:proofErr w:type="spellEnd"/>
            <w:r w:rsidRPr="00C87972">
              <w:rPr>
                <w:rFonts w:cs="Arial"/>
              </w:rPr>
              <w:t xml:space="preserve"> </w:t>
            </w:r>
            <w:proofErr w:type="spellStart"/>
            <w:r w:rsidRPr="00C87972">
              <w:rPr>
                <w:rFonts w:cs="Arial"/>
              </w:rPr>
              <w:t>fund</w:t>
            </w:r>
            <w:proofErr w:type="spellEnd"/>
            <w:r w:rsidRPr="00C87972">
              <w:rPr>
                <w:rFonts w:cs="Arial"/>
              </w:rPr>
              <w:t xml:space="preserve"> </w:t>
            </w:r>
            <w:r w:rsidRPr="00427408">
              <w:rPr>
                <w:rFonts w:cs="Arial"/>
                <w:vertAlign w:val="superscript"/>
              </w:rPr>
              <w:t>(</w:t>
            </w:r>
            <w:r>
              <w:rPr>
                <w:rFonts w:cs="Arial"/>
                <w:vertAlign w:val="superscript"/>
              </w:rPr>
              <w:t>1</w:t>
            </w:r>
            <w:r w:rsidRPr="00427408">
              <w:rPr>
                <w:rFonts w:cs="Arial"/>
                <w:vertAlign w:val="superscript"/>
              </w:rPr>
              <w:t>)</w:t>
            </w:r>
          </w:p>
        </w:tc>
        <w:tc>
          <w:tcPr>
            <w:tcW w:w="992" w:type="dxa"/>
            <w:tcBorders>
              <w:top w:val="nil"/>
              <w:left w:val="nil"/>
              <w:bottom w:val="nil"/>
              <w:right w:val="nil"/>
            </w:tcBorders>
            <w:shd w:val="clear" w:color="auto" w:fill="auto"/>
            <w:noWrap/>
            <w:hideMark/>
          </w:tcPr>
          <w:p w14:paraId="24881AB8" w14:textId="77777777" w:rsidR="00803F80" w:rsidRPr="00427408" w:rsidRDefault="00803F80">
            <w:pPr>
              <w:pStyle w:val="08-Tabelageral"/>
              <w:rPr>
                <w:rFonts w:cs="Arial"/>
              </w:rPr>
            </w:pPr>
            <w:r>
              <w:t>15,019</w:t>
            </w:r>
          </w:p>
        </w:tc>
        <w:tc>
          <w:tcPr>
            <w:tcW w:w="992" w:type="dxa"/>
            <w:tcBorders>
              <w:top w:val="nil"/>
              <w:left w:val="nil"/>
              <w:bottom w:val="nil"/>
              <w:right w:val="nil"/>
            </w:tcBorders>
            <w:shd w:val="clear" w:color="auto" w:fill="auto"/>
            <w:noWrap/>
            <w:hideMark/>
          </w:tcPr>
          <w:p w14:paraId="1475CF66" w14:textId="77777777" w:rsidR="00803F80" w:rsidRPr="00427408" w:rsidRDefault="00803F80">
            <w:pPr>
              <w:pStyle w:val="08-Tabelageral"/>
              <w:rPr>
                <w:rFonts w:cs="Arial"/>
              </w:rPr>
            </w:pPr>
            <w:r>
              <w:t>21,020</w:t>
            </w:r>
          </w:p>
        </w:tc>
        <w:tc>
          <w:tcPr>
            <w:tcW w:w="1418" w:type="dxa"/>
            <w:tcBorders>
              <w:top w:val="nil"/>
              <w:left w:val="nil"/>
              <w:bottom w:val="nil"/>
              <w:right w:val="nil"/>
            </w:tcBorders>
          </w:tcPr>
          <w:p w14:paraId="06A24BA2" w14:textId="77777777" w:rsidR="00803F80" w:rsidRDefault="00803F80">
            <w:pPr>
              <w:pStyle w:val="08-Tabelageral"/>
              <w:rPr>
                <w:rFonts w:cs="Arial"/>
              </w:rPr>
            </w:pPr>
            <w:r>
              <w:rPr>
                <w:rFonts w:cs="Arial"/>
              </w:rPr>
              <w:t>--</w:t>
            </w:r>
          </w:p>
        </w:tc>
        <w:tc>
          <w:tcPr>
            <w:tcW w:w="1134" w:type="dxa"/>
            <w:tcBorders>
              <w:top w:val="nil"/>
              <w:left w:val="nil"/>
              <w:bottom w:val="nil"/>
              <w:right w:val="nil"/>
            </w:tcBorders>
            <w:shd w:val="clear" w:color="auto" w:fill="auto"/>
            <w:noWrap/>
          </w:tcPr>
          <w:p w14:paraId="1B3C3595" w14:textId="77777777" w:rsidR="00803F80" w:rsidRPr="00427408" w:rsidRDefault="00803F80">
            <w:pPr>
              <w:pStyle w:val="08-Tabelageral"/>
              <w:rPr>
                <w:rFonts w:cs="Arial"/>
              </w:rPr>
            </w:pPr>
            <w:r>
              <w:t>6,193</w:t>
            </w:r>
          </w:p>
        </w:tc>
        <w:tc>
          <w:tcPr>
            <w:tcW w:w="1134" w:type="dxa"/>
            <w:tcBorders>
              <w:top w:val="nil"/>
              <w:left w:val="nil"/>
              <w:bottom w:val="nil"/>
              <w:right w:val="nil"/>
            </w:tcBorders>
            <w:shd w:val="clear" w:color="auto" w:fill="auto"/>
            <w:noWrap/>
          </w:tcPr>
          <w:p w14:paraId="6FE063A7" w14:textId="77777777" w:rsidR="00803F80" w:rsidRPr="00427408" w:rsidRDefault="00803F80">
            <w:pPr>
              <w:pStyle w:val="08-Tabelageral"/>
              <w:rPr>
                <w:rFonts w:cs="Arial"/>
              </w:rPr>
            </w:pPr>
            <w:r>
              <w:t>(</w:t>
            </w:r>
            <w:r w:rsidRPr="00056828">
              <w:t>1</w:t>
            </w:r>
            <w:r>
              <w:t>,</w:t>
            </w:r>
            <w:r w:rsidRPr="00056828">
              <w:t>165</w:t>
            </w:r>
            <w:r>
              <w:t>)</w:t>
            </w:r>
          </w:p>
        </w:tc>
        <w:tc>
          <w:tcPr>
            <w:tcW w:w="850" w:type="dxa"/>
            <w:tcBorders>
              <w:top w:val="nil"/>
              <w:left w:val="nil"/>
              <w:bottom w:val="nil"/>
              <w:right w:val="nil"/>
            </w:tcBorders>
            <w:shd w:val="clear" w:color="auto" w:fill="auto"/>
            <w:noWrap/>
          </w:tcPr>
          <w:p w14:paraId="0E5BE54C" w14:textId="77777777" w:rsidR="00803F80" w:rsidRPr="00427408" w:rsidRDefault="00803F80">
            <w:pPr>
              <w:pStyle w:val="08-Tabelageral"/>
              <w:rPr>
                <w:rFonts w:cs="Arial"/>
              </w:rPr>
            </w:pPr>
            <w:r>
              <w:t>2,735</w:t>
            </w:r>
          </w:p>
        </w:tc>
        <w:tc>
          <w:tcPr>
            <w:tcW w:w="832" w:type="dxa"/>
            <w:tcBorders>
              <w:top w:val="nil"/>
              <w:left w:val="nil"/>
              <w:bottom w:val="nil"/>
              <w:right w:val="nil"/>
            </w:tcBorders>
            <w:shd w:val="clear" w:color="auto" w:fill="auto"/>
            <w:noWrap/>
          </w:tcPr>
          <w:p w14:paraId="7678502D" w14:textId="77777777" w:rsidR="00803F80" w:rsidRPr="00427408" w:rsidRDefault="00803F80">
            <w:pPr>
              <w:pStyle w:val="08-Tabelageral"/>
              <w:rPr>
                <w:rFonts w:cs="Arial"/>
              </w:rPr>
            </w:pPr>
            <w:r>
              <w:t>20,048</w:t>
            </w:r>
          </w:p>
        </w:tc>
        <w:tc>
          <w:tcPr>
            <w:tcW w:w="869" w:type="dxa"/>
            <w:tcBorders>
              <w:top w:val="nil"/>
              <w:left w:val="nil"/>
              <w:bottom w:val="nil"/>
              <w:right w:val="nil"/>
            </w:tcBorders>
            <w:shd w:val="clear" w:color="auto" w:fill="auto"/>
            <w:noWrap/>
          </w:tcPr>
          <w:p w14:paraId="00A8B7B3" w14:textId="77777777" w:rsidR="00803F80" w:rsidRPr="00427408" w:rsidRDefault="00803F80">
            <w:pPr>
              <w:pStyle w:val="08-Tabelageral"/>
              <w:rPr>
                <w:rFonts w:cs="Arial"/>
              </w:rPr>
            </w:pPr>
            <w:r w:rsidRPr="00377F23">
              <w:t>2</w:t>
            </w:r>
            <w:r>
              <w:t>8,783</w:t>
            </w:r>
          </w:p>
        </w:tc>
      </w:tr>
      <w:tr w:rsidR="00803F80" w:rsidRPr="00427408" w14:paraId="2E6795E5" w14:textId="77777777">
        <w:trPr>
          <w:trHeight w:val="66"/>
          <w:jc w:val="center"/>
        </w:trPr>
        <w:tc>
          <w:tcPr>
            <w:tcW w:w="1418" w:type="dxa"/>
            <w:tcBorders>
              <w:top w:val="nil"/>
              <w:bottom w:val="single" w:sz="2" w:space="0" w:color="1F3864" w:themeColor="accent1" w:themeShade="80"/>
            </w:tcBorders>
            <w:shd w:val="clear" w:color="auto" w:fill="auto"/>
            <w:noWrap/>
            <w:hideMark/>
          </w:tcPr>
          <w:p w14:paraId="753169AB" w14:textId="77777777" w:rsidR="00803F80" w:rsidRPr="00427408" w:rsidRDefault="00803F80">
            <w:pPr>
              <w:pStyle w:val="08-Tabelageral"/>
              <w:jc w:val="left"/>
              <w:rPr>
                <w:rFonts w:cs="Arial"/>
                <w:b/>
              </w:rPr>
            </w:pPr>
            <w:r w:rsidRPr="00427408">
              <w:rPr>
                <w:rFonts w:cs="Arial"/>
                <w:b/>
              </w:rPr>
              <w:t>Total</w:t>
            </w:r>
          </w:p>
        </w:tc>
        <w:tc>
          <w:tcPr>
            <w:tcW w:w="992" w:type="dxa"/>
            <w:tcBorders>
              <w:top w:val="nil"/>
              <w:left w:val="nil"/>
              <w:bottom w:val="single" w:sz="2" w:space="0" w:color="1F3864" w:themeColor="accent1" w:themeShade="80"/>
              <w:right w:val="nil"/>
            </w:tcBorders>
            <w:shd w:val="clear" w:color="auto" w:fill="auto"/>
            <w:noWrap/>
            <w:hideMark/>
          </w:tcPr>
          <w:p w14:paraId="03AFBDC2" w14:textId="77777777" w:rsidR="00803F80" w:rsidRPr="0067314E" w:rsidRDefault="00803F80">
            <w:pPr>
              <w:pStyle w:val="08-Tabelageral"/>
              <w:rPr>
                <w:rFonts w:cs="Arial"/>
                <w:b/>
                <w:bCs/>
              </w:rPr>
            </w:pPr>
            <w:r w:rsidRPr="0067314E">
              <w:rPr>
                <w:rFonts w:cs="Arial"/>
                <w:b/>
                <w:bCs/>
              </w:rPr>
              <w:t>1</w:t>
            </w:r>
            <w:r>
              <w:rPr>
                <w:rFonts w:cs="Arial"/>
                <w:b/>
                <w:bCs/>
              </w:rPr>
              <w:t>,</w:t>
            </w:r>
            <w:r w:rsidRPr="0067314E">
              <w:rPr>
                <w:rFonts w:cs="Arial"/>
                <w:b/>
                <w:bCs/>
              </w:rPr>
              <w:t>448</w:t>
            </w:r>
            <w:r>
              <w:rPr>
                <w:rFonts w:cs="Arial"/>
                <w:b/>
                <w:bCs/>
              </w:rPr>
              <w:t>,</w:t>
            </w:r>
            <w:r w:rsidRPr="0067314E">
              <w:rPr>
                <w:rFonts w:cs="Arial"/>
                <w:b/>
                <w:bCs/>
              </w:rPr>
              <w:t>130</w:t>
            </w:r>
          </w:p>
        </w:tc>
        <w:tc>
          <w:tcPr>
            <w:tcW w:w="992" w:type="dxa"/>
            <w:tcBorders>
              <w:top w:val="nil"/>
              <w:left w:val="nil"/>
              <w:bottom w:val="single" w:sz="2" w:space="0" w:color="1F3864" w:themeColor="accent1" w:themeShade="80"/>
              <w:right w:val="nil"/>
            </w:tcBorders>
            <w:shd w:val="clear" w:color="auto" w:fill="auto"/>
            <w:noWrap/>
            <w:hideMark/>
          </w:tcPr>
          <w:p w14:paraId="080F800A" w14:textId="77777777" w:rsidR="00803F80" w:rsidRPr="0067314E" w:rsidRDefault="00803F80">
            <w:pPr>
              <w:pStyle w:val="08-Tabelageral"/>
              <w:rPr>
                <w:rFonts w:cs="Arial"/>
                <w:b/>
                <w:bCs/>
              </w:rPr>
            </w:pPr>
            <w:r w:rsidRPr="0067314E">
              <w:rPr>
                <w:b/>
                <w:bCs/>
              </w:rPr>
              <w:t>1</w:t>
            </w:r>
            <w:r>
              <w:rPr>
                <w:b/>
                <w:bCs/>
              </w:rPr>
              <w:t>,</w:t>
            </w:r>
            <w:r w:rsidRPr="0067314E">
              <w:rPr>
                <w:b/>
                <w:bCs/>
              </w:rPr>
              <w:t>607</w:t>
            </w:r>
            <w:r>
              <w:rPr>
                <w:b/>
                <w:bCs/>
              </w:rPr>
              <w:t>,</w:t>
            </w:r>
            <w:r w:rsidRPr="0067314E">
              <w:rPr>
                <w:b/>
                <w:bCs/>
              </w:rPr>
              <w:t>391</w:t>
            </w:r>
          </w:p>
        </w:tc>
        <w:tc>
          <w:tcPr>
            <w:tcW w:w="1418" w:type="dxa"/>
            <w:tcBorders>
              <w:top w:val="nil"/>
              <w:left w:val="nil"/>
              <w:bottom w:val="single" w:sz="2" w:space="0" w:color="1F3864" w:themeColor="accent1" w:themeShade="80"/>
              <w:right w:val="nil"/>
            </w:tcBorders>
          </w:tcPr>
          <w:p w14:paraId="55AFBAD3" w14:textId="77777777" w:rsidR="00803F80" w:rsidRDefault="00803F80">
            <w:pPr>
              <w:pStyle w:val="08-Tabelageral"/>
              <w:rPr>
                <w:rFonts w:cs="Arial"/>
                <w:b/>
                <w:bCs/>
              </w:rPr>
            </w:pPr>
            <w:r>
              <w:rPr>
                <w:rFonts w:cs="Arial"/>
                <w:b/>
                <w:bCs/>
              </w:rPr>
              <w:t>(1,586,371)</w:t>
            </w:r>
          </w:p>
        </w:tc>
        <w:tc>
          <w:tcPr>
            <w:tcW w:w="1134" w:type="dxa"/>
            <w:tcBorders>
              <w:top w:val="nil"/>
              <w:left w:val="nil"/>
              <w:bottom w:val="single" w:sz="2" w:space="0" w:color="1F3864" w:themeColor="accent1" w:themeShade="80"/>
              <w:right w:val="nil"/>
            </w:tcBorders>
            <w:shd w:val="clear" w:color="auto" w:fill="auto"/>
            <w:noWrap/>
          </w:tcPr>
          <w:p w14:paraId="519F1D86" w14:textId="77777777" w:rsidR="00803F80" w:rsidRPr="0067314E" w:rsidRDefault="00803F80">
            <w:pPr>
              <w:pStyle w:val="08-Tabelageral"/>
              <w:rPr>
                <w:rFonts w:cs="Arial"/>
                <w:b/>
                <w:bCs/>
              </w:rPr>
            </w:pPr>
            <w:r>
              <w:rPr>
                <w:b/>
                <w:bCs/>
              </w:rPr>
              <w:t>6,193</w:t>
            </w:r>
          </w:p>
        </w:tc>
        <w:tc>
          <w:tcPr>
            <w:tcW w:w="1134" w:type="dxa"/>
            <w:tcBorders>
              <w:top w:val="nil"/>
              <w:left w:val="nil"/>
              <w:bottom w:val="single" w:sz="2" w:space="0" w:color="1F3864" w:themeColor="accent1" w:themeShade="80"/>
              <w:right w:val="nil"/>
            </w:tcBorders>
            <w:shd w:val="clear" w:color="auto" w:fill="auto"/>
            <w:noWrap/>
          </w:tcPr>
          <w:p w14:paraId="603C7498" w14:textId="77777777" w:rsidR="00803F80" w:rsidRPr="0067314E" w:rsidRDefault="00803F80">
            <w:pPr>
              <w:pStyle w:val="08-Tabelageral"/>
              <w:rPr>
                <w:rFonts w:cs="Arial"/>
                <w:b/>
                <w:bCs/>
              </w:rPr>
            </w:pPr>
            <w:r>
              <w:rPr>
                <w:b/>
                <w:bCs/>
              </w:rPr>
              <w:t>(</w:t>
            </w:r>
            <w:r w:rsidRPr="0068227D">
              <w:rPr>
                <w:b/>
                <w:bCs/>
              </w:rPr>
              <w:t>1</w:t>
            </w:r>
            <w:r>
              <w:rPr>
                <w:b/>
                <w:bCs/>
              </w:rPr>
              <w:t>,</w:t>
            </w:r>
            <w:r w:rsidRPr="0068227D">
              <w:rPr>
                <w:b/>
                <w:bCs/>
              </w:rPr>
              <w:t>165</w:t>
            </w:r>
            <w:r>
              <w:rPr>
                <w:b/>
                <w:bCs/>
              </w:rPr>
              <w:t>)</w:t>
            </w:r>
          </w:p>
        </w:tc>
        <w:tc>
          <w:tcPr>
            <w:tcW w:w="850" w:type="dxa"/>
            <w:tcBorders>
              <w:top w:val="nil"/>
              <w:left w:val="nil"/>
              <w:bottom w:val="single" w:sz="2" w:space="0" w:color="1F3864" w:themeColor="accent1" w:themeShade="80"/>
              <w:right w:val="nil"/>
            </w:tcBorders>
            <w:shd w:val="clear" w:color="auto" w:fill="auto"/>
            <w:noWrap/>
          </w:tcPr>
          <w:p w14:paraId="0A51E009" w14:textId="77777777" w:rsidR="00803F80" w:rsidRPr="0067314E" w:rsidRDefault="00803F80">
            <w:pPr>
              <w:pStyle w:val="08-Tabelageral"/>
              <w:rPr>
                <w:rFonts w:cs="Arial"/>
                <w:b/>
                <w:bCs/>
              </w:rPr>
            </w:pPr>
            <w:r>
              <w:rPr>
                <w:b/>
                <w:bCs/>
              </w:rPr>
              <w:t>2,735</w:t>
            </w:r>
          </w:p>
        </w:tc>
        <w:tc>
          <w:tcPr>
            <w:tcW w:w="832" w:type="dxa"/>
            <w:tcBorders>
              <w:top w:val="nil"/>
              <w:left w:val="nil"/>
              <w:bottom w:val="single" w:sz="2" w:space="0" w:color="1F3864" w:themeColor="accent1" w:themeShade="80"/>
              <w:right w:val="nil"/>
            </w:tcBorders>
            <w:shd w:val="clear" w:color="auto" w:fill="auto"/>
            <w:noWrap/>
          </w:tcPr>
          <w:p w14:paraId="020C7391" w14:textId="77777777" w:rsidR="00803F80" w:rsidRPr="0067314E" w:rsidRDefault="00803F80">
            <w:pPr>
              <w:pStyle w:val="08-Tabelageral"/>
              <w:rPr>
                <w:rFonts w:cs="Arial"/>
                <w:b/>
                <w:bCs/>
              </w:rPr>
            </w:pPr>
            <w:r>
              <w:rPr>
                <w:b/>
                <w:bCs/>
              </w:rPr>
              <w:t>20,048</w:t>
            </w:r>
          </w:p>
        </w:tc>
        <w:tc>
          <w:tcPr>
            <w:tcW w:w="869" w:type="dxa"/>
            <w:tcBorders>
              <w:top w:val="nil"/>
              <w:left w:val="nil"/>
              <w:bottom w:val="single" w:sz="2" w:space="0" w:color="1F3864" w:themeColor="accent1" w:themeShade="80"/>
              <w:right w:val="nil"/>
            </w:tcBorders>
            <w:shd w:val="clear" w:color="auto" w:fill="auto"/>
            <w:noWrap/>
          </w:tcPr>
          <w:p w14:paraId="32BA414B" w14:textId="77777777" w:rsidR="00803F80" w:rsidRPr="0067314E" w:rsidRDefault="00803F80">
            <w:pPr>
              <w:pStyle w:val="08-Tabelageral"/>
              <w:rPr>
                <w:rFonts w:cs="Arial"/>
                <w:b/>
                <w:bCs/>
              </w:rPr>
            </w:pPr>
            <w:r w:rsidRPr="00480CA9">
              <w:rPr>
                <w:b/>
                <w:bCs/>
              </w:rPr>
              <w:t>2</w:t>
            </w:r>
            <w:r>
              <w:rPr>
                <w:b/>
                <w:bCs/>
              </w:rPr>
              <w:t>8,783</w:t>
            </w:r>
          </w:p>
        </w:tc>
      </w:tr>
    </w:tbl>
    <w:p w14:paraId="56EE2CC9" w14:textId="77777777" w:rsidR="00803F80" w:rsidRDefault="00803F80" w:rsidP="00A76AF4">
      <w:pPr>
        <w:pStyle w:val="07-Legenda"/>
        <w:numPr>
          <w:ilvl w:val="0"/>
          <w:numId w:val="12"/>
        </w:numPr>
        <w:spacing w:line="276" w:lineRule="auto"/>
        <w:rPr>
          <w:lang w:val="en-US"/>
        </w:rPr>
      </w:pPr>
      <w:r w:rsidRPr="009E123A">
        <w:rPr>
          <w:lang w:val="en-US"/>
        </w:rPr>
        <w:t xml:space="preserve">Refers to investments in Private Equity Investment Funds (FIP) whose objective is to invest its Shareholders' Equity in the acquisition of shares, or financial instruments that present participation, in companies in the initial stage of operation. </w:t>
      </w:r>
    </w:p>
    <w:p w14:paraId="0A38F683" w14:textId="77777777" w:rsidR="00803F80" w:rsidRPr="009E123A" w:rsidRDefault="00803F80" w:rsidP="00A76AF4">
      <w:pPr>
        <w:pStyle w:val="07-Legenda"/>
        <w:numPr>
          <w:ilvl w:val="0"/>
          <w:numId w:val="12"/>
        </w:numPr>
        <w:spacing w:line="276" w:lineRule="auto"/>
        <w:rPr>
          <w:lang w:val="en-US"/>
        </w:rPr>
      </w:pPr>
      <w:r w:rsidRPr="009E123A">
        <w:rPr>
          <w:lang w:val="en-US"/>
        </w:rPr>
        <w:t>In the 2</w:t>
      </w:r>
      <w:r w:rsidRPr="00BF2BE5">
        <w:rPr>
          <w:vertAlign w:val="superscript"/>
          <w:lang w:val="en-US"/>
        </w:rPr>
        <w:t>nd</w:t>
      </w:r>
      <w:r w:rsidRPr="009E123A">
        <w:rPr>
          <w:lang w:val="en-US"/>
        </w:rPr>
        <w:t xml:space="preserve"> quarter of 2024, the value of the LFT was determined at amortized cost as per table b.</w:t>
      </w:r>
    </w:p>
    <w:p w14:paraId="4655AAC0" w14:textId="77777777" w:rsidR="00803F80" w:rsidRDefault="00803F80" w:rsidP="005E57FF">
      <w:pPr>
        <w:pStyle w:val="PargrafodaLista"/>
        <w:pageBreakBefore/>
        <w:ind w:left="357"/>
        <w:rPr>
          <w:rFonts w:ascii="Arial" w:hAnsi="Arial" w:cs="Arial"/>
          <w:b/>
          <w:color w:val="1F3864" w:themeColor="accent1" w:themeShade="80"/>
          <w:sz w:val="20"/>
          <w:szCs w:val="20"/>
          <w:lang w:val="en-US"/>
        </w:rPr>
      </w:pPr>
    </w:p>
    <w:p w14:paraId="5F845334" w14:textId="77777777" w:rsidR="00803F80" w:rsidRPr="00B83464" w:rsidRDefault="00803F80" w:rsidP="005E57FF">
      <w:pPr>
        <w:pStyle w:val="PargrafodaLista"/>
        <w:keepNext/>
        <w:numPr>
          <w:ilvl w:val="0"/>
          <w:numId w:val="11"/>
        </w:numPr>
        <w:spacing w:line="276" w:lineRule="auto"/>
        <w:ind w:left="357" w:hanging="357"/>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7278C85B" w14:textId="77777777" w:rsidR="00803F80" w:rsidRDefault="00803F80" w:rsidP="00803F80">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803F80" w:rsidRPr="00F80522" w14:paraId="4FCB6DA7" w14:textId="77777777">
        <w:trPr>
          <w:trHeight w:val="238"/>
        </w:trPr>
        <w:tc>
          <w:tcPr>
            <w:tcW w:w="1418" w:type="dxa"/>
            <w:tcBorders>
              <w:top w:val="single" w:sz="2" w:space="0" w:color="1F3864" w:themeColor="accent1" w:themeShade="80"/>
            </w:tcBorders>
            <w:shd w:val="clear" w:color="auto" w:fill="auto"/>
          </w:tcPr>
          <w:p w14:paraId="1EAB3C6D" w14:textId="77777777" w:rsidR="00803F80" w:rsidRPr="00F80522" w:rsidRDefault="00803F80">
            <w:pPr>
              <w:spacing w:after="0"/>
              <w:jc w:val="center"/>
              <w:rPr>
                <w:rFonts w:ascii="Arial" w:hAnsi="Arial" w:cs="Arial"/>
                <w:b/>
                <w:sz w:val="14"/>
                <w:szCs w:val="14"/>
              </w:rPr>
            </w:pPr>
          </w:p>
        </w:tc>
        <w:tc>
          <w:tcPr>
            <w:tcW w:w="283" w:type="dxa"/>
            <w:tcBorders>
              <w:top w:val="single" w:sz="2" w:space="0" w:color="1F3864" w:themeColor="accent1" w:themeShade="80"/>
            </w:tcBorders>
          </w:tcPr>
          <w:p w14:paraId="2A39F4B2" w14:textId="77777777" w:rsidR="00803F80" w:rsidRDefault="00803F80">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shd w:val="clear" w:color="auto" w:fill="auto"/>
            <w:vAlign w:val="center"/>
          </w:tcPr>
          <w:p w14:paraId="0C6D1501" w14:textId="77777777" w:rsidR="00803F80" w:rsidRPr="00F80522" w:rsidRDefault="00803F80">
            <w:pPr>
              <w:pStyle w:val="08-Tabelageral"/>
              <w:jc w:val="center"/>
              <w:rPr>
                <w:rFonts w:cs="Arial"/>
                <w:b/>
                <w:szCs w:val="14"/>
              </w:rPr>
            </w:pPr>
            <w:proofErr w:type="spellStart"/>
            <w:r>
              <w:rPr>
                <w:rFonts w:cs="Arial"/>
                <w:b/>
                <w:szCs w:val="14"/>
              </w:rPr>
              <w:t>Consolidated</w:t>
            </w:r>
            <w:proofErr w:type="spellEnd"/>
          </w:p>
        </w:tc>
      </w:tr>
      <w:tr w:rsidR="00803F80" w:rsidRPr="00F80522" w14:paraId="4DDB812A" w14:textId="77777777">
        <w:trPr>
          <w:trHeight w:val="238"/>
        </w:trPr>
        <w:tc>
          <w:tcPr>
            <w:tcW w:w="1418" w:type="dxa"/>
            <w:shd w:val="clear" w:color="auto" w:fill="auto"/>
          </w:tcPr>
          <w:p w14:paraId="4A3A728A" w14:textId="77777777" w:rsidR="00803F80" w:rsidRPr="00F80522" w:rsidRDefault="00803F80">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shd w:val="clear" w:color="auto" w:fill="auto"/>
            <w:vAlign w:val="center"/>
          </w:tcPr>
          <w:p w14:paraId="3F48EDED" w14:textId="77777777" w:rsidR="00803F80" w:rsidRPr="00F80522" w:rsidRDefault="00803F80">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23</w:t>
            </w:r>
          </w:p>
        </w:tc>
        <w:tc>
          <w:tcPr>
            <w:tcW w:w="1418" w:type="dxa"/>
            <w:tcBorders>
              <w:top w:val="single" w:sz="2" w:space="0" w:color="1F3864" w:themeColor="accent1" w:themeShade="80"/>
              <w:bottom w:val="single" w:sz="2" w:space="0" w:color="1F3864" w:themeColor="accent1" w:themeShade="80"/>
            </w:tcBorders>
          </w:tcPr>
          <w:p w14:paraId="6BDC761C" w14:textId="77777777" w:rsidR="00803F80" w:rsidRPr="00F80522" w:rsidRDefault="00803F8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3AC0849" w14:textId="77777777" w:rsidR="00803F80" w:rsidRPr="00F80522" w:rsidRDefault="00803F80">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79C69296" w14:textId="77777777" w:rsidR="00803F80" w:rsidRPr="00F80522" w:rsidRDefault="00803F80">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51F27BED" w14:textId="77777777" w:rsidR="00803F80" w:rsidRPr="00F80522" w:rsidRDefault="00803F80">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shd w:val="clear" w:color="auto" w:fill="auto"/>
            <w:vAlign w:val="center"/>
          </w:tcPr>
          <w:p w14:paraId="5E89219E" w14:textId="77777777" w:rsidR="00803F80" w:rsidRPr="00F80522" w:rsidRDefault="00803F80">
            <w:pPr>
              <w:spacing w:after="0"/>
              <w:jc w:val="center"/>
              <w:rPr>
                <w:rFonts w:ascii="Arial" w:hAnsi="Arial" w:cs="Arial"/>
                <w:b/>
                <w:sz w:val="14"/>
                <w:szCs w:val="14"/>
              </w:rPr>
            </w:pPr>
            <w:r>
              <w:rPr>
                <w:rFonts w:ascii="Arial" w:hAnsi="Arial" w:cs="Arial"/>
                <w:b/>
                <w:sz w:val="14"/>
                <w:szCs w:val="14"/>
              </w:rPr>
              <w:t>31.12.2024</w:t>
            </w:r>
          </w:p>
        </w:tc>
      </w:tr>
      <w:tr w:rsidR="00803F80" w:rsidRPr="00F80522" w14:paraId="02312D9C" w14:textId="77777777">
        <w:trPr>
          <w:trHeight w:val="238"/>
        </w:trPr>
        <w:tc>
          <w:tcPr>
            <w:tcW w:w="1418" w:type="dxa"/>
            <w:tcBorders>
              <w:bottom w:val="single" w:sz="2" w:space="0" w:color="1F3864" w:themeColor="accent1" w:themeShade="80"/>
            </w:tcBorders>
            <w:shd w:val="clear" w:color="auto" w:fill="auto"/>
          </w:tcPr>
          <w:p w14:paraId="78F70F22" w14:textId="77777777" w:rsidR="00803F80" w:rsidRPr="00F80522" w:rsidRDefault="00803F80">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shd w:val="clear" w:color="auto" w:fill="auto"/>
            <w:vAlign w:val="center"/>
          </w:tcPr>
          <w:p w14:paraId="390C7440" w14:textId="77777777" w:rsidR="00803F80" w:rsidRPr="00F80522" w:rsidRDefault="00803F80">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2DD4A07B" w14:textId="77777777" w:rsidR="00803F80" w:rsidRPr="00F80522" w:rsidRDefault="00803F80">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511D515E" w14:textId="77777777" w:rsidR="00803F80" w:rsidRPr="00BF2BE5" w:rsidRDefault="00803F80">
            <w:pPr>
              <w:pStyle w:val="08-Tabelageral"/>
              <w:jc w:val="center"/>
              <w:rPr>
                <w:rFonts w:cs="Arial"/>
                <w:b/>
                <w:vertAlign w:val="superscript"/>
              </w:rPr>
            </w:pPr>
            <w:proofErr w:type="spellStart"/>
            <w:r>
              <w:rPr>
                <w:rFonts w:cs="Arial"/>
                <w:b/>
              </w:rPr>
              <w:t>Reclassification</w:t>
            </w:r>
            <w:proofErr w:type="spellEnd"/>
            <w:r>
              <w:rPr>
                <w:rFonts w:cs="Arial"/>
                <w:b/>
              </w:rPr>
              <w:t xml:space="preserve"> </w:t>
            </w:r>
            <w:r>
              <w:rPr>
                <w:rFonts w:cs="Arial"/>
                <w:b/>
                <w:vertAlign w:val="superscript"/>
              </w:rPr>
              <w:t>(2)</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CC77650" w14:textId="77777777" w:rsidR="00803F80" w:rsidRPr="00F80522" w:rsidRDefault="00803F80">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B12BBDF" w14:textId="77777777" w:rsidR="00803F80" w:rsidRPr="00F80522" w:rsidRDefault="00803F80">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58BE2790" w14:textId="77777777" w:rsidR="00803F80" w:rsidRPr="00F80522" w:rsidRDefault="00803F80">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shd w:val="clear" w:color="auto" w:fill="auto"/>
            <w:vAlign w:val="center"/>
          </w:tcPr>
          <w:p w14:paraId="12009914" w14:textId="77777777" w:rsidR="00803F80" w:rsidRPr="00F80522" w:rsidRDefault="00803F80">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shd w:val="clear" w:color="auto" w:fill="auto"/>
            <w:vAlign w:val="center"/>
          </w:tcPr>
          <w:p w14:paraId="3BFD5EF8" w14:textId="77777777" w:rsidR="00803F80" w:rsidRPr="00F80522" w:rsidRDefault="00803F80">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803F80" w:rsidRPr="00F80522" w14:paraId="3123C38F" w14:textId="77777777">
        <w:trPr>
          <w:trHeight w:val="238"/>
        </w:trPr>
        <w:tc>
          <w:tcPr>
            <w:tcW w:w="1418" w:type="dxa"/>
            <w:tcBorders>
              <w:top w:val="single" w:sz="2" w:space="0" w:color="1F3864" w:themeColor="accent1" w:themeShade="80"/>
            </w:tcBorders>
            <w:shd w:val="clear" w:color="auto" w:fill="auto"/>
          </w:tcPr>
          <w:p w14:paraId="33AF6129" w14:textId="77777777" w:rsidR="00803F80" w:rsidRPr="00F878D3" w:rsidRDefault="00803F80">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shd w:val="clear" w:color="auto" w:fill="auto"/>
          </w:tcPr>
          <w:p w14:paraId="6A2F312B" w14:textId="77777777" w:rsidR="00803F80" w:rsidRPr="00F80522" w:rsidRDefault="00803F80">
            <w:pPr>
              <w:pStyle w:val="08-Tabelageral"/>
              <w:rPr>
                <w:szCs w:val="14"/>
              </w:rPr>
            </w:pPr>
            <w:r>
              <w:rPr>
                <w:rFonts w:cs="Arial"/>
              </w:rPr>
              <w:t>--</w:t>
            </w:r>
          </w:p>
        </w:tc>
        <w:tc>
          <w:tcPr>
            <w:tcW w:w="992" w:type="dxa"/>
            <w:tcBorders>
              <w:top w:val="single" w:sz="2" w:space="0" w:color="1F3864" w:themeColor="accent1" w:themeShade="80"/>
              <w:left w:val="nil"/>
              <w:bottom w:val="nil"/>
              <w:right w:val="nil"/>
            </w:tcBorders>
            <w:shd w:val="clear" w:color="auto" w:fill="auto"/>
          </w:tcPr>
          <w:p w14:paraId="2F7E3635" w14:textId="77777777" w:rsidR="00803F80" w:rsidRPr="00F80522" w:rsidRDefault="00803F80">
            <w:pPr>
              <w:pStyle w:val="08-Tabelageral"/>
              <w:rPr>
                <w:szCs w:val="14"/>
              </w:rPr>
            </w:pPr>
            <w:r>
              <w:rPr>
                <w:rFonts w:cs="Arial"/>
              </w:rPr>
              <w:t>--</w:t>
            </w:r>
          </w:p>
        </w:tc>
        <w:tc>
          <w:tcPr>
            <w:tcW w:w="1418" w:type="dxa"/>
            <w:tcBorders>
              <w:top w:val="single" w:sz="2" w:space="0" w:color="1F3864" w:themeColor="accent1" w:themeShade="80"/>
              <w:left w:val="nil"/>
              <w:bottom w:val="nil"/>
              <w:right w:val="nil"/>
            </w:tcBorders>
          </w:tcPr>
          <w:p w14:paraId="17F26533" w14:textId="77777777" w:rsidR="00803F80" w:rsidRPr="00FB1C0D" w:rsidRDefault="00803F80">
            <w:pPr>
              <w:pStyle w:val="08-Tabelageral"/>
            </w:pPr>
            <w:r>
              <w:t>1,586,371</w:t>
            </w:r>
          </w:p>
        </w:tc>
        <w:tc>
          <w:tcPr>
            <w:tcW w:w="1134" w:type="dxa"/>
            <w:tcBorders>
              <w:top w:val="single" w:sz="2" w:space="0" w:color="1F3864" w:themeColor="accent1" w:themeShade="80"/>
              <w:left w:val="nil"/>
              <w:bottom w:val="nil"/>
              <w:right w:val="nil"/>
            </w:tcBorders>
            <w:shd w:val="clear" w:color="auto" w:fill="auto"/>
          </w:tcPr>
          <w:p w14:paraId="4921161E" w14:textId="77777777" w:rsidR="00803F80" w:rsidRPr="00F80522" w:rsidRDefault="00803F80">
            <w:pPr>
              <w:pStyle w:val="08-Tabelageral"/>
              <w:rPr>
                <w:szCs w:val="14"/>
              </w:rPr>
            </w:pPr>
            <w:r w:rsidRPr="00813A6D">
              <w:t>--</w:t>
            </w:r>
          </w:p>
        </w:tc>
        <w:tc>
          <w:tcPr>
            <w:tcW w:w="1134" w:type="dxa"/>
            <w:tcBorders>
              <w:top w:val="single" w:sz="2" w:space="0" w:color="1F3864" w:themeColor="accent1" w:themeShade="80"/>
              <w:left w:val="nil"/>
              <w:bottom w:val="nil"/>
              <w:right w:val="nil"/>
            </w:tcBorders>
            <w:shd w:val="clear" w:color="auto" w:fill="auto"/>
          </w:tcPr>
          <w:p w14:paraId="155A4668" w14:textId="77777777" w:rsidR="00803F80" w:rsidRPr="00F80522" w:rsidRDefault="00803F80">
            <w:pPr>
              <w:pStyle w:val="08-Tabelageral"/>
              <w:rPr>
                <w:szCs w:val="14"/>
              </w:rPr>
            </w:pPr>
            <w:r w:rsidRPr="00813A6D">
              <w:t>--</w:t>
            </w:r>
          </w:p>
        </w:tc>
        <w:tc>
          <w:tcPr>
            <w:tcW w:w="850" w:type="dxa"/>
            <w:tcBorders>
              <w:top w:val="single" w:sz="2" w:space="0" w:color="1F3864" w:themeColor="accent1" w:themeShade="80"/>
              <w:left w:val="nil"/>
              <w:bottom w:val="nil"/>
              <w:right w:val="nil"/>
            </w:tcBorders>
            <w:shd w:val="clear" w:color="auto" w:fill="auto"/>
          </w:tcPr>
          <w:p w14:paraId="434BBE86" w14:textId="77777777" w:rsidR="00803F80" w:rsidRPr="00F80522" w:rsidRDefault="00803F80">
            <w:pPr>
              <w:pStyle w:val="08-Tabelageral"/>
              <w:rPr>
                <w:rFonts w:cs="Arial"/>
                <w:szCs w:val="14"/>
              </w:rPr>
            </w:pPr>
            <w:r w:rsidRPr="00B17C35">
              <w:t>1</w:t>
            </w:r>
            <w:r>
              <w:t>72,640</w:t>
            </w:r>
          </w:p>
        </w:tc>
        <w:tc>
          <w:tcPr>
            <w:tcW w:w="851" w:type="dxa"/>
            <w:tcBorders>
              <w:top w:val="single" w:sz="2" w:space="0" w:color="1F3864" w:themeColor="accent1" w:themeShade="80"/>
              <w:left w:val="nil"/>
              <w:bottom w:val="nil"/>
              <w:right w:val="nil"/>
            </w:tcBorders>
            <w:shd w:val="clear" w:color="auto" w:fill="auto"/>
          </w:tcPr>
          <w:p w14:paraId="4BD9041A" w14:textId="77777777" w:rsidR="00803F80" w:rsidRPr="00F80522" w:rsidRDefault="00803F80">
            <w:pPr>
              <w:pStyle w:val="08-Tabelageral"/>
              <w:rPr>
                <w:szCs w:val="14"/>
              </w:rPr>
            </w:pPr>
            <w:r w:rsidRPr="00B17C35">
              <w:t>1</w:t>
            </w:r>
            <w:r>
              <w:t>,</w:t>
            </w:r>
            <w:r w:rsidRPr="00B17C35">
              <w:t>433</w:t>
            </w:r>
            <w:r>
              <w:t>,</w:t>
            </w:r>
            <w:r w:rsidRPr="00B17C35">
              <w:t>111</w:t>
            </w:r>
          </w:p>
        </w:tc>
        <w:tc>
          <w:tcPr>
            <w:tcW w:w="850" w:type="dxa"/>
            <w:tcBorders>
              <w:top w:val="single" w:sz="2" w:space="0" w:color="1F3864" w:themeColor="accent1" w:themeShade="80"/>
              <w:left w:val="nil"/>
              <w:bottom w:val="nil"/>
              <w:right w:val="nil"/>
            </w:tcBorders>
            <w:shd w:val="clear" w:color="auto" w:fill="auto"/>
          </w:tcPr>
          <w:p w14:paraId="5F7F4916" w14:textId="77777777" w:rsidR="00803F80" w:rsidRPr="00F80522" w:rsidRDefault="00803F80">
            <w:pPr>
              <w:pStyle w:val="08-Tabelageral"/>
              <w:rPr>
                <w:szCs w:val="14"/>
              </w:rPr>
            </w:pPr>
            <w:r w:rsidRPr="00B17C35">
              <w:t>1</w:t>
            </w:r>
            <w:r>
              <w:t>,</w:t>
            </w:r>
            <w:r w:rsidRPr="00B17C35">
              <w:t>7</w:t>
            </w:r>
            <w:r>
              <w:t>59,011</w:t>
            </w:r>
          </w:p>
        </w:tc>
      </w:tr>
      <w:tr w:rsidR="00803F80" w:rsidRPr="00F80522" w14:paraId="1915473B" w14:textId="77777777">
        <w:trPr>
          <w:trHeight w:val="238"/>
        </w:trPr>
        <w:tc>
          <w:tcPr>
            <w:tcW w:w="1418" w:type="dxa"/>
            <w:tcBorders>
              <w:bottom w:val="single" w:sz="2" w:space="0" w:color="1F3864" w:themeColor="accent1" w:themeShade="80"/>
            </w:tcBorders>
            <w:shd w:val="clear" w:color="auto" w:fill="auto"/>
          </w:tcPr>
          <w:p w14:paraId="44121460" w14:textId="77777777" w:rsidR="00803F80" w:rsidRPr="00F80522" w:rsidRDefault="00803F80">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shd w:val="clear" w:color="auto" w:fill="auto"/>
          </w:tcPr>
          <w:p w14:paraId="04A46F09" w14:textId="77777777" w:rsidR="00803F80" w:rsidRPr="00F80522" w:rsidRDefault="00803F80">
            <w:pPr>
              <w:pStyle w:val="08-Tabelageral"/>
              <w:rPr>
                <w:b/>
                <w:szCs w:val="14"/>
              </w:rPr>
            </w:pPr>
            <w:r>
              <w:rPr>
                <w:rFonts w:cs="Arial"/>
                <w:b/>
                <w:bCs/>
              </w:rPr>
              <w:t>--</w:t>
            </w:r>
          </w:p>
        </w:tc>
        <w:tc>
          <w:tcPr>
            <w:tcW w:w="992" w:type="dxa"/>
            <w:tcBorders>
              <w:top w:val="nil"/>
              <w:left w:val="nil"/>
              <w:bottom w:val="single" w:sz="2" w:space="0" w:color="1F3864" w:themeColor="accent1" w:themeShade="80"/>
              <w:right w:val="nil"/>
            </w:tcBorders>
            <w:shd w:val="clear" w:color="auto" w:fill="auto"/>
          </w:tcPr>
          <w:p w14:paraId="33445CAD" w14:textId="77777777" w:rsidR="00803F80" w:rsidRPr="00F80522" w:rsidRDefault="00803F80">
            <w:pPr>
              <w:pStyle w:val="08-Tabelageral"/>
              <w:rPr>
                <w:b/>
                <w:szCs w:val="14"/>
              </w:rPr>
            </w:pPr>
            <w:r>
              <w:rPr>
                <w:rFonts w:cs="Arial"/>
                <w:b/>
                <w:bCs/>
              </w:rPr>
              <w:t>--</w:t>
            </w:r>
          </w:p>
        </w:tc>
        <w:tc>
          <w:tcPr>
            <w:tcW w:w="1418" w:type="dxa"/>
            <w:tcBorders>
              <w:top w:val="nil"/>
              <w:left w:val="nil"/>
              <w:bottom w:val="single" w:sz="2" w:space="0" w:color="1F3864" w:themeColor="accent1" w:themeShade="80"/>
              <w:right w:val="nil"/>
            </w:tcBorders>
          </w:tcPr>
          <w:p w14:paraId="60A4195C" w14:textId="77777777" w:rsidR="00803F80" w:rsidRPr="006F23AE" w:rsidRDefault="00803F80">
            <w:pPr>
              <w:pStyle w:val="08-Tabelageral"/>
              <w:rPr>
                <w:b/>
                <w:bCs/>
              </w:rPr>
            </w:pPr>
            <w:r>
              <w:rPr>
                <w:b/>
                <w:bCs/>
              </w:rPr>
              <w:t>1,586,371</w:t>
            </w:r>
          </w:p>
        </w:tc>
        <w:tc>
          <w:tcPr>
            <w:tcW w:w="1134" w:type="dxa"/>
            <w:tcBorders>
              <w:top w:val="nil"/>
              <w:left w:val="nil"/>
              <w:bottom w:val="single" w:sz="2" w:space="0" w:color="1F3864" w:themeColor="accent1" w:themeShade="80"/>
              <w:right w:val="nil"/>
            </w:tcBorders>
            <w:shd w:val="clear" w:color="auto" w:fill="auto"/>
          </w:tcPr>
          <w:p w14:paraId="126DC753" w14:textId="77777777" w:rsidR="00803F80" w:rsidRPr="00F80522" w:rsidRDefault="00803F80">
            <w:pPr>
              <w:pStyle w:val="08-Tabelageral"/>
              <w:rPr>
                <w:b/>
                <w:szCs w:val="14"/>
              </w:rPr>
            </w:pPr>
            <w:r w:rsidRPr="00971EA8">
              <w:rPr>
                <w:b/>
                <w:bCs/>
              </w:rPr>
              <w:t>--</w:t>
            </w:r>
          </w:p>
        </w:tc>
        <w:tc>
          <w:tcPr>
            <w:tcW w:w="1134" w:type="dxa"/>
            <w:tcBorders>
              <w:top w:val="nil"/>
              <w:left w:val="nil"/>
              <w:bottom w:val="single" w:sz="2" w:space="0" w:color="1F3864" w:themeColor="accent1" w:themeShade="80"/>
              <w:right w:val="nil"/>
            </w:tcBorders>
            <w:shd w:val="clear" w:color="auto" w:fill="auto"/>
          </w:tcPr>
          <w:p w14:paraId="18847A05" w14:textId="77777777" w:rsidR="00803F80" w:rsidRPr="00F80522" w:rsidRDefault="00803F80">
            <w:pPr>
              <w:pStyle w:val="08-Tabelageral"/>
              <w:rPr>
                <w:b/>
                <w:szCs w:val="14"/>
              </w:rPr>
            </w:pPr>
            <w:r w:rsidRPr="00971EA8">
              <w:rPr>
                <w:b/>
                <w:bCs/>
              </w:rPr>
              <w:t>--</w:t>
            </w:r>
          </w:p>
        </w:tc>
        <w:tc>
          <w:tcPr>
            <w:tcW w:w="850" w:type="dxa"/>
            <w:tcBorders>
              <w:top w:val="nil"/>
              <w:left w:val="nil"/>
              <w:bottom w:val="single" w:sz="2" w:space="0" w:color="1F3864" w:themeColor="accent1" w:themeShade="80"/>
              <w:right w:val="nil"/>
            </w:tcBorders>
            <w:shd w:val="clear" w:color="auto" w:fill="auto"/>
          </w:tcPr>
          <w:p w14:paraId="2D49D481" w14:textId="77777777" w:rsidR="00803F80" w:rsidRPr="00F80522" w:rsidRDefault="00803F80">
            <w:pPr>
              <w:pStyle w:val="08-Tabelageral"/>
              <w:rPr>
                <w:rFonts w:cs="Arial"/>
                <w:b/>
                <w:szCs w:val="14"/>
              </w:rPr>
            </w:pPr>
            <w:r w:rsidRPr="00B17C35">
              <w:rPr>
                <w:b/>
                <w:bCs/>
              </w:rPr>
              <w:t>1</w:t>
            </w:r>
            <w:r>
              <w:rPr>
                <w:b/>
                <w:bCs/>
              </w:rPr>
              <w:t>72,640</w:t>
            </w:r>
          </w:p>
        </w:tc>
        <w:tc>
          <w:tcPr>
            <w:tcW w:w="851" w:type="dxa"/>
            <w:tcBorders>
              <w:top w:val="nil"/>
              <w:left w:val="nil"/>
              <w:bottom w:val="single" w:sz="2" w:space="0" w:color="1F3864" w:themeColor="accent1" w:themeShade="80"/>
              <w:right w:val="nil"/>
            </w:tcBorders>
            <w:shd w:val="clear" w:color="auto" w:fill="auto"/>
          </w:tcPr>
          <w:p w14:paraId="046A25AB" w14:textId="77777777" w:rsidR="00803F80" w:rsidRPr="00F80522" w:rsidRDefault="00803F80">
            <w:pPr>
              <w:pStyle w:val="08-Tabelageral"/>
              <w:rPr>
                <w:b/>
                <w:szCs w:val="14"/>
              </w:rPr>
            </w:pPr>
            <w:r w:rsidRPr="00B17C35">
              <w:rPr>
                <w:b/>
                <w:bCs/>
              </w:rPr>
              <w:t>1</w:t>
            </w:r>
            <w:r>
              <w:rPr>
                <w:b/>
                <w:bCs/>
              </w:rPr>
              <w:t>,</w:t>
            </w:r>
            <w:r w:rsidRPr="00B17C35">
              <w:rPr>
                <w:b/>
                <w:bCs/>
              </w:rPr>
              <w:t>433</w:t>
            </w:r>
            <w:r>
              <w:rPr>
                <w:b/>
                <w:bCs/>
              </w:rPr>
              <w:t>,</w:t>
            </w:r>
            <w:r w:rsidRPr="00B17C35">
              <w:rPr>
                <w:b/>
                <w:bCs/>
              </w:rPr>
              <w:t>111</w:t>
            </w:r>
          </w:p>
        </w:tc>
        <w:tc>
          <w:tcPr>
            <w:tcW w:w="850" w:type="dxa"/>
            <w:tcBorders>
              <w:top w:val="nil"/>
              <w:left w:val="nil"/>
              <w:bottom w:val="single" w:sz="2" w:space="0" w:color="1F3864" w:themeColor="accent1" w:themeShade="80"/>
              <w:right w:val="nil"/>
            </w:tcBorders>
            <w:shd w:val="clear" w:color="auto" w:fill="auto"/>
          </w:tcPr>
          <w:p w14:paraId="7733CB90" w14:textId="77777777" w:rsidR="00803F80" w:rsidRPr="00F80522" w:rsidRDefault="00803F80">
            <w:pPr>
              <w:pStyle w:val="08-Tabelageral"/>
              <w:rPr>
                <w:b/>
                <w:szCs w:val="14"/>
              </w:rPr>
            </w:pPr>
            <w:r w:rsidRPr="00B17C35">
              <w:rPr>
                <w:b/>
                <w:bCs/>
              </w:rPr>
              <w:t>1</w:t>
            </w:r>
            <w:r>
              <w:rPr>
                <w:b/>
                <w:bCs/>
              </w:rPr>
              <w:t>,759,011</w:t>
            </w:r>
          </w:p>
        </w:tc>
      </w:tr>
    </w:tbl>
    <w:p w14:paraId="605A55E8" w14:textId="77777777" w:rsidR="00803F80" w:rsidRDefault="00803F80" w:rsidP="00A76AF4">
      <w:pPr>
        <w:pStyle w:val="07-Legenda"/>
        <w:numPr>
          <w:ilvl w:val="0"/>
          <w:numId w:val="36"/>
        </w:numPr>
        <w:tabs>
          <w:tab w:val="clear" w:pos="284"/>
        </w:tabs>
        <w:spacing w:line="276" w:lineRule="auto"/>
        <w:rPr>
          <w:lang w:val="en-US"/>
        </w:rPr>
      </w:pPr>
      <w:r w:rsidRPr="00BF2BE5">
        <w:rPr>
          <w:lang w:val="en-US"/>
        </w:rPr>
        <w:t xml:space="preserve">Amounts invested in Federal Government Securities, all LFTs with maturities on 09.2025, 03.2026 and 09.2026. </w:t>
      </w:r>
    </w:p>
    <w:p w14:paraId="049E9D52" w14:textId="77777777" w:rsidR="00803F80" w:rsidRDefault="00803F80" w:rsidP="00A76AF4">
      <w:pPr>
        <w:pStyle w:val="07-Legenda"/>
        <w:numPr>
          <w:ilvl w:val="0"/>
          <w:numId w:val="36"/>
        </w:numPr>
        <w:tabs>
          <w:tab w:val="clear" w:pos="284"/>
        </w:tabs>
        <w:spacing w:before="0" w:line="276" w:lineRule="auto"/>
        <w:rPr>
          <w:lang w:val="en-US"/>
        </w:rPr>
      </w:pPr>
      <w:r w:rsidRPr="00587304">
        <w:rPr>
          <w:lang w:val="en-US"/>
        </w:rPr>
        <w:t>In the 2</w:t>
      </w:r>
      <w:r w:rsidRPr="00587304">
        <w:rPr>
          <w:vertAlign w:val="superscript"/>
          <w:lang w:val="en-US"/>
        </w:rPr>
        <w:t>nd</w:t>
      </w:r>
      <w:r w:rsidRPr="00587304">
        <w:rPr>
          <w:lang w:val="en-US"/>
        </w:rPr>
        <w:t xml:space="preserve"> quarter of 2024, a reassessment of the classification of the Treasury Financial Bills (LFTs) portfolio, which make up BB </w:t>
      </w:r>
      <w:proofErr w:type="spellStart"/>
      <w:r w:rsidRPr="00587304">
        <w:rPr>
          <w:lang w:val="en-US"/>
        </w:rPr>
        <w:t>Corretora's</w:t>
      </w:r>
      <w:proofErr w:type="spellEnd"/>
      <w:r w:rsidRPr="00587304">
        <w:rPr>
          <w:lang w:val="en-US"/>
        </w:rPr>
        <w:t xml:space="preserve"> investment portfolio, was carried out. After the reassessment, it was concluded that the classification of the LFTs portfolio as Amortized Cost was more appropriate, replacing the classification as Fair Value Through Profit or Loss</w:t>
      </w:r>
      <w:r>
        <w:rPr>
          <w:lang w:val="en-US"/>
        </w:rPr>
        <w:t>.</w:t>
      </w:r>
    </w:p>
    <w:p w14:paraId="540605D0" w14:textId="77777777" w:rsidR="00803F80" w:rsidRPr="00BF2BE5" w:rsidRDefault="00803F80" w:rsidP="00803F80">
      <w:pPr>
        <w:pStyle w:val="07-Legenda"/>
        <w:tabs>
          <w:tab w:val="clear" w:pos="284"/>
        </w:tabs>
        <w:spacing w:line="276" w:lineRule="auto"/>
        <w:rPr>
          <w:lang w:val="en-US"/>
        </w:rPr>
      </w:pPr>
    </w:p>
    <w:p w14:paraId="0619F128" w14:textId="77777777" w:rsidR="00803F80" w:rsidRDefault="00803F80" w:rsidP="00803F80">
      <w:pPr>
        <w:pStyle w:val="07-Legenda"/>
        <w:spacing w:line="276" w:lineRule="auto"/>
        <w:rPr>
          <w:sz w:val="18"/>
          <w:lang w:val="en-US"/>
        </w:rPr>
      </w:pPr>
      <w:r w:rsidRPr="00B83464">
        <w:rPr>
          <w:sz w:val="18"/>
          <w:lang w:val="en-US"/>
        </w:rPr>
        <w:t>There is no balance of financial assets measured at amortized cost in the Controller.</w:t>
      </w:r>
    </w:p>
    <w:p w14:paraId="2C4530EC" w14:textId="77777777" w:rsidR="00803F80" w:rsidRPr="00B83464" w:rsidRDefault="00803F80" w:rsidP="00803F80">
      <w:pPr>
        <w:pStyle w:val="07-Legenda"/>
        <w:spacing w:line="276" w:lineRule="auto"/>
        <w:rPr>
          <w:lang w:val="en-US"/>
        </w:rPr>
      </w:pPr>
    </w:p>
    <w:p w14:paraId="757299B5" w14:textId="77777777" w:rsidR="00803F80" w:rsidRPr="00767893" w:rsidRDefault="00803F80" w:rsidP="00A76AF4">
      <w:pPr>
        <w:pStyle w:val="05-Textonormal"/>
        <w:numPr>
          <w:ilvl w:val="0"/>
          <w:numId w:val="11"/>
        </w:numPr>
        <w:rPr>
          <w:b/>
          <w:color w:val="1F3864" w:themeColor="accent1" w:themeShade="80"/>
        </w:rPr>
      </w:pPr>
      <w:r w:rsidRPr="00767893">
        <w:rPr>
          <w:b/>
          <w:color w:val="1F3864" w:themeColor="accent1" w:themeShade="80"/>
        </w:rPr>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487FBC00" w14:textId="77777777" w:rsidR="00803F80" w:rsidRPr="00523E37" w:rsidRDefault="00803F80" w:rsidP="00803F80">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675C2098" w14:textId="26155E33" w:rsidR="00803F80" w:rsidRPr="00B245C8" w:rsidRDefault="00803F80" w:rsidP="00A76AF4">
      <w:pPr>
        <w:pStyle w:val="05-Textonormal"/>
        <w:numPr>
          <w:ilvl w:val="0"/>
          <w:numId w:val="10"/>
        </w:numPr>
        <w:rPr>
          <w:lang w:val="en-US"/>
        </w:rPr>
      </w:pPr>
      <w:r w:rsidRPr="00B245C8">
        <w:rPr>
          <w:lang w:val="en-US"/>
        </w:rPr>
        <w:t>Level 1: Quoted prices in active markets for identical assets or liabilities</w:t>
      </w:r>
      <w:r w:rsidR="008A30B1">
        <w:rPr>
          <w:lang w:val="en-US"/>
        </w:rPr>
        <w:t>.</w:t>
      </w:r>
    </w:p>
    <w:p w14:paraId="545B43D4" w14:textId="28DEDA51" w:rsidR="00803F80" w:rsidRPr="00B245C8" w:rsidRDefault="00803F80" w:rsidP="00A76AF4">
      <w:pPr>
        <w:pStyle w:val="05-Textonormal"/>
        <w:numPr>
          <w:ilvl w:val="0"/>
          <w:numId w:val="10"/>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r w:rsidR="008A30B1">
        <w:rPr>
          <w:lang w:val="en-US"/>
        </w:rPr>
        <w:t>.</w:t>
      </w:r>
    </w:p>
    <w:p w14:paraId="4C460956" w14:textId="77777777" w:rsidR="00803F80" w:rsidRPr="00B245C8" w:rsidRDefault="00803F80" w:rsidP="00A76AF4">
      <w:pPr>
        <w:pStyle w:val="05-Textonormal"/>
        <w:numPr>
          <w:ilvl w:val="0"/>
          <w:numId w:val="10"/>
        </w:numPr>
        <w:rPr>
          <w:b/>
          <w:color w:val="1F3864" w:themeColor="accent1" w:themeShade="80"/>
          <w:lang w:val="en-US"/>
        </w:rPr>
      </w:pPr>
      <w:r w:rsidRPr="00B245C8">
        <w:rPr>
          <w:lang w:val="en-US"/>
        </w:rPr>
        <w:t>Level 3: Assumptions for the asset or liability that are not based on observable market data (unobservable inputs). There are no financial instruments classified in level 3 of the investment portfolio.</w:t>
      </w:r>
    </w:p>
    <w:p w14:paraId="35E1029B" w14:textId="77777777" w:rsidR="00803F80" w:rsidRPr="000F0D18" w:rsidRDefault="00803F80" w:rsidP="00803F80">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803F80" w:rsidRPr="005050AE" w14:paraId="7797DF6D" w14:textId="77777777">
        <w:trPr>
          <w:trHeight w:val="238"/>
          <w:jc w:val="center"/>
        </w:trPr>
        <w:tc>
          <w:tcPr>
            <w:tcW w:w="2268" w:type="dxa"/>
            <w:tcBorders>
              <w:top w:val="single" w:sz="2" w:space="0" w:color="1F3864" w:themeColor="accent1" w:themeShade="80"/>
              <w:bottom w:val="nil"/>
            </w:tcBorders>
            <w:shd w:val="clear" w:color="auto" w:fill="auto"/>
            <w:noWrap/>
          </w:tcPr>
          <w:p w14:paraId="142DD066" w14:textId="77777777" w:rsidR="00803F80" w:rsidRPr="005050AE" w:rsidRDefault="00803F80">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shd w:val="clear" w:color="auto" w:fill="auto"/>
            <w:noWrap/>
          </w:tcPr>
          <w:p w14:paraId="3CA09599" w14:textId="77777777" w:rsidR="00803F80" w:rsidRPr="002E148F" w:rsidRDefault="00803F80">
            <w:pPr>
              <w:pStyle w:val="08-Tabelageral"/>
              <w:jc w:val="center"/>
              <w:rPr>
                <w:b/>
              </w:rPr>
            </w:pPr>
            <w:proofErr w:type="spellStart"/>
            <w:r w:rsidRPr="00EF6135">
              <w:rPr>
                <w:b/>
              </w:rPr>
              <w:t>Parent</w:t>
            </w:r>
            <w:proofErr w:type="spellEnd"/>
          </w:p>
        </w:tc>
      </w:tr>
      <w:tr w:rsidR="00803F80" w:rsidRPr="005050AE" w14:paraId="1FBEB4B3" w14:textId="77777777">
        <w:trPr>
          <w:trHeight w:val="238"/>
          <w:jc w:val="center"/>
        </w:trPr>
        <w:tc>
          <w:tcPr>
            <w:tcW w:w="2268" w:type="dxa"/>
            <w:tcBorders>
              <w:top w:val="nil"/>
              <w:bottom w:val="nil"/>
            </w:tcBorders>
            <w:shd w:val="clear" w:color="auto" w:fill="auto"/>
            <w:noWrap/>
            <w:hideMark/>
          </w:tcPr>
          <w:p w14:paraId="1863586E" w14:textId="77777777" w:rsidR="00803F80" w:rsidRPr="005050AE" w:rsidRDefault="00803F80">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364422F1" w14:textId="77777777" w:rsidR="00803F80" w:rsidRPr="005050AE" w:rsidRDefault="00803F80">
            <w:pPr>
              <w:pStyle w:val="08-Tabelageral"/>
              <w:jc w:val="center"/>
              <w:rPr>
                <w:b/>
              </w:rPr>
            </w:pPr>
            <w:r>
              <w:rPr>
                <w:b/>
              </w:rPr>
              <w:t>31.12.2024</w:t>
            </w:r>
          </w:p>
        </w:tc>
        <w:tc>
          <w:tcPr>
            <w:tcW w:w="253" w:type="dxa"/>
            <w:tcBorders>
              <w:top w:val="single" w:sz="2" w:space="0" w:color="1F3864" w:themeColor="accent1" w:themeShade="80"/>
              <w:bottom w:val="nil"/>
            </w:tcBorders>
            <w:shd w:val="clear" w:color="auto" w:fill="auto"/>
            <w:noWrap/>
            <w:hideMark/>
          </w:tcPr>
          <w:p w14:paraId="6EFD4D1E" w14:textId="77777777" w:rsidR="00803F80" w:rsidRPr="005050AE" w:rsidRDefault="00803F80">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06846260" w14:textId="77777777" w:rsidR="00803F80" w:rsidRPr="005050AE" w:rsidRDefault="00803F80">
            <w:pPr>
              <w:pStyle w:val="08-Tabelageral"/>
              <w:jc w:val="center"/>
              <w:rPr>
                <w:b/>
              </w:rPr>
            </w:pPr>
            <w:r>
              <w:rPr>
                <w:b/>
              </w:rPr>
              <w:t>31.12.2023</w:t>
            </w:r>
          </w:p>
        </w:tc>
      </w:tr>
      <w:tr w:rsidR="00803F80" w:rsidRPr="005050AE" w14:paraId="667B44A0"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7226F6DD" w14:textId="77777777" w:rsidR="00803F80" w:rsidRPr="005050AE" w:rsidRDefault="00803F80">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5BD97332" w14:textId="77777777" w:rsidR="00803F80" w:rsidRPr="005050AE" w:rsidRDefault="00803F80">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40252932" w14:textId="77777777" w:rsidR="00803F80" w:rsidRPr="005050AE" w:rsidRDefault="00803F80">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shd w:val="clear" w:color="auto" w:fill="auto"/>
            <w:vAlign w:val="center"/>
            <w:hideMark/>
          </w:tcPr>
          <w:p w14:paraId="6CAA2972" w14:textId="77777777" w:rsidR="00803F80" w:rsidRPr="005050AE" w:rsidRDefault="00803F80">
            <w:pPr>
              <w:pStyle w:val="08-Tabelageral"/>
              <w:rPr>
                <w:b/>
              </w:rPr>
            </w:pPr>
            <w:r w:rsidRPr="000F0D18">
              <w:rPr>
                <w:rFonts w:cs="Arial"/>
                <w:b/>
              </w:rPr>
              <w:t>Total</w:t>
            </w:r>
          </w:p>
        </w:tc>
        <w:tc>
          <w:tcPr>
            <w:tcW w:w="253" w:type="dxa"/>
            <w:tcBorders>
              <w:top w:val="nil"/>
              <w:bottom w:val="single" w:sz="2" w:space="0" w:color="1F3864" w:themeColor="accent1" w:themeShade="80"/>
            </w:tcBorders>
            <w:shd w:val="clear" w:color="auto" w:fill="auto"/>
            <w:noWrap/>
            <w:hideMark/>
          </w:tcPr>
          <w:p w14:paraId="5704E2CA" w14:textId="77777777" w:rsidR="00803F80" w:rsidRPr="005050AE" w:rsidRDefault="00803F80">
            <w:pPr>
              <w:pStyle w:val="08-Tabelageral"/>
              <w:rPr>
                <w:b/>
              </w:rPr>
            </w:pPr>
          </w:p>
        </w:tc>
        <w:tc>
          <w:tcPr>
            <w:tcW w:w="1159" w:type="dxa"/>
            <w:tcBorders>
              <w:top w:val="single" w:sz="2" w:space="0" w:color="1F3864" w:themeColor="accent1" w:themeShade="80"/>
              <w:bottom w:val="single" w:sz="2" w:space="0" w:color="1F3864" w:themeColor="accent1" w:themeShade="80"/>
            </w:tcBorders>
            <w:shd w:val="clear" w:color="auto" w:fill="auto"/>
            <w:vAlign w:val="center"/>
            <w:hideMark/>
          </w:tcPr>
          <w:p w14:paraId="717D3A45" w14:textId="77777777" w:rsidR="00803F80" w:rsidRPr="005050AE" w:rsidRDefault="00803F80">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shd w:val="clear" w:color="auto" w:fill="auto"/>
            <w:vAlign w:val="center"/>
            <w:hideMark/>
          </w:tcPr>
          <w:p w14:paraId="6C314F91" w14:textId="77777777" w:rsidR="00803F80" w:rsidRPr="005050AE" w:rsidRDefault="00803F80">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3AC65A19" w14:textId="77777777" w:rsidR="00803F80" w:rsidRPr="005050AE" w:rsidRDefault="00803F80">
            <w:pPr>
              <w:pStyle w:val="08-Tabelageral"/>
              <w:rPr>
                <w:b/>
              </w:rPr>
            </w:pPr>
            <w:r w:rsidRPr="000F0D18">
              <w:rPr>
                <w:rFonts w:cs="Arial"/>
                <w:b/>
              </w:rPr>
              <w:t>Total</w:t>
            </w:r>
          </w:p>
        </w:tc>
      </w:tr>
      <w:tr w:rsidR="00803F80" w:rsidRPr="005050AE" w14:paraId="1DD2F20E"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22049C46" w14:textId="77777777" w:rsidR="00803F80" w:rsidRPr="005050AE" w:rsidRDefault="00803F80">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shd w:val="clear" w:color="auto" w:fill="auto"/>
            <w:noWrap/>
          </w:tcPr>
          <w:p w14:paraId="25EBDD5B" w14:textId="77777777" w:rsidR="00803F80" w:rsidRPr="005050AE" w:rsidRDefault="00803F80">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6497C12D" w14:textId="77777777" w:rsidR="00803F80" w:rsidRPr="008C6F1F" w:rsidRDefault="00803F80">
            <w:pPr>
              <w:pStyle w:val="08-Tabelageral"/>
            </w:pPr>
            <w:r w:rsidRPr="006D10F5">
              <w:t>2</w:t>
            </w:r>
            <w:r>
              <w:t>8,783</w:t>
            </w:r>
          </w:p>
        </w:tc>
        <w:tc>
          <w:tcPr>
            <w:tcW w:w="1212" w:type="dxa"/>
            <w:tcBorders>
              <w:top w:val="single" w:sz="2" w:space="0" w:color="1F3864" w:themeColor="accent1" w:themeShade="80"/>
              <w:left w:val="nil"/>
              <w:bottom w:val="nil"/>
              <w:right w:val="nil"/>
            </w:tcBorders>
            <w:shd w:val="clear" w:color="auto" w:fill="auto"/>
            <w:noWrap/>
          </w:tcPr>
          <w:p w14:paraId="2CDAC260" w14:textId="77777777" w:rsidR="00803F80" w:rsidRPr="008C6F1F" w:rsidRDefault="00803F80">
            <w:pPr>
              <w:pStyle w:val="08-Tabelageral"/>
            </w:pPr>
            <w:r w:rsidRPr="006D10F5">
              <w:t>2</w:t>
            </w:r>
            <w:r>
              <w:t>8,783</w:t>
            </w:r>
          </w:p>
        </w:tc>
        <w:tc>
          <w:tcPr>
            <w:tcW w:w="253" w:type="dxa"/>
            <w:tcBorders>
              <w:top w:val="single" w:sz="2" w:space="0" w:color="1F3864" w:themeColor="accent1" w:themeShade="80"/>
              <w:bottom w:val="nil"/>
            </w:tcBorders>
            <w:shd w:val="clear" w:color="auto" w:fill="auto"/>
            <w:noWrap/>
            <w:vAlign w:val="bottom"/>
            <w:hideMark/>
          </w:tcPr>
          <w:p w14:paraId="5F5FAD59" w14:textId="77777777" w:rsidR="00803F80" w:rsidRPr="008C6F1F" w:rsidRDefault="00803F80">
            <w:pPr>
              <w:pStyle w:val="08-Tabelageral"/>
            </w:pPr>
          </w:p>
        </w:tc>
        <w:tc>
          <w:tcPr>
            <w:tcW w:w="1159" w:type="dxa"/>
            <w:tcBorders>
              <w:top w:val="single" w:sz="2" w:space="0" w:color="1F3864" w:themeColor="accent1" w:themeShade="80"/>
              <w:left w:val="nil"/>
              <w:bottom w:val="nil"/>
              <w:right w:val="nil"/>
            </w:tcBorders>
            <w:shd w:val="clear" w:color="auto" w:fill="auto"/>
            <w:noWrap/>
            <w:hideMark/>
          </w:tcPr>
          <w:p w14:paraId="748A0C51" w14:textId="77777777" w:rsidR="00803F80" w:rsidRPr="008C6F1F" w:rsidRDefault="00803F80">
            <w:pPr>
              <w:pStyle w:val="08-Tabelageral"/>
            </w:pPr>
            <w:r>
              <w:t>--</w:t>
            </w:r>
          </w:p>
        </w:tc>
        <w:tc>
          <w:tcPr>
            <w:tcW w:w="1061" w:type="dxa"/>
            <w:tcBorders>
              <w:top w:val="single" w:sz="2" w:space="0" w:color="1F3864" w:themeColor="accent1" w:themeShade="80"/>
              <w:left w:val="nil"/>
              <w:bottom w:val="nil"/>
              <w:right w:val="nil"/>
            </w:tcBorders>
            <w:shd w:val="clear" w:color="auto" w:fill="auto"/>
            <w:noWrap/>
            <w:hideMark/>
          </w:tcPr>
          <w:p w14:paraId="6F076939" w14:textId="77777777" w:rsidR="00803F80" w:rsidRPr="008C6F1F" w:rsidRDefault="00803F80">
            <w:pPr>
              <w:pStyle w:val="08-Tabelageral"/>
            </w:pPr>
            <w:r>
              <w:t>21,020</w:t>
            </w:r>
          </w:p>
        </w:tc>
        <w:tc>
          <w:tcPr>
            <w:tcW w:w="1276" w:type="dxa"/>
            <w:tcBorders>
              <w:top w:val="single" w:sz="2" w:space="0" w:color="1F3864" w:themeColor="accent1" w:themeShade="80"/>
              <w:left w:val="nil"/>
              <w:bottom w:val="nil"/>
              <w:right w:val="nil"/>
            </w:tcBorders>
            <w:shd w:val="clear" w:color="auto" w:fill="auto"/>
            <w:noWrap/>
            <w:hideMark/>
          </w:tcPr>
          <w:p w14:paraId="0A5C9BD5" w14:textId="77777777" w:rsidR="00803F80" w:rsidRPr="008C6F1F" w:rsidRDefault="00803F80">
            <w:pPr>
              <w:pStyle w:val="08-Tabelageral"/>
            </w:pPr>
            <w:r>
              <w:t>21,020</w:t>
            </w:r>
          </w:p>
        </w:tc>
      </w:tr>
      <w:tr w:rsidR="00803F80" w:rsidRPr="005050AE" w14:paraId="27F62567"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409CB4FD" w14:textId="77777777" w:rsidR="00803F80" w:rsidRPr="005D24E0" w:rsidRDefault="00803F80">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shd w:val="clear" w:color="auto" w:fill="auto"/>
            <w:noWrap/>
          </w:tcPr>
          <w:p w14:paraId="56D826B3" w14:textId="77777777" w:rsidR="00803F80" w:rsidRPr="005D24E0" w:rsidRDefault="00803F80">
            <w:pPr>
              <w:pStyle w:val="08-Tabelageral"/>
              <w:rPr>
                <w:b/>
              </w:rPr>
            </w:pPr>
            <w:r>
              <w:rPr>
                <w:b/>
              </w:rPr>
              <w:t>--</w:t>
            </w:r>
          </w:p>
        </w:tc>
        <w:tc>
          <w:tcPr>
            <w:tcW w:w="1134" w:type="dxa"/>
            <w:tcBorders>
              <w:top w:val="nil"/>
              <w:left w:val="nil"/>
              <w:bottom w:val="single" w:sz="2" w:space="0" w:color="1F3864" w:themeColor="accent1" w:themeShade="80"/>
              <w:right w:val="nil"/>
            </w:tcBorders>
            <w:shd w:val="clear" w:color="auto" w:fill="auto"/>
            <w:noWrap/>
          </w:tcPr>
          <w:p w14:paraId="3D51843C" w14:textId="77777777" w:rsidR="00803F80" w:rsidRPr="008C6F1F" w:rsidRDefault="00803F80">
            <w:pPr>
              <w:pStyle w:val="08-Tabelageral"/>
              <w:rPr>
                <w:b/>
                <w:bCs/>
              </w:rPr>
            </w:pPr>
            <w:r w:rsidRPr="00971EA8">
              <w:rPr>
                <w:b/>
                <w:bCs/>
              </w:rPr>
              <w:t>2</w:t>
            </w:r>
            <w:r>
              <w:rPr>
                <w:b/>
                <w:bCs/>
              </w:rPr>
              <w:t>8,783</w:t>
            </w:r>
          </w:p>
        </w:tc>
        <w:tc>
          <w:tcPr>
            <w:tcW w:w="1212" w:type="dxa"/>
            <w:tcBorders>
              <w:top w:val="nil"/>
              <w:left w:val="nil"/>
              <w:bottom w:val="single" w:sz="2" w:space="0" w:color="1F3864" w:themeColor="accent1" w:themeShade="80"/>
              <w:right w:val="nil"/>
            </w:tcBorders>
            <w:shd w:val="clear" w:color="auto" w:fill="auto"/>
            <w:noWrap/>
          </w:tcPr>
          <w:p w14:paraId="7B4AB827" w14:textId="77777777" w:rsidR="00803F80" w:rsidRPr="008C6F1F" w:rsidRDefault="00803F80">
            <w:pPr>
              <w:pStyle w:val="08-Tabelageral"/>
              <w:rPr>
                <w:b/>
              </w:rPr>
            </w:pPr>
            <w:r w:rsidRPr="00971EA8">
              <w:rPr>
                <w:b/>
                <w:bCs/>
              </w:rPr>
              <w:t>2</w:t>
            </w:r>
            <w:r>
              <w:rPr>
                <w:b/>
                <w:bCs/>
              </w:rPr>
              <w:t>8,783</w:t>
            </w:r>
          </w:p>
        </w:tc>
        <w:tc>
          <w:tcPr>
            <w:tcW w:w="253" w:type="dxa"/>
            <w:tcBorders>
              <w:top w:val="nil"/>
              <w:bottom w:val="single" w:sz="2" w:space="0" w:color="1F3864" w:themeColor="accent1" w:themeShade="80"/>
            </w:tcBorders>
            <w:shd w:val="clear" w:color="auto" w:fill="auto"/>
            <w:noWrap/>
            <w:vAlign w:val="bottom"/>
            <w:hideMark/>
          </w:tcPr>
          <w:p w14:paraId="7C879F82" w14:textId="77777777" w:rsidR="00803F80" w:rsidRPr="008C6F1F" w:rsidRDefault="00803F80">
            <w:pPr>
              <w:pStyle w:val="08-Tabelageral"/>
              <w:rPr>
                <w:b/>
              </w:rPr>
            </w:pPr>
            <w:r w:rsidRPr="008C6F1F">
              <w:rPr>
                <w:rFonts w:cs="Arial"/>
                <w:b/>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79FF3B6E" w14:textId="77777777" w:rsidR="00803F80" w:rsidRPr="008C6F1F" w:rsidRDefault="00803F80">
            <w:pPr>
              <w:pStyle w:val="08-Tabelageral"/>
              <w:rPr>
                <w:b/>
              </w:rPr>
            </w:pPr>
            <w:r>
              <w:rPr>
                <w:b/>
              </w:rPr>
              <w:t>--</w:t>
            </w:r>
          </w:p>
        </w:tc>
        <w:tc>
          <w:tcPr>
            <w:tcW w:w="1061" w:type="dxa"/>
            <w:tcBorders>
              <w:top w:val="nil"/>
              <w:left w:val="nil"/>
              <w:bottom w:val="single" w:sz="2" w:space="0" w:color="1F3864" w:themeColor="accent1" w:themeShade="80"/>
              <w:right w:val="nil"/>
            </w:tcBorders>
            <w:shd w:val="clear" w:color="auto" w:fill="auto"/>
            <w:noWrap/>
            <w:hideMark/>
          </w:tcPr>
          <w:p w14:paraId="4F97D8E1" w14:textId="77777777" w:rsidR="00803F80" w:rsidRPr="008C6F1F" w:rsidRDefault="00803F80">
            <w:pPr>
              <w:pStyle w:val="08-Tabelageral"/>
              <w:rPr>
                <w:b/>
              </w:rPr>
            </w:pPr>
            <w:r>
              <w:rPr>
                <w:b/>
              </w:rPr>
              <w:t>21,020</w:t>
            </w:r>
          </w:p>
        </w:tc>
        <w:tc>
          <w:tcPr>
            <w:tcW w:w="1276" w:type="dxa"/>
            <w:tcBorders>
              <w:top w:val="nil"/>
              <w:left w:val="nil"/>
              <w:bottom w:val="single" w:sz="2" w:space="0" w:color="1F3864" w:themeColor="accent1" w:themeShade="80"/>
              <w:right w:val="nil"/>
            </w:tcBorders>
            <w:shd w:val="clear" w:color="auto" w:fill="auto"/>
            <w:noWrap/>
            <w:hideMark/>
          </w:tcPr>
          <w:p w14:paraId="0F681B90" w14:textId="77777777" w:rsidR="00803F80" w:rsidRPr="008C6F1F" w:rsidRDefault="00803F80">
            <w:pPr>
              <w:pStyle w:val="08-Tabelageral"/>
              <w:rPr>
                <w:b/>
              </w:rPr>
            </w:pPr>
            <w:r>
              <w:rPr>
                <w:b/>
              </w:rPr>
              <w:t>21,020</w:t>
            </w:r>
          </w:p>
        </w:tc>
      </w:tr>
    </w:tbl>
    <w:p w14:paraId="124D14F0" w14:textId="77777777" w:rsidR="00803F80" w:rsidRPr="008A30B1" w:rsidRDefault="00803F80" w:rsidP="008A30B1">
      <w:pPr>
        <w:keepNext/>
        <w:spacing w:after="0" w:line="240" w:lineRule="auto"/>
        <w:ind w:right="-1"/>
        <w:rPr>
          <w:rFonts w:ascii="Arial" w:hAnsi="Arial" w:cs="Arial"/>
          <w:b/>
          <w:sz w:val="14"/>
          <w:szCs w:val="14"/>
        </w:rPr>
      </w:pPr>
    </w:p>
    <w:p w14:paraId="3228EEAA" w14:textId="77777777" w:rsidR="00803F80" w:rsidRDefault="00803F80" w:rsidP="00803F80">
      <w:pPr>
        <w:pStyle w:val="PargrafodaLista"/>
        <w:keepNext/>
        <w:spacing w:after="0" w:line="240" w:lineRule="auto"/>
        <w:ind w:left="357" w:right="-1"/>
        <w:jc w:val="right"/>
        <w:rPr>
          <w:rFonts w:ascii="Arial" w:hAnsi="Arial" w:cs="Arial"/>
          <w:b/>
          <w:sz w:val="14"/>
          <w:szCs w:val="14"/>
        </w:rPr>
      </w:pPr>
    </w:p>
    <w:p w14:paraId="6758C16D" w14:textId="77777777" w:rsidR="00803F80" w:rsidRDefault="00803F80" w:rsidP="00803F80">
      <w:pPr>
        <w:pStyle w:val="PargrafodaLista"/>
        <w:keepNext/>
        <w:spacing w:after="0" w:line="240" w:lineRule="auto"/>
        <w:ind w:left="357" w:right="-1"/>
        <w:jc w:val="right"/>
        <w:rPr>
          <w:rFonts w:ascii="Arial" w:hAnsi="Arial" w:cs="Arial"/>
          <w:b/>
          <w:sz w:val="14"/>
          <w:szCs w:val="14"/>
        </w:rPr>
      </w:pPr>
    </w:p>
    <w:p w14:paraId="53017259" w14:textId="77777777" w:rsidR="00803F80" w:rsidRPr="005050AE" w:rsidRDefault="00803F80" w:rsidP="00803F80">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803F80" w:rsidRPr="005050AE" w14:paraId="26058D7D" w14:textId="77777777">
        <w:trPr>
          <w:trHeight w:val="238"/>
          <w:jc w:val="center"/>
        </w:trPr>
        <w:tc>
          <w:tcPr>
            <w:tcW w:w="9639" w:type="dxa"/>
            <w:gridSpan w:val="8"/>
            <w:tcBorders>
              <w:top w:val="single" w:sz="2" w:space="0" w:color="1F3864" w:themeColor="accent1" w:themeShade="80"/>
              <w:bottom w:val="nil"/>
            </w:tcBorders>
            <w:shd w:val="clear" w:color="auto" w:fill="auto"/>
            <w:noWrap/>
          </w:tcPr>
          <w:p w14:paraId="798CB4EB" w14:textId="77777777" w:rsidR="00803F80" w:rsidRPr="005050AE" w:rsidRDefault="00803F80">
            <w:pPr>
              <w:pStyle w:val="08-Tabelageral"/>
              <w:jc w:val="center"/>
              <w:rPr>
                <w:b/>
              </w:rPr>
            </w:pPr>
            <w:proofErr w:type="spellStart"/>
            <w:r w:rsidRPr="002A049F">
              <w:rPr>
                <w:b/>
              </w:rPr>
              <w:t>Consolidated</w:t>
            </w:r>
            <w:proofErr w:type="spellEnd"/>
          </w:p>
        </w:tc>
      </w:tr>
      <w:tr w:rsidR="00803F80" w:rsidRPr="005050AE" w14:paraId="1B3EA50E"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3E11C076" w14:textId="77777777" w:rsidR="00803F80" w:rsidRPr="005050AE" w:rsidRDefault="00803F80">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4A1156B8" w14:textId="77777777" w:rsidR="00803F80" w:rsidRPr="005050AE" w:rsidRDefault="00803F80">
            <w:pPr>
              <w:pStyle w:val="08-Tabelageral"/>
              <w:jc w:val="center"/>
              <w:rPr>
                <w:b/>
              </w:rPr>
            </w:pPr>
            <w:r>
              <w:rPr>
                <w:b/>
              </w:rPr>
              <w:t>31.12.2024</w:t>
            </w:r>
          </w:p>
        </w:tc>
        <w:tc>
          <w:tcPr>
            <w:tcW w:w="253" w:type="dxa"/>
            <w:tcBorders>
              <w:top w:val="single" w:sz="2" w:space="0" w:color="1F3864" w:themeColor="accent1" w:themeShade="80"/>
              <w:bottom w:val="nil"/>
            </w:tcBorders>
            <w:shd w:val="clear" w:color="auto" w:fill="auto"/>
            <w:noWrap/>
            <w:hideMark/>
          </w:tcPr>
          <w:p w14:paraId="1638A13F" w14:textId="77777777" w:rsidR="00803F80" w:rsidRPr="005050AE" w:rsidRDefault="00803F80">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158E9D8B" w14:textId="77777777" w:rsidR="00803F80" w:rsidRPr="005050AE" w:rsidRDefault="00803F80">
            <w:pPr>
              <w:pStyle w:val="08-Tabelageral"/>
              <w:jc w:val="center"/>
              <w:rPr>
                <w:b/>
              </w:rPr>
            </w:pPr>
            <w:r w:rsidRPr="005050AE">
              <w:rPr>
                <w:b/>
              </w:rPr>
              <w:t>31</w:t>
            </w:r>
            <w:r>
              <w:rPr>
                <w:b/>
              </w:rPr>
              <w:t>.</w:t>
            </w:r>
            <w:r w:rsidRPr="005050AE">
              <w:rPr>
                <w:b/>
              </w:rPr>
              <w:t>12</w:t>
            </w:r>
            <w:r>
              <w:rPr>
                <w:b/>
              </w:rPr>
              <w:t>.2023</w:t>
            </w:r>
          </w:p>
        </w:tc>
      </w:tr>
      <w:tr w:rsidR="00803F80" w:rsidRPr="005050AE" w14:paraId="18E4A613"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4D4ECF78" w14:textId="77777777" w:rsidR="00803F80" w:rsidRPr="005050AE" w:rsidRDefault="00803F80">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637A1013" w14:textId="77777777" w:rsidR="00803F80" w:rsidRPr="002A049F" w:rsidRDefault="00803F80">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5CC78ECE" w14:textId="77777777" w:rsidR="00803F80" w:rsidRPr="002A049F" w:rsidRDefault="00803F80">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shd w:val="clear" w:color="auto" w:fill="auto"/>
            <w:vAlign w:val="center"/>
            <w:hideMark/>
          </w:tcPr>
          <w:p w14:paraId="6EBE4FDF" w14:textId="77777777" w:rsidR="00803F80" w:rsidRPr="002A049F" w:rsidRDefault="00803F80">
            <w:pPr>
              <w:pStyle w:val="08-Tabelageral"/>
              <w:rPr>
                <w:b/>
                <w:bCs/>
              </w:rPr>
            </w:pPr>
            <w:r w:rsidRPr="002A049F">
              <w:rPr>
                <w:b/>
                <w:bCs/>
              </w:rPr>
              <w:t>Total</w:t>
            </w:r>
          </w:p>
        </w:tc>
        <w:tc>
          <w:tcPr>
            <w:tcW w:w="253" w:type="dxa"/>
            <w:tcBorders>
              <w:top w:val="nil"/>
              <w:bottom w:val="single" w:sz="2" w:space="0" w:color="1F3864" w:themeColor="accent1" w:themeShade="80"/>
            </w:tcBorders>
            <w:shd w:val="clear" w:color="auto" w:fill="auto"/>
            <w:noWrap/>
            <w:vAlign w:val="center"/>
            <w:hideMark/>
          </w:tcPr>
          <w:p w14:paraId="160B1274" w14:textId="77777777" w:rsidR="00803F80" w:rsidRPr="002A049F" w:rsidRDefault="00803F80">
            <w:pPr>
              <w:pStyle w:val="08-Tabelageral"/>
              <w:rPr>
                <w:b/>
                <w:bCs/>
              </w:rPr>
            </w:pPr>
          </w:p>
        </w:tc>
        <w:tc>
          <w:tcPr>
            <w:tcW w:w="1159" w:type="dxa"/>
            <w:tcBorders>
              <w:top w:val="single" w:sz="2" w:space="0" w:color="1F3864" w:themeColor="accent1" w:themeShade="80"/>
              <w:bottom w:val="single" w:sz="2" w:space="0" w:color="1F3864" w:themeColor="accent1" w:themeShade="80"/>
            </w:tcBorders>
            <w:shd w:val="clear" w:color="auto" w:fill="auto"/>
            <w:vAlign w:val="center"/>
            <w:hideMark/>
          </w:tcPr>
          <w:p w14:paraId="41CFAA1B" w14:textId="77777777" w:rsidR="00803F80" w:rsidRPr="002A049F" w:rsidRDefault="00803F80">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shd w:val="clear" w:color="auto" w:fill="auto"/>
            <w:vAlign w:val="center"/>
            <w:hideMark/>
          </w:tcPr>
          <w:p w14:paraId="56BDAFF7" w14:textId="77777777" w:rsidR="00803F80" w:rsidRPr="002A049F" w:rsidRDefault="00803F80">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shd w:val="clear" w:color="auto" w:fill="auto"/>
            <w:vAlign w:val="center"/>
            <w:hideMark/>
          </w:tcPr>
          <w:p w14:paraId="46146E9F" w14:textId="77777777" w:rsidR="00803F80" w:rsidRPr="002A049F" w:rsidRDefault="00803F80">
            <w:pPr>
              <w:pStyle w:val="08-Tabelageral"/>
              <w:rPr>
                <w:b/>
                <w:bCs/>
              </w:rPr>
            </w:pPr>
            <w:r w:rsidRPr="002A049F">
              <w:rPr>
                <w:b/>
                <w:bCs/>
              </w:rPr>
              <w:t>Total</w:t>
            </w:r>
          </w:p>
        </w:tc>
      </w:tr>
      <w:tr w:rsidR="00803F80" w:rsidRPr="005050AE" w14:paraId="7BF2D6ED"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16C3F85A" w14:textId="77777777" w:rsidR="00803F80" w:rsidRPr="005050AE" w:rsidRDefault="00803F80">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shd w:val="clear" w:color="auto" w:fill="auto"/>
            <w:noWrap/>
          </w:tcPr>
          <w:p w14:paraId="771B592D" w14:textId="77777777" w:rsidR="00803F80" w:rsidRPr="005050AE" w:rsidRDefault="00803F80">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6F39144C" w14:textId="77777777" w:rsidR="00803F80" w:rsidRPr="005050AE" w:rsidRDefault="00803F80">
            <w:pPr>
              <w:pStyle w:val="08-Tabelageral"/>
            </w:pPr>
            <w:r w:rsidRPr="00410513">
              <w:t>28.783</w:t>
            </w:r>
          </w:p>
        </w:tc>
        <w:tc>
          <w:tcPr>
            <w:tcW w:w="1212" w:type="dxa"/>
            <w:tcBorders>
              <w:top w:val="single" w:sz="2" w:space="0" w:color="1F3864" w:themeColor="accent1" w:themeShade="80"/>
              <w:left w:val="nil"/>
              <w:bottom w:val="nil"/>
              <w:right w:val="nil"/>
            </w:tcBorders>
            <w:shd w:val="clear" w:color="auto" w:fill="auto"/>
            <w:noWrap/>
          </w:tcPr>
          <w:p w14:paraId="7BCC98AC" w14:textId="77777777" w:rsidR="00803F80" w:rsidRPr="005050AE" w:rsidRDefault="00803F80">
            <w:pPr>
              <w:pStyle w:val="08-Tabelageral"/>
            </w:pPr>
            <w:r w:rsidRPr="00A364B1">
              <w:rPr>
                <w:b/>
                <w:bCs/>
              </w:rPr>
              <w:t>28.783</w:t>
            </w:r>
          </w:p>
        </w:tc>
        <w:tc>
          <w:tcPr>
            <w:tcW w:w="253" w:type="dxa"/>
            <w:tcBorders>
              <w:top w:val="single" w:sz="2" w:space="0" w:color="1F3864" w:themeColor="accent1" w:themeShade="80"/>
              <w:bottom w:val="nil"/>
            </w:tcBorders>
            <w:shd w:val="clear" w:color="auto" w:fill="auto"/>
            <w:noWrap/>
            <w:vAlign w:val="bottom"/>
            <w:hideMark/>
          </w:tcPr>
          <w:p w14:paraId="730A026E" w14:textId="77777777" w:rsidR="00803F80" w:rsidRPr="005050AE" w:rsidRDefault="00803F80">
            <w:pPr>
              <w:pStyle w:val="08-Tabelageral"/>
            </w:pPr>
          </w:p>
        </w:tc>
        <w:tc>
          <w:tcPr>
            <w:tcW w:w="1159" w:type="dxa"/>
            <w:tcBorders>
              <w:top w:val="single" w:sz="2" w:space="0" w:color="1F3864" w:themeColor="accent1" w:themeShade="80"/>
              <w:left w:val="nil"/>
              <w:bottom w:val="nil"/>
              <w:right w:val="nil"/>
            </w:tcBorders>
            <w:shd w:val="clear" w:color="auto" w:fill="auto"/>
            <w:noWrap/>
            <w:vAlign w:val="bottom"/>
            <w:hideMark/>
          </w:tcPr>
          <w:p w14:paraId="620C3137" w14:textId="77777777" w:rsidR="00803F80" w:rsidRPr="005050AE" w:rsidRDefault="00803F80">
            <w:pPr>
              <w:pStyle w:val="08-Tabelageral"/>
            </w:pPr>
            <w:r>
              <w:t>--</w:t>
            </w:r>
          </w:p>
        </w:tc>
        <w:tc>
          <w:tcPr>
            <w:tcW w:w="1061" w:type="dxa"/>
            <w:tcBorders>
              <w:top w:val="single" w:sz="2" w:space="0" w:color="1F3864" w:themeColor="accent1" w:themeShade="80"/>
              <w:left w:val="nil"/>
              <w:bottom w:val="nil"/>
              <w:right w:val="nil"/>
            </w:tcBorders>
            <w:shd w:val="clear" w:color="auto" w:fill="auto"/>
            <w:noWrap/>
            <w:vAlign w:val="bottom"/>
            <w:hideMark/>
          </w:tcPr>
          <w:p w14:paraId="08C9038B" w14:textId="77777777" w:rsidR="00803F80" w:rsidRPr="005050AE" w:rsidRDefault="00803F80">
            <w:pPr>
              <w:pStyle w:val="08-Tabelageral"/>
            </w:pPr>
            <w:r>
              <w:t>21,020</w:t>
            </w:r>
          </w:p>
        </w:tc>
        <w:tc>
          <w:tcPr>
            <w:tcW w:w="1276" w:type="dxa"/>
            <w:tcBorders>
              <w:top w:val="single" w:sz="2" w:space="0" w:color="1F3864" w:themeColor="accent1" w:themeShade="80"/>
              <w:left w:val="nil"/>
              <w:bottom w:val="nil"/>
              <w:right w:val="nil"/>
            </w:tcBorders>
            <w:shd w:val="clear" w:color="auto" w:fill="auto"/>
            <w:noWrap/>
            <w:vAlign w:val="bottom"/>
            <w:hideMark/>
          </w:tcPr>
          <w:p w14:paraId="2299A8F0" w14:textId="77777777" w:rsidR="00803F80" w:rsidRPr="005050AE" w:rsidRDefault="00803F80">
            <w:pPr>
              <w:pStyle w:val="08-Tabelageral"/>
            </w:pPr>
            <w:r>
              <w:t>21,020</w:t>
            </w:r>
          </w:p>
        </w:tc>
      </w:tr>
      <w:tr w:rsidR="00803F80" w:rsidRPr="005050AE" w14:paraId="4D9597EC" w14:textId="77777777">
        <w:trPr>
          <w:trHeight w:val="238"/>
          <w:jc w:val="center"/>
        </w:trPr>
        <w:tc>
          <w:tcPr>
            <w:tcW w:w="2268" w:type="dxa"/>
            <w:tcBorders>
              <w:top w:val="nil"/>
            </w:tcBorders>
            <w:shd w:val="clear" w:color="auto" w:fill="auto"/>
            <w:noWrap/>
          </w:tcPr>
          <w:p w14:paraId="2E2C36D6" w14:textId="77777777" w:rsidR="00803F80" w:rsidRPr="005050AE" w:rsidRDefault="00803F80">
            <w:pPr>
              <w:pStyle w:val="08-Tabelageral"/>
              <w:ind w:left="113"/>
              <w:jc w:val="left"/>
            </w:pPr>
            <w:r>
              <w:t>TPF</w:t>
            </w:r>
          </w:p>
        </w:tc>
        <w:tc>
          <w:tcPr>
            <w:tcW w:w="1276" w:type="dxa"/>
            <w:tcBorders>
              <w:top w:val="nil"/>
              <w:left w:val="nil"/>
              <w:bottom w:val="nil"/>
              <w:right w:val="nil"/>
            </w:tcBorders>
            <w:shd w:val="clear" w:color="auto" w:fill="auto"/>
            <w:noWrap/>
          </w:tcPr>
          <w:p w14:paraId="71408994" w14:textId="77777777" w:rsidR="00803F80" w:rsidRPr="00CB0015" w:rsidRDefault="00803F80">
            <w:pPr>
              <w:pStyle w:val="08-Tabelageral"/>
            </w:pPr>
            <w:r w:rsidRPr="00410513">
              <w:t>1.759.011</w:t>
            </w:r>
          </w:p>
        </w:tc>
        <w:tc>
          <w:tcPr>
            <w:tcW w:w="1134" w:type="dxa"/>
            <w:tcBorders>
              <w:top w:val="nil"/>
              <w:left w:val="nil"/>
              <w:bottom w:val="nil"/>
              <w:right w:val="nil"/>
            </w:tcBorders>
            <w:shd w:val="clear" w:color="auto" w:fill="auto"/>
            <w:noWrap/>
          </w:tcPr>
          <w:p w14:paraId="53EAEACD" w14:textId="77777777" w:rsidR="00803F80" w:rsidRPr="005050AE" w:rsidRDefault="00803F80">
            <w:pPr>
              <w:pStyle w:val="08-Tabelageral"/>
            </w:pPr>
            <w:r w:rsidRPr="0068227D">
              <w:t>--</w:t>
            </w:r>
          </w:p>
        </w:tc>
        <w:tc>
          <w:tcPr>
            <w:tcW w:w="1212" w:type="dxa"/>
            <w:tcBorders>
              <w:top w:val="nil"/>
              <w:left w:val="nil"/>
              <w:bottom w:val="nil"/>
              <w:right w:val="nil"/>
            </w:tcBorders>
            <w:shd w:val="clear" w:color="auto" w:fill="auto"/>
            <w:noWrap/>
          </w:tcPr>
          <w:p w14:paraId="763E9402" w14:textId="77777777" w:rsidR="00803F80" w:rsidRPr="00E51288" w:rsidRDefault="00803F80">
            <w:pPr>
              <w:pStyle w:val="08-Tabelageral"/>
            </w:pPr>
            <w:r w:rsidRPr="00A364B1">
              <w:rPr>
                <w:b/>
                <w:bCs/>
              </w:rPr>
              <w:t>1.759.011</w:t>
            </w:r>
          </w:p>
        </w:tc>
        <w:tc>
          <w:tcPr>
            <w:tcW w:w="253" w:type="dxa"/>
            <w:tcBorders>
              <w:top w:val="nil"/>
            </w:tcBorders>
            <w:shd w:val="clear" w:color="auto" w:fill="auto"/>
            <w:noWrap/>
            <w:vAlign w:val="bottom"/>
          </w:tcPr>
          <w:p w14:paraId="59C11340" w14:textId="77777777" w:rsidR="00803F80" w:rsidRDefault="00803F80">
            <w:pPr>
              <w:pStyle w:val="08-Tabelageral"/>
              <w:rPr>
                <w:rFonts w:cs="Arial"/>
                <w:lang w:eastAsia="en-US"/>
              </w:rPr>
            </w:pPr>
          </w:p>
        </w:tc>
        <w:tc>
          <w:tcPr>
            <w:tcW w:w="1159" w:type="dxa"/>
            <w:tcBorders>
              <w:top w:val="nil"/>
              <w:left w:val="nil"/>
              <w:bottom w:val="nil"/>
              <w:right w:val="nil"/>
            </w:tcBorders>
            <w:shd w:val="clear" w:color="auto" w:fill="auto"/>
            <w:noWrap/>
            <w:vAlign w:val="bottom"/>
          </w:tcPr>
          <w:p w14:paraId="5F0C6846" w14:textId="77777777" w:rsidR="00803F80" w:rsidRDefault="00803F80">
            <w:pPr>
              <w:pStyle w:val="08-Tabelageral"/>
              <w:rPr>
                <w:lang w:eastAsia="en-US"/>
              </w:rPr>
            </w:pPr>
            <w:r>
              <w:t>1,586,371</w:t>
            </w:r>
          </w:p>
        </w:tc>
        <w:tc>
          <w:tcPr>
            <w:tcW w:w="1061" w:type="dxa"/>
            <w:tcBorders>
              <w:top w:val="nil"/>
              <w:left w:val="nil"/>
              <w:bottom w:val="nil"/>
              <w:right w:val="nil"/>
            </w:tcBorders>
            <w:shd w:val="clear" w:color="auto" w:fill="auto"/>
            <w:noWrap/>
            <w:vAlign w:val="bottom"/>
          </w:tcPr>
          <w:p w14:paraId="7A092017" w14:textId="77777777" w:rsidR="00803F80" w:rsidRPr="005050AE" w:rsidRDefault="00803F80">
            <w:pPr>
              <w:pStyle w:val="08-Tabelageral"/>
            </w:pPr>
            <w:r>
              <w:t>--</w:t>
            </w:r>
          </w:p>
        </w:tc>
        <w:tc>
          <w:tcPr>
            <w:tcW w:w="1276" w:type="dxa"/>
            <w:tcBorders>
              <w:top w:val="nil"/>
              <w:left w:val="nil"/>
              <w:bottom w:val="nil"/>
              <w:right w:val="nil"/>
            </w:tcBorders>
            <w:shd w:val="clear" w:color="auto" w:fill="auto"/>
            <w:noWrap/>
            <w:vAlign w:val="bottom"/>
          </w:tcPr>
          <w:p w14:paraId="4B210A51" w14:textId="77777777" w:rsidR="00803F80" w:rsidRDefault="00803F80">
            <w:pPr>
              <w:pStyle w:val="08-Tabelageral"/>
              <w:rPr>
                <w:lang w:eastAsia="en-US"/>
              </w:rPr>
            </w:pPr>
            <w:r>
              <w:t>1,586,371</w:t>
            </w:r>
          </w:p>
        </w:tc>
      </w:tr>
      <w:tr w:rsidR="00803F80" w:rsidRPr="005050AE" w14:paraId="23DBA12F"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7EF2120C" w14:textId="77777777" w:rsidR="00803F80" w:rsidRPr="005050AE" w:rsidRDefault="00803F80">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shd w:val="clear" w:color="auto" w:fill="auto"/>
            <w:noWrap/>
          </w:tcPr>
          <w:p w14:paraId="27AB43FB" w14:textId="77777777" w:rsidR="00803F80" w:rsidRPr="005D24E0" w:rsidRDefault="00803F80">
            <w:pPr>
              <w:pStyle w:val="08-Tabelageral"/>
              <w:rPr>
                <w:b/>
                <w:bCs/>
              </w:rPr>
            </w:pPr>
            <w:r w:rsidRPr="00A364B1">
              <w:rPr>
                <w:b/>
                <w:bCs/>
              </w:rPr>
              <w:t>1.759.011</w:t>
            </w:r>
          </w:p>
        </w:tc>
        <w:tc>
          <w:tcPr>
            <w:tcW w:w="1134" w:type="dxa"/>
            <w:tcBorders>
              <w:top w:val="nil"/>
              <w:left w:val="nil"/>
              <w:bottom w:val="single" w:sz="2" w:space="0" w:color="1F3864" w:themeColor="accent1" w:themeShade="80"/>
              <w:right w:val="nil"/>
            </w:tcBorders>
            <w:shd w:val="clear" w:color="auto" w:fill="auto"/>
            <w:noWrap/>
          </w:tcPr>
          <w:p w14:paraId="705BC421" w14:textId="77777777" w:rsidR="00803F80" w:rsidRPr="005D24E0" w:rsidRDefault="00803F80">
            <w:pPr>
              <w:pStyle w:val="08-Tabelageral"/>
              <w:rPr>
                <w:b/>
                <w:bCs/>
              </w:rPr>
            </w:pPr>
            <w:r w:rsidRPr="004C0DCA">
              <w:rPr>
                <w:b/>
                <w:bCs/>
              </w:rPr>
              <w:t>28.783</w:t>
            </w:r>
          </w:p>
        </w:tc>
        <w:tc>
          <w:tcPr>
            <w:tcW w:w="1212" w:type="dxa"/>
            <w:tcBorders>
              <w:top w:val="nil"/>
              <w:left w:val="nil"/>
              <w:bottom w:val="single" w:sz="2" w:space="0" w:color="1F3864" w:themeColor="accent1" w:themeShade="80"/>
              <w:right w:val="nil"/>
            </w:tcBorders>
            <w:shd w:val="clear" w:color="auto" w:fill="auto"/>
            <w:noWrap/>
          </w:tcPr>
          <w:p w14:paraId="0B801EED" w14:textId="77777777" w:rsidR="00803F80" w:rsidRPr="005D24E0" w:rsidRDefault="00803F80">
            <w:pPr>
              <w:pStyle w:val="08-Tabelageral"/>
              <w:rPr>
                <w:b/>
                <w:bCs/>
                <w:lang w:eastAsia="en-US"/>
              </w:rPr>
            </w:pPr>
            <w:r w:rsidRPr="00A364B1">
              <w:rPr>
                <w:b/>
                <w:bCs/>
                <w:lang w:eastAsia="en-US"/>
              </w:rPr>
              <w:t>1.787.794</w:t>
            </w:r>
          </w:p>
        </w:tc>
        <w:tc>
          <w:tcPr>
            <w:tcW w:w="253" w:type="dxa"/>
            <w:tcBorders>
              <w:top w:val="nil"/>
              <w:bottom w:val="single" w:sz="2" w:space="0" w:color="1F3864" w:themeColor="accent1" w:themeShade="80"/>
            </w:tcBorders>
            <w:shd w:val="clear" w:color="auto" w:fill="auto"/>
            <w:noWrap/>
            <w:vAlign w:val="bottom"/>
            <w:hideMark/>
          </w:tcPr>
          <w:p w14:paraId="4D2F242B" w14:textId="77777777" w:rsidR="00803F80" w:rsidRPr="007C2645" w:rsidRDefault="00803F80">
            <w:pPr>
              <w:pStyle w:val="08-Tabelageral"/>
              <w:rPr>
                <w:b/>
                <w:bCs/>
              </w:rPr>
            </w:pPr>
            <w:r w:rsidRPr="007C2645">
              <w:rPr>
                <w:rFonts w:cs="Arial"/>
                <w:b/>
                <w:bCs/>
                <w:lang w:eastAsia="en-US"/>
              </w:rPr>
              <w:t> </w:t>
            </w:r>
          </w:p>
        </w:tc>
        <w:tc>
          <w:tcPr>
            <w:tcW w:w="1159" w:type="dxa"/>
            <w:tcBorders>
              <w:top w:val="nil"/>
              <w:left w:val="nil"/>
              <w:bottom w:val="single" w:sz="2" w:space="0" w:color="1F3864" w:themeColor="accent1" w:themeShade="80"/>
              <w:right w:val="nil"/>
            </w:tcBorders>
            <w:shd w:val="clear" w:color="auto" w:fill="auto"/>
            <w:noWrap/>
            <w:vAlign w:val="bottom"/>
            <w:hideMark/>
          </w:tcPr>
          <w:p w14:paraId="248B56B2" w14:textId="77777777" w:rsidR="00803F80" w:rsidRPr="007C2645" w:rsidRDefault="00803F80">
            <w:pPr>
              <w:pStyle w:val="08-Tabelageral"/>
              <w:rPr>
                <w:b/>
                <w:bCs/>
              </w:rPr>
            </w:pPr>
            <w:r>
              <w:rPr>
                <w:b/>
                <w:bCs/>
              </w:rPr>
              <w:t>1,586,371</w:t>
            </w:r>
          </w:p>
        </w:tc>
        <w:tc>
          <w:tcPr>
            <w:tcW w:w="1061" w:type="dxa"/>
            <w:tcBorders>
              <w:top w:val="nil"/>
              <w:left w:val="nil"/>
              <w:bottom w:val="single" w:sz="2" w:space="0" w:color="1F3864" w:themeColor="accent1" w:themeShade="80"/>
              <w:right w:val="nil"/>
            </w:tcBorders>
            <w:shd w:val="clear" w:color="auto" w:fill="auto"/>
            <w:noWrap/>
            <w:vAlign w:val="bottom"/>
            <w:hideMark/>
          </w:tcPr>
          <w:p w14:paraId="1089B2AC" w14:textId="77777777" w:rsidR="00803F80" w:rsidRPr="007C2645" w:rsidRDefault="00803F80">
            <w:pPr>
              <w:pStyle w:val="08-Tabelageral"/>
              <w:rPr>
                <w:b/>
                <w:bCs/>
              </w:rPr>
            </w:pPr>
            <w:r>
              <w:rPr>
                <w:b/>
                <w:bCs/>
              </w:rPr>
              <w:t>21,020</w:t>
            </w:r>
          </w:p>
        </w:tc>
        <w:tc>
          <w:tcPr>
            <w:tcW w:w="1276" w:type="dxa"/>
            <w:tcBorders>
              <w:top w:val="nil"/>
              <w:left w:val="nil"/>
              <w:bottom w:val="single" w:sz="2" w:space="0" w:color="1F3864" w:themeColor="accent1" w:themeShade="80"/>
              <w:right w:val="nil"/>
            </w:tcBorders>
            <w:shd w:val="clear" w:color="auto" w:fill="auto"/>
            <w:noWrap/>
            <w:vAlign w:val="bottom"/>
            <w:hideMark/>
          </w:tcPr>
          <w:p w14:paraId="0D983951" w14:textId="77777777" w:rsidR="00803F80" w:rsidRPr="005050AE" w:rsidRDefault="00803F80">
            <w:pPr>
              <w:pStyle w:val="08-Tabelageral"/>
              <w:rPr>
                <w:b/>
              </w:rPr>
            </w:pPr>
            <w:r>
              <w:rPr>
                <w:b/>
              </w:rPr>
              <w:t>1,607,391</w:t>
            </w:r>
          </w:p>
        </w:tc>
      </w:tr>
      <w:bookmarkEnd w:id="84"/>
    </w:tbl>
    <w:p w14:paraId="3BC349DD" w14:textId="77777777" w:rsidR="00803F80" w:rsidRPr="00191814" w:rsidRDefault="00803F80" w:rsidP="00803F80">
      <w:pPr>
        <w:pStyle w:val="07-Legenda"/>
        <w:keepNext/>
        <w:ind w:firstLine="0"/>
        <w:rPr>
          <w:rFonts w:cs="Arial"/>
          <w:b/>
          <w:szCs w:val="14"/>
          <w:lang w:val="en-US"/>
        </w:rPr>
      </w:pPr>
    </w:p>
    <w:bookmarkEnd w:id="82"/>
    <w:p w14:paraId="581EEBBD" w14:textId="77777777" w:rsidR="00F24CFD" w:rsidRPr="00F24CFD" w:rsidRDefault="00F24CFD" w:rsidP="00F24CFD">
      <w:pPr>
        <w:rPr>
          <w:lang w:val="en-US"/>
        </w:rPr>
      </w:pPr>
    </w:p>
    <w:p w14:paraId="61F0A896" w14:textId="2E45340D" w:rsidR="007D4AB0" w:rsidRPr="00432934" w:rsidRDefault="004725AE" w:rsidP="008E63BC">
      <w:pPr>
        <w:pStyle w:val="Ttulo1"/>
        <w:spacing w:line="259" w:lineRule="auto"/>
        <w:jc w:val="both"/>
        <w:rPr>
          <w:rFonts w:ascii="Arial" w:hAnsi="Arial" w:cs="Arial"/>
          <w:b/>
          <w:color w:val="1F3864" w:themeColor="accent1" w:themeShade="80"/>
          <w:sz w:val="20"/>
          <w:lang w:val="en-US"/>
        </w:rPr>
      </w:pPr>
      <w:bookmarkStart w:id="86" w:name="_Toc149573402"/>
      <w:bookmarkStart w:id="87" w:name="_Toc157446730"/>
      <w:bookmarkStart w:id="88" w:name="_Toc190680638"/>
      <w:r w:rsidRPr="00432934">
        <w:rPr>
          <w:rFonts w:ascii="Arial" w:hAnsi="Arial" w:cs="Arial"/>
          <w:b/>
          <w:color w:val="1F3864" w:themeColor="accent1" w:themeShade="80"/>
          <w:sz w:val="20"/>
          <w:lang w:val="en-US"/>
        </w:rPr>
        <w:t>17 – DIVIDENDS RECEIVABLE</w:t>
      </w:r>
      <w:bookmarkEnd w:id="86"/>
      <w:bookmarkEnd w:id="87"/>
      <w:bookmarkEnd w:id="88"/>
    </w:p>
    <w:p w14:paraId="7707B271" w14:textId="77777777" w:rsidR="00293B96" w:rsidRPr="004C6ED9" w:rsidRDefault="00293B96" w:rsidP="00293B96">
      <w:pPr>
        <w:pStyle w:val="01-TtulodeNota"/>
        <w:spacing w:before="0" w:after="0"/>
        <w:jc w:val="right"/>
        <w:rPr>
          <w:sz w:val="14"/>
          <w:szCs w:val="14"/>
        </w:rPr>
      </w:pPr>
      <w:bookmarkStart w:id="89" w:name="_Hlk149215258"/>
      <w:r w:rsidRPr="004C6ED9">
        <w:rPr>
          <w:sz w:val="14"/>
          <w:szCs w:val="14"/>
        </w:rPr>
        <w:t xml:space="preserve">R$ </w:t>
      </w:r>
      <w:proofErr w:type="spellStart"/>
      <w:r>
        <w:rPr>
          <w:sz w:val="14"/>
          <w:szCs w:val="14"/>
        </w:rPr>
        <w:t>thousand</w:t>
      </w:r>
      <w:proofErr w:type="spellEnd"/>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128"/>
        <w:gridCol w:w="567"/>
        <w:gridCol w:w="567"/>
        <w:gridCol w:w="1134"/>
        <w:gridCol w:w="1134"/>
      </w:tblGrid>
      <w:tr w:rsidR="00D440E7" w:rsidRPr="004C6ED9" w14:paraId="303D4C8D" w14:textId="77777777" w:rsidTr="000F6630">
        <w:trPr>
          <w:trHeight w:val="238"/>
        </w:trPr>
        <w:tc>
          <w:tcPr>
            <w:tcW w:w="850" w:type="dxa"/>
            <w:tcBorders>
              <w:top w:val="single" w:sz="6" w:space="0" w:color="1F3864" w:themeColor="accent1" w:themeShade="80"/>
              <w:bottom w:val="nil"/>
            </w:tcBorders>
            <w:shd w:val="clear" w:color="auto" w:fill="auto"/>
            <w:vAlign w:val="center"/>
          </w:tcPr>
          <w:p w14:paraId="7D558C70" w14:textId="77777777" w:rsidR="00D440E7" w:rsidRPr="004C6ED9" w:rsidRDefault="00D440E7">
            <w:pPr>
              <w:keepNext/>
              <w:keepLines/>
              <w:spacing w:before="40" w:after="40"/>
              <w:jc w:val="center"/>
              <w:rPr>
                <w:rFonts w:ascii="Arial" w:hAnsi="Arial" w:cs="Arial"/>
                <w:b/>
                <w:bCs/>
                <w:spacing w:val="-2"/>
                <w:sz w:val="14"/>
                <w:szCs w:val="14"/>
              </w:rPr>
            </w:pPr>
          </w:p>
        </w:tc>
        <w:tc>
          <w:tcPr>
            <w:tcW w:w="2848" w:type="dxa"/>
            <w:gridSpan w:val="2"/>
            <w:tcBorders>
              <w:top w:val="single" w:sz="6" w:space="0" w:color="1F3864" w:themeColor="accent1" w:themeShade="80"/>
              <w:bottom w:val="nil"/>
            </w:tcBorders>
            <w:shd w:val="clear" w:color="auto" w:fill="auto"/>
            <w:vAlign w:val="center"/>
          </w:tcPr>
          <w:p w14:paraId="55F99A66" w14:textId="77777777" w:rsidR="00D440E7" w:rsidRPr="004C6ED9" w:rsidRDefault="00D440E7">
            <w:pPr>
              <w:keepNext/>
              <w:keepLines/>
              <w:spacing w:before="40" w:after="40"/>
              <w:jc w:val="center"/>
              <w:rPr>
                <w:rFonts w:ascii="Arial" w:hAnsi="Arial" w:cs="Arial"/>
                <w:spacing w:val="-2"/>
                <w:sz w:val="14"/>
                <w:szCs w:val="14"/>
              </w:rPr>
            </w:pPr>
          </w:p>
        </w:tc>
        <w:tc>
          <w:tcPr>
            <w:tcW w:w="2539" w:type="dxa"/>
            <w:gridSpan w:val="2"/>
            <w:tcBorders>
              <w:top w:val="single" w:sz="6" w:space="0" w:color="1F3864" w:themeColor="accent1" w:themeShade="80"/>
              <w:bottom w:val="single" w:sz="6" w:space="0" w:color="1F3864" w:themeColor="accent1" w:themeShade="80"/>
            </w:tcBorders>
            <w:shd w:val="clear" w:color="auto" w:fill="auto"/>
            <w:vAlign w:val="center"/>
          </w:tcPr>
          <w:p w14:paraId="63A522AE" w14:textId="77777777" w:rsidR="00D440E7" w:rsidRPr="0079276F" w:rsidRDefault="00D440E7">
            <w:pPr>
              <w:keepNext/>
              <w:keepLines/>
              <w:spacing w:before="40" w:after="40"/>
              <w:jc w:val="center"/>
              <w:rPr>
                <w:rFonts w:ascii="Arial" w:hAnsi="Arial" w:cs="Arial"/>
                <w:b/>
                <w:spacing w:val="-2"/>
                <w:sz w:val="14"/>
                <w:szCs w:val="14"/>
                <w:vertAlign w:val="superscript"/>
              </w:rPr>
            </w:pPr>
            <w:proofErr w:type="spellStart"/>
            <w:r>
              <w:rPr>
                <w:rFonts w:ascii="Arial" w:hAnsi="Arial" w:cs="Arial"/>
                <w:b/>
                <w:spacing w:val="-2"/>
                <w:sz w:val="14"/>
                <w:szCs w:val="14"/>
              </w:rPr>
              <w:t>Parent</w:t>
            </w:r>
            <w:proofErr w:type="spellEnd"/>
          </w:p>
        </w:tc>
        <w:tc>
          <w:tcPr>
            <w:tcW w:w="567" w:type="dxa"/>
            <w:tcBorders>
              <w:top w:val="single" w:sz="6" w:space="0" w:color="1F3864" w:themeColor="accent1" w:themeShade="80"/>
              <w:bottom w:val="nil"/>
            </w:tcBorders>
          </w:tcPr>
          <w:p w14:paraId="51304F11" w14:textId="77777777" w:rsidR="00D440E7" w:rsidRPr="0079276F" w:rsidRDefault="00D440E7">
            <w:pPr>
              <w:keepNext/>
              <w:keepLines/>
              <w:spacing w:before="40" w:after="40"/>
              <w:jc w:val="center"/>
              <w:rPr>
                <w:rFonts w:ascii="Arial" w:hAnsi="Arial" w:cs="Arial"/>
                <w:b/>
                <w:bCs/>
                <w:spacing w:val="-2"/>
                <w:sz w:val="14"/>
                <w:szCs w:val="14"/>
              </w:rPr>
            </w:pPr>
          </w:p>
        </w:tc>
        <w:tc>
          <w:tcPr>
            <w:tcW w:w="567" w:type="dxa"/>
            <w:tcBorders>
              <w:top w:val="single" w:sz="6" w:space="0" w:color="1F3864" w:themeColor="accent1" w:themeShade="80"/>
              <w:bottom w:val="nil"/>
            </w:tcBorders>
            <w:shd w:val="clear" w:color="auto" w:fill="auto"/>
            <w:vAlign w:val="center"/>
          </w:tcPr>
          <w:p w14:paraId="4556218E" w14:textId="1332D8CA" w:rsidR="00D440E7" w:rsidRPr="0079276F" w:rsidRDefault="00D440E7">
            <w:pPr>
              <w:keepNext/>
              <w:keepLines/>
              <w:spacing w:before="40" w:after="40"/>
              <w:jc w:val="center"/>
              <w:rPr>
                <w:rFonts w:ascii="Arial" w:hAnsi="Arial" w:cs="Arial"/>
                <w:b/>
                <w:bCs/>
                <w:spacing w:val="-2"/>
                <w:sz w:val="14"/>
                <w:szCs w:val="14"/>
              </w:rPr>
            </w:pPr>
          </w:p>
        </w:tc>
        <w:tc>
          <w:tcPr>
            <w:tcW w:w="2268" w:type="dxa"/>
            <w:gridSpan w:val="2"/>
            <w:tcBorders>
              <w:top w:val="single" w:sz="6" w:space="0" w:color="1F3864" w:themeColor="accent1" w:themeShade="80"/>
              <w:bottom w:val="single" w:sz="6" w:space="0" w:color="1F3864" w:themeColor="accent1" w:themeShade="80"/>
            </w:tcBorders>
            <w:shd w:val="clear" w:color="auto" w:fill="auto"/>
            <w:vAlign w:val="center"/>
          </w:tcPr>
          <w:p w14:paraId="14523163" w14:textId="77777777" w:rsidR="00D440E7" w:rsidRPr="0079276F" w:rsidRDefault="00D440E7">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D440E7" w:rsidRPr="004C6ED9" w14:paraId="5EAA3319" w14:textId="77777777" w:rsidTr="00981820">
        <w:trPr>
          <w:trHeight w:val="238"/>
        </w:trPr>
        <w:tc>
          <w:tcPr>
            <w:tcW w:w="3094" w:type="dxa"/>
            <w:gridSpan w:val="2"/>
            <w:tcBorders>
              <w:top w:val="nil"/>
              <w:bottom w:val="single" w:sz="6" w:space="0" w:color="1F3864" w:themeColor="accent1" w:themeShade="80"/>
            </w:tcBorders>
            <w:shd w:val="clear" w:color="auto" w:fill="auto"/>
            <w:vAlign w:val="center"/>
          </w:tcPr>
          <w:p w14:paraId="3AAE8FCB" w14:textId="77777777" w:rsidR="00D440E7" w:rsidRPr="004C6ED9" w:rsidRDefault="00D440E7">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shd w:val="clear" w:color="auto" w:fill="auto"/>
            <w:vAlign w:val="center"/>
          </w:tcPr>
          <w:p w14:paraId="55CF3F07" w14:textId="77777777" w:rsidR="00D440E7" w:rsidRPr="004C6ED9" w:rsidRDefault="00D440E7">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shd w:val="clear" w:color="auto" w:fill="auto"/>
            <w:vAlign w:val="center"/>
          </w:tcPr>
          <w:p w14:paraId="0AB1D90C" w14:textId="77777777" w:rsidR="00D440E7" w:rsidRPr="00CF762E" w:rsidRDefault="00D440E7">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2024</w:t>
            </w:r>
            <w:r>
              <w:rPr>
                <w:rFonts w:ascii="Arial" w:hAnsi="Arial" w:cs="Arial"/>
                <w:b/>
                <w:spacing w:val="-2"/>
                <w:sz w:val="14"/>
                <w:szCs w:val="14"/>
                <w:vertAlign w:val="superscript"/>
              </w:rPr>
              <w:t>(1)</w:t>
            </w:r>
          </w:p>
        </w:tc>
        <w:tc>
          <w:tcPr>
            <w:tcW w:w="1128" w:type="dxa"/>
            <w:tcBorders>
              <w:bottom w:val="single" w:sz="6" w:space="0" w:color="1F3864" w:themeColor="accent1" w:themeShade="80"/>
            </w:tcBorders>
            <w:shd w:val="clear" w:color="auto" w:fill="auto"/>
            <w:vAlign w:val="center"/>
          </w:tcPr>
          <w:p w14:paraId="63E04B3E" w14:textId="77777777" w:rsidR="00D440E7" w:rsidRPr="00AF7E05" w:rsidRDefault="00D440E7">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2023</w:t>
            </w:r>
          </w:p>
        </w:tc>
        <w:tc>
          <w:tcPr>
            <w:tcW w:w="567" w:type="dxa"/>
            <w:tcBorders>
              <w:bottom w:val="single" w:sz="6" w:space="0" w:color="1F3864" w:themeColor="accent1" w:themeShade="80"/>
            </w:tcBorders>
          </w:tcPr>
          <w:p w14:paraId="2EB377F8" w14:textId="77777777" w:rsidR="00D440E7" w:rsidRPr="004C6ED9" w:rsidRDefault="00D440E7">
            <w:pPr>
              <w:keepNext/>
              <w:keepLines/>
              <w:spacing w:before="40" w:after="40"/>
              <w:jc w:val="right"/>
              <w:rPr>
                <w:rFonts w:ascii="Arial" w:hAnsi="Arial" w:cs="Arial"/>
                <w:b/>
                <w:spacing w:val="-2"/>
                <w:sz w:val="14"/>
                <w:szCs w:val="14"/>
              </w:rPr>
            </w:pPr>
          </w:p>
        </w:tc>
        <w:tc>
          <w:tcPr>
            <w:tcW w:w="567" w:type="dxa"/>
            <w:tcBorders>
              <w:top w:val="nil"/>
              <w:bottom w:val="single" w:sz="6" w:space="0" w:color="1F3864" w:themeColor="accent1" w:themeShade="80"/>
            </w:tcBorders>
            <w:shd w:val="clear" w:color="auto" w:fill="auto"/>
            <w:vAlign w:val="center"/>
          </w:tcPr>
          <w:p w14:paraId="360E34E5" w14:textId="0DCB3931" w:rsidR="00D440E7" w:rsidRPr="004C6ED9" w:rsidRDefault="00D440E7">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shd w:val="clear" w:color="auto" w:fill="auto"/>
            <w:vAlign w:val="center"/>
          </w:tcPr>
          <w:p w14:paraId="5A0FF9D3" w14:textId="77777777" w:rsidR="00D440E7" w:rsidRPr="004C6ED9" w:rsidRDefault="00D440E7">
            <w:pPr>
              <w:keepNext/>
              <w:keepLines/>
              <w:spacing w:before="40" w:after="40"/>
              <w:ind w:left="318" w:hanging="318"/>
              <w:jc w:val="center"/>
              <w:rPr>
                <w:rFonts w:ascii="Arial" w:hAnsi="Arial" w:cs="Arial"/>
                <w:b/>
                <w:spacing w:val="-2"/>
                <w:sz w:val="14"/>
                <w:szCs w:val="14"/>
              </w:rPr>
            </w:pPr>
            <w:r>
              <w:rPr>
                <w:rFonts w:ascii="Arial" w:hAnsi="Arial" w:cs="Arial"/>
                <w:b/>
                <w:spacing w:val="-2"/>
                <w:sz w:val="14"/>
                <w:szCs w:val="14"/>
              </w:rPr>
              <w:t>2024</w:t>
            </w:r>
            <w:r>
              <w:rPr>
                <w:rFonts w:ascii="Arial" w:hAnsi="Arial" w:cs="Arial"/>
                <w:b/>
                <w:spacing w:val="-2"/>
                <w:sz w:val="14"/>
                <w:szCs w:val="14"/>
                <w:vertAlign w:val="superscript"/>
              </w:rPr>
              <w:t>(2)</w:t>
            </w:r>
          </w:p>
        </w:tc>
        <w:tc>
          <w:tcPr>
            <w:tcW w:w="1134" w:type="dxa"/>
            <w:tcBorders>
              <w:bottom w:val="single" w:sz="6" w:space="0" w:color="1F3864" w:themeColor="accent1" w:themeShade="80"/>
            </w:tcBorders>
            <w:shd w:val="clear" w:color="auto" w:fill="auto"/>
            <w:vAlign w:val="center"/>
          </w:tcPr>
          <w:p w14:paraId="31EFFC2E" w14:textId="77777777" w:rsidR="00D440E7" w:rsidRPr="0082415E" w:rsidRDefault="00D440E7">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2023</w:t>
            </w:r>
          </w:p>
        </w:tc>
      </w:tr>
      <w:tr w:rsidR="00D440E7" w:rsidRPr="004C6ED9" w14:paraId="7700B5A0" w14:textId="77777777" w:rsidTr="00981820">
        <w:trPr>
          <w:trHeight w:val="238"/>
        </w:trPr>
        <w:tc>
          <w:tcPr>
            <w:tcW w:w="3094" w:type="dxa"/>
            <w:gridSpan w:val="2"/>
            <w:tcBorders>
              <w:top w:val="single" w:sz="6" w:space="0" w:color="1F3864" w:themeColor="accent1" w:themeShade="80"/>
            </w:tcBorders>
            <w:shd w:val="clear" w:color="auto" w:fill="auto"/>
          </w:tcPr>
          <w:p w14:paraId="42771D60" w14:textId="77777777" w:rsidR="00D440E7" w:rsidRPr="00B92CC7" w:rsidRDefault="00D440E7">
            <w:pPr>
              <w:pStyle w:val="08-Tabelageral"/>
              <w:jc w:val="left"/>
              <w:rPr>
                <w:rFonts w:cs="Arial"/>
                <w:b/>
                <w:szCs w:val="14"/>
                <w:vertAlign w:val="superscript"/>
              </w:rPr>
            </w:pPr>
            <w:proofErr w:type="spellStart"/>
            <w:r>
              <w:rPr>
                <w:rFonts w:cs="Arial"/>
                <w:szCs w:val="14"/>
              </w:rPr>
              <w:t>Dividends</w:t>
            </w:r>
            <w:proofErr w:type="spellEnd"/>
            <w:r>
              <w:rPr>
                <w:rFonts w:cs="Arial"/>
                <w:szCs w:val="14"/>
              </w:rPr>
              <w:t xml:space="preserve"> </w:t>
            </w:r>
            <w:proofErr w:type="spellStart"/>
            <w:r>
              <w:rPr>
                <w:rFonts w:cs="Arial"/>
                <w:szCs w:val="14"/>
              </w:rPr>
              <w:t>receivable</w:t>
            </w:r>
            <w:proofErr w:type="spellEnd"/>
            <w:r>
              <w:rPr>
                <w:rFonts w:cs="Arial"/>
                <w:szCs w:val="14"/>
              </w:rPr>
              <w:t xml:space="preserve"> </w:t>
            </w:r>
          </w:p>
        </w:tc>
        <w:tc>
          <w:tcPr>
            <w:tcW w:w="604" w:type="dxa"/>
            <w:tcBorders>
              <w:top w:val="single" w:sz="6" w:space="0" w:color="1F3864" w:themeColor="accent1" w:themeShade="80"/>
            </w:tcBorders>
            <w:shd w:val="clear" w:color="auto" w:fill="auto"/>
          </w:tcPr>
          <w:p w14:paraId="6EAEB6CD" w14:textId="77777777" w:rsidR="00D440E7" w:rsidRPr="004C6ED9" w:rsidRDefault="00D440E7">
            <w:pPr>
              <w:pStyle w:val="08-Tabelageral"/>
              <w:rPr>
                <w:rFonts w:cs="Arial"/>
                <w:szCs w:val="14"/>
              </w:rPr>
            </w:pPr>
          </w:p>
        </w:tc>
        <w:tc>
          <w:tcPr>
            <w:tcW w:w="1411" w:type="dxa"/>
            <w:tcBorders>
              <w:top w:val="single" w:sz="6" w:space="0" w:color="1F3864" w:themeColor="accent1" w:themeShade="80"/>
            </w:tcBorders>
            <w:shd w:val="clear" w:color="auto" w:fill="auto"/>
          </w:tcPr>
          <w:p w14:paraId="3FA7C8E3" w14:textId="4A1526D5" w:rsidR="00D440E7" w:rsidRPr="004C6ED9" w:rsidRDefault="00D440E7">
            <w:pPr>
              <w:pStyle w:val="08-Tabelageral"/>
              <w:rPr>
                <w:rFonts w:cs="Arial"/>
                <w:szCs w:val="14"/>
              </w:rPr>
            </w:pPr>
            <w:r>
              <w:rPr>
                <w:rFonts w:cs="Arial"/>
                <w:szCs w:val="14"/>
              </w:rPr>
              <w:t>4,145,40</w:t>
            </w:r>
            <w:r w:rsidR="00C17398">
              <w:rPr>
                <w:rFonts w:cs="Arial"/>
                <w:szCs w:val="14"/>
              </w:rPr>
              <w:t>2</w:t>
            </w:r>
          </w:p>
        </w:tc>
        <w:tc>
          <w:tcPr>
            <w:tcW w:w="1128" w:type="dxa"/>
            <w:tcBorders>
              <w:top w:val="single" w:sz="6" w:space="0" w:color="1F3864" w:themeColor="accent1" w:themeShade="80"/>
            </w:tcBorders>
            <w:shd w:val="clear" w:color="auto" w:fill="auto"/>
          </w:tcPr>
          <w:p w14:paraId="22D29464" w14:textId="77777777" w:rsidR="00D440E7" w:rsidRPr="004C6ED9" w:rsidRDefault="00D440E7">
            <w:pPr>
              <w:pStyle w:val="08-Tabelageral"/>
              <w:rPr>
                <w:rFonts w:cs="Arial"/>
                <w:szCs w:val="14"/>
              </w:rPr>
            </w:pPr>
            <w:r>
              <w:rPr>
                <w:rFonts w:cs="Arial"/>
                <w:szCs w:val="14"/>
              </w:rPr>
              <w:t>2,362,126</w:t>
            </w:r>
          </w:p>
        </w:tc>
        <w:tc>
          <w:tcPr>
            <w:tcW w:w="567" w:type="dxa"/>
            <w:tcBorders>
              <w:top w:val="single" w:sz="6" w:space="0" w:color="1F3864" w:themeColor="accent1" w:themeShade="80"/>
            </w:tcBorders>
          </w:tcPr>
          <w:p w14:paraId="039397B3" w14:textId="77777777" w:rsidR="00D440E7" w:rsidRPr="004C6ED9" w:rsidRDefault="00D440E7">
            <w:pPr>
              <w:pStyle w:val="08-Tabelageral"/>
              <w:rPr>
                <w:rFonts w:cs="Arial"/>
                <w:szCs w:val="14"/>
              </w:rPr>
            </w:pPr>
          </w:p>
        </w:tc>
        <w:tc>
          <w:tcPr>
            <w:tcW w:w="567" w:type="dxa"/>
            <w:tcBorders>
              <w:top w:val="single" w:sz="6" w:space="0" w:color="1F3864" w:themeColor="accent1" w:themeShade="80"/>
            </w:tcBorders>
            <w:shd w:val="clear" w:color="auto" w:fill="auto"/>
          </w:tcPr>
          <w:p w14:paraId="502F598F" w14:textId="3BA0AC11" w:rsidR="00D440E7" w:rsidRPr="004C6ED9" w:rsidRDefault="00D440E7">
            <w:pPr>
              <w:pStyle w:val="08-Tabelageral"/>
              <w:rPr>
                <w:rFonts w:cs="Arial"/>
                <w:szCs w:val="14"/>
              </w:rPr>
            </w:pPr>
          </w:p>
        </w:tc>
        <w:tc>
          <w:tcPr>
            <w:tcW w:w="1134" w:type="dxa"/>
            <w:tcBorders>
              <w:top w:val="single" w:sz="6" w:space="0" w:color="1F3864" w:themeColor="accent1" w:themeShade="80"/>
            </w:tcBorders>
            <w:shd w:val="clear" w:color="auto" w:fill="auto"/>
          </w:tcPr>
          <w:p w14:paraId="438BB13E" w14:textId="77777777" w:rsidR="00D440E7" w:rsidRPr="004C6ED9" w:rsidRDefault="00D440E7">
            <w:pPr>
              <w:pStyle w:val="08-Tabelageral"/>
              <w:tabs>
                <w:tab w:val="left" w:pos="576"/>
              </w:tabs>
              <w:ind w:right="313"/>
              <w:rPr>
                <w:rFonts w:cs="Arial"/>
                <w:szCs w:val="14"/>
              </w:rPr>
            </w:pPr>
            <w:r>
              <w:rPr>
                <w:rFonts w:cs="Arial"/>
                <w:szCs w:val="14"/>
              </w:rPr>
              <w:t>97,446</w:t>
            </w:r>
          </w:p>
        </w:tc>
        <w:tc>
          <w:tcPr>
            <w:tcW w:w="1134" w:type="dxa"/>
            <w:tcBorders>
              <w:top w:val="single" w:sz="6" w:space="0" w:color="1F3864" w:themeColor="accent1" w:themeShade="80"/>
            </w:tcBorders>
            <w:shd w:val="clear" w:color="auto" w:fill="auto"/>
          </w:tcPr>
          <w:p w14:paraId="611B7FBF" w14:textId="77777777" w:rsidR="00D440E7" w:rsidRPr="004C6ED9" w:rsidRDefault="00D440E7">
            <w:pPr>
              <w:pStyle w:val="08-Tabelageral"/>
              <w:rPr>
                <w:rFonts w:cs="Arial"/>
                <w:szCs w:val="14"/>
              </w:rPr>
            </w:pPr>
            <w:r>
              <w:rPr>
                <w:rFonts w:cs="Arial"/>
                <w:szCs w:val="14"/>
              </w:rPr>
              <w:t>444</w:t>
            </w:r>
          </w:p>
        </w:tc>
      </w:tr>
    </w:tbl>
    <w:bookmarkEnd w:id="89"/>
    <w:p w14:paraId="7144A2E6" w14:textId="72ADA9B2" w:rsidR="00293B96" w:rsidRPr="009A48EF" w:rsidRDefault="00293B96" w:rsidP="005F2CF4">
      <w:pPr>
        <w:pStyle w:val="07-Legenda"/>
        <w:numPr>
          <w:ilvl w:val="0"/>
          <w:numId w:val="46"/>
        </w:numPr>
        <w:ind w:left="284" w:hanging="284"/>
        <w:rPr>
          <w:szCs w:val="14"/>
          <w:lang w:val="en-US"/>
        </w:rPr>
      </w:pPr>
      <w:r w:rsidRPr="009A48EF">
        <w:rPr>
          <w:lang w:val="en-US"/>
        </w:rPr>
        <w:t xml:space="preserve">R$ 2,425,000 refers to </w:t>
      </w:r>
      <w:proofErr w:type="gramStart"/>
      <w:r w:rsidRPr="009A48EF">
        <w:rPr>
          <w:lang w:val="en-US"/>
        </w:rPr>
        <w:t>dividends</w:t>
      </w:r>
      <w:proofErr w:type="gramEnd"/>
      <w:r w:rsidRPr="009A48EF">
        <w:rPr>
          <w:lang w:val="en-US"/>
        </w:rPr>
        <w:t xml:space="preserve"> receivable from BB </w:t>
      </w:r>
      <w:proofErr w:type="spellStart"/>
      <w:r w:rsidRPr="009A48EF">
        <w:rPr>
          <w:lang w:val="en-US"/>
        </w:rPr>
        <w:t>Seguros</w:t>
      </w:r>
      <w:proofErr w:type="spellEnd"/>
      <w:r w:rsidRPr="009A48EF">
        <w:rPr>
          <w:lang w:val="en-US"/>
        </w:rPr>
        <w:t>. R$ 1,720,40</w:t>
      </w:r>
      <w:r w:rsidR="00C55258">
        <w:rPr>
          <w:lang w:val="en-US"/>
        </w:rPr>
        <w:t>2</w:t>
      </w:r>
      <w:r w:rsidRPr="009A48EF">
        <w:rPr>
          <w:lang w:val="en-US"/>
        </w:rPr>
        <w:t xml:space="preserve"> thousand refers to </w:t>
      </w:r>
      <w:proofErr w:type="gramStart"/>
      <w:r w:rsidRPr="009A48EF">
        <w:rPr>
          <w:lang w:val="en-US"/>
        </w:rPr>
        <w:t>dividends</w:t>
      </w:r>
      <w:proofErr w:type="gramEnd"/>
      <w:r w:rsidRPr="009A48EF">
        <w:rPr>
          <w:lang w:val="en-US"/>
        </w:rPr>
        <w:t xml:space="preserve"> receivable from BB </w:t>
      </w:r>
      <w:proofErr w:type="spellStart"/>
      <w:r w:rsidRPr="009A48EF">
        <w:rPr>
          <w:lang w:val="en-US"/>
        </w:rPr>
        <w:t>Corretora</w:t>
      </w:r>
      <w:proofErr w:type="spellEnd"/>
      <w:r w:rsidRPr="009A48EF">
        <w:rPr>
          <w:lang w:val="en-US"/>
        </w:rPr>
        <w:t>.</w:t>
      </w:r>
    </w:p>
    <w:p w14:paraId="712A416C" w14:textId="77777777" w:rsidR="00293B96" w:rsidRPr="000858C3" w:rsidRDefault="00293B96" w:rsidP="005F2CF4">
      <w:pPr>
        <w:pStyle w:val="07-Legenda"/>
        <w:numPr>
          <w:ilvl w:val="0"/>
          <w:numId w:val="46"/>
        </w:numPr>
        <w:ind w:left="284" w:hanging="284"/>
        <w:rPr>
          <w:szCs w:val="14"/>
          <w:lang w:val="en-US"/>
        </w:rPr>
      </w:pPr>
      <w:r w:rsidRPr="009A48EF">
        <w:rPr>
          <w:szCs w:val="14"/>
          <w:lang w:val="en-US"/>
        </w:rPr>
        <w:t xml:space="preserve">R$97,446 thousand refers to </w:t>
      </w:r>
      <w:proofErr w:type="gramStart"/>
      <w:r w:rsidRPr="009A48EF">
        <w:rPr>
          <w:szCs w:val="14"/>
          <w:lang w:val="en-US"/>
        </w:rPr>
        <w:t>dividends</w:t>
      </w:r>
      <w:proofErr w:type="gramEnd"/>
      <w:r w:rsidRPr="009A48EF">
        <w:rPr>
          <w:szCs w:val="14"/>
          <w:lang w:val="en-US"/>
        </w:rPr>
        <w:t xml:space="preserve"> receivable from </w:t>
      </w:r>
      <w:proofErr w:type="spellStart"/>
      <w:r w:rsidRPr="009A48EF">
        <w:rPr>
          <w:szCs w:val="14"/>
          <w:lang w:val="en-US"/>
        </w:rPr>
        <w:t>Brasilprev</w:t>
      </w:r>
      <w:proofErr w:type="spellEnd"/>
    </w:p>
    <w:p w14:paraId="7D1CAD6A" w14:textId="77777777" w:rsidR="00293B96" w:rsidRDefault="00293B96" w:rsidP="00293B96">
      <w:pPr>
        <w:pStyle w:val="07-Legenda"/>
        <w:ind w:left="0" w:firstLine="0"/>
        <w:rPr>
          <w:szCs w:val="14"/>
          <w:lang w:val="en-US"/>
        </w:rPr>
      </w:pPr>
    </w:p>
    <w:p w14:paraId="3121C177" w14:textId="77777777" w:rsidR="00293B96" w:rsidRPr="00293B96" w:rsidRDefault="00293B96" w:rsidP="00293B96">
      <w:pPr>
        <w:rPr>
          <w:lang w:val="en-US"/>
        </w:rPr>
      </w:pPr>
    </w:p>
    <w:p w14:paraId="66A59A99" w14:textId="43DADAD2" w:rsidR="007D4AB0" w:rsidRPr="004A3F4E" w:rsidRDefault="004725AE" w:rsidP="00E50A1B">
      <w:pPr>
        <w:pStyle w:val="Ttulo1"/>
        <w:keepLines w:val="0"/>
        <w:rPr>
          <w:rFonts w:ascii="Arial" w:hAnsi="Arial" w:cs="Arial"/>
          <w:b/>
          <w:color w:val="1F3864" w:themeColor="accent1" w:themeShade="80"/>
          <w:sz w:val="20"/>
          <w:szCs w:val="20"/>
          <w:lang w:val="en-US"/>
        </w:rPr>
      </w:pPr>
      <w:bookmarkStart w:id="90" w:name="_Toc157446731"/>
      <w:bookmarkStart w:id="91" w:name="_Toc190680639"/>
      <w:r w:rsidRPr="004A3F4E">
        <w:rPr>
          <w:rFonts w:ascii="Arial" w:hAnsi="Arial" w:cs="Arial"/>
          <w:b/>
          <w:color w:val="1F3864" w:themeColor="accent1" w:themeShade="80"/>
          <w:sz w:val="20"/>
          <w:szCs w:val="20"/>
          <w:lang w:val="en-US"/>
        </w:rPr>
        <w:lastRenderedPageBreak/>
        <w:t>18 – COMMISSIONS RECEIVABLE</w:t>
      </w:r>
      <w:bookmarkEnd w:id="90"/>
      <w:bookmarkEnd w:id="91"/>
    </w:p>
    <w:p w14:paraId="3219FC17" w14:textId="77777777" w:rsidR="00FA14E8" w:rsidRPr="002B208A" w:rsidRDefault="00FA14E8" w:rsidP="00E50A1B">
      <w:pPr>
        <w:pStyle w:val="01-TtulodeNota"/>
        <w:keepNext/>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FA14E8" w:rsidRPr="00D1582F" w14:paraId="7C7E2413" w14:textId="77777777">
        <w:trPr>
          <w:trHeight w:val="238"/>
          <w:jc w:val="center"/>
        </w:trPr>
        <w:tc>
          <w:tcPr>
            <w:tcW w:w="5240" w:type="dxa"/>
            <w:gridSpan w:val="2"/>
            <w:tcBorders>
              <w:top w:val="single" w:sz="2" w:space="0" w:color="1F3864" w:themeColor="accent1" w:themeShade="80"/>
              <w:bottom w:val="nil"/>
            </w:tcBorders>
            <w:shd w:val="clear" w:color="auto" w:fill="auto"/>
          </w:tcPr>
          <w:p w14:paraId="29E8BA73" w14:textId="77777777" w:rsidR="00FA14E8" w:rsidRPr="00D1582F" w:rsidRDefault="00FA14E8">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shd w:val="clear" w:color="auto" w:fill="auto"/>
          </w:tcPr>
          <w:p w14:paraId="60459B2D" w14:textId="77777777" w:rsidR="00FA14E8" w:rsidRPr="00D1582F" w:rsidRDefault="00FA14E8">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695EFF89" w14:textId="77777777" w:rsidR="00FA14E8" w:rsidRPr="00D1582F" w:rsidRDefault="00FA14E8">
            <w:pPr>
              <w:pStyle w:val="08-Tabelageral"/>
              <w:jc w:val="center"/>
              <w:rPr>
                <w:b/>
              </w:rPr>
            </w:pPr>
            <w:r w:rsidRPr="00D1582F">
              <w:rPr>
                <w:rFonts w:cs="Arial"/>
                <w:b/>
                <w:lang w:val="en-US"/>
              </w:rPr>
              <w:t>Consolidated</w:t>
            </w:r>
          </w:p>
        </w:tc>
      </w:tr>
      <w:tr w:rsidR="00FA14E8" w:rsidRPr="00D1582F" w14:paraId="68392B16" w14:textId="77777777">
        <w:trPr>
          <w:trHeight w:val="238"/>
          <w:jc w:val="center"/>
        </w:trPr>
        <w:tc>
          <w:tcPr>
            <w:tcW w:w="4384" w:type="dxa"/>
            <w:tcBorders>
              <w:top w:val="nil"/>
              <w:bottom w:val="single" w:sz="2" w:space="0" w:color="1F3864" w:themeColor="accent1" w:themeShade="80"/>
            </w:tcBorders>
            <w:shd w:val="clear" w:color="auto" w:fill="auto"/>
          </w:tcPr>
          <w:p w14:paraId="0E3AF008" w14:textId="77777777" w:rsidR="00FA14E8" w:rsidRPr="00D1582F" w:rsidRDefault="00FA14E8">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shd w:val="clear" w:color="auto" w:fill="auto"/>
          </w:tcPr>
          <w:p w14:paraId="06171197" w14:textId="77777777" w:rsidR="00FA14E8" w:rsidRPr="00D1582F" w:rsidRDefault="00FA14E8">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shd w:val="clear" w:color="auto" w:fill="auto"/>
          </w:tcPr>
          <w:p w14:paraId="3E0A878D" w14:textId="77777777" w:rsidR="00FA14E8" w:rsidRPr="00D1582F" w:rsidRDefault="00FA14E8">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34FF00D1" w14:textId="77777777" w:rsidR="00FA14E8" w:rsidRPr="00D1582F" w:rsidRDefault="00FA14E8">
            <w:pPr>
              <w:pStyle w:val="08-Tabelageral"/>
              <w:rPr>
                <w:b/>
              </w:rPr>
            </w:pPr>
            <w:proofErr w:type="spellStart"/>
            <w:r>
              <w:rPr>
                <w:rFonts w:cs="Arial"/>
                <w:b/>
              </w:rPr>
              <w:t>Dec</w:t>
            </w:r>
            <w:proofErr w:type="spellEnd"/>
            <w:r w:rsidRPr="001D538D">
              <w:rPr>
                <w:rFonts w:cs="Arial"/>
                <w:b/>
              </w:rPr>
              <w:t xml:space="preserve"> 3</w:t>
            </w:r>
            <w:r>
              <w:rPr>
                <w:rFonts w:cs="Arial"/>
                <w:b/>
              </w:rPr>
              <w:t>1</w:t>
            </w:r>
            <w:r w:rsidRPr="001D538D">
              <w:rPr>
                <w:rFonts w:cs="Arial"/>
                <w:b/>
              </w:rPr>
              <w:t>, 2024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35CF2E8A" w14:textId="77777777" w:rsidR="00FA14E8" w:rsidRPr="00D1582F" w:rsidRDefault="00FA14E8">
            <w:pPr>
              <w:pStyle w:val="08-Tabelageral"/>
              <w:rPr>
                <w:b/>
              </w:rPr>
            </w:pPr>
            <w:proofErr w:type="spellStart"/>
            <w:r>
              <w:rPr>
                <w:rFonts w:cs="Arial"/>
                <w:b/>
              </w:rPr>
              <w:t>Dec</w:t>
            </w:r>
            <w:proofErr w:type="spellEnd"/>
            <w:r w:rsidRPr="00D1582F">
              <w:rPr>
                <w:rFonts w:cs="Arial"/>
                <w:b/>
              </w:rPr>
              <w:t xml:space="preserve"> 3</w:t>
            </w:r>
            <w:r>
              <w:rPr>
                <w:rFonts w:cs="Arial"/>
                <w:b/>
              </w:rPr>
              <w:t>1</w:t>
            </w:r>
            <w:r w:rsidRPr="00D1582F">
              <w:rPr>
                <w:rFonts w:cs="Arial"/>
                <w:b/>
              </w:rPr>
              <w:t>, 202</w:t>
            </w:r>
            <w:r>
              <w:rPr>
                <w:rFonts w:cs="Arial"/>
                <w:b/>
              </w:rPr>
              <w:t>3</w:t>
            </w:r>
          </w:p>
        </w:tc>
      </w:tr>
      <w:tr w:rsidR="00FA14E8" w:rsidRPr="00D1582F" w14:paraId="4346F8BB" w14:textId="77777777">
        <w:trPr>
          <w:trHeight w:val="238"/>
          <w:jc w:val="center"/>
        </w:trPr>
        <w:tc>
          <w:tcPr>
            <w:tcW w:w="4384" w:type="dxa"/>
            <w:tcBorders>
              <w:top w:val="single" w:sz="2" w:space="0" w:color="1F3864" w:themeColor="accent1" w:themeShade="80"/>
            </w:tcBorders>
            <w:shd w:val="clear" w:color="auto" w:fill="auto"/>
            <w:vAlign w:val="center"/>
          </w:tcPr>
          <w:p w14:paraId="7436EBB7" w14:textId="77777777" w:rsidR="00FA14E8" w:rsidRPr="00D1582F" w:rsidRDefault="00FA14E8">
            <w:pPr>
              <w:pStyle w:val="08-Tabelageral"/>
              <w:jc w:val="left"/>
              <w:rPr>
                <w:rFonts w:cs="Arial"/>
                <w:b/>
                <w:lang w:val="en-US"/>
              </w:rPr>
            </w:pPr>
            <w:r w:rsidRPr="00D1582F">
              <w:rPr>
                <w:rFonts w:cs="Arial"/>
                <w:b/>
                <w:lang w:val="en-US"/>
              </w:rPr>
              <w:t>Current Assets</w:t>
            </w:r>
          </w:p>
        </w:tc>
        <w:tc>
          <w:tcPr>
            <w:tcW w:w="856" w:type="dxa"/>
            <w:tcBorders>
              <w:top w:val="single" w:sz="2" w:space="0" w:color="1F3864" w:themeColor="accent1" w:themeShade="80"/>
            </w:tcBorders>
            <w:shd w:val="clear" w:color="auto" w:fill="auto"/>
          </w:tcPr>
          <w:p w14:paraId="79FDCDED" w14:textId="77777777" w:rsidR="00FA14E8" w:rsidRPr="00D1582F" w:rsidRDefault="00FA14E8">
            <w:pPr>
              <w:pStyle w:val="08-Tabelageral"/>
              <w:rPr>
                <w:b/>
              </w:rPr>
            </w:pPr>
          </w:p>
        </w:tc>
        <w:tc>
          <w:tcPr>
            <w:tcW w:w="401" w:type="dxa"/>
            <w:tcBorders>
              <w:top w:val="single" w:sz="2" w:space="0" w:color="1F3864" w:themeColor="accent1" w:themeShade="80"/>
            </w:tcBorders>
            <w:shd w:val="clear" w:color="auto" w:fill="auto"/>
          </w:tcPr>
          <w:p w14:paraId="18D20672" w14:textId="77777777" w:rsidR="00FA14E8" w:rsidRPr="00D1582F" w:rsidRDefault="00FA14E8">
            <w:pPr>
              <w:pStyle w:val="08-Tabelageral"/>
              <w:rPr>
                <w:b/>
              </w:rPr>
            </w:pPr>
          </w:p>
        </w:tc>
        <w:tc>
          <w:tcPr>
            <w:tcW w:w="2008" w:type="dxa"/>
            <w:tcBorders>
              <w:top w:val="single" w:sz="2" w:space="0" w:color="1F3864" w:themeColor="accent1" w:themeShade="80"/>
            </w:tcBorders>
            <w:shd w:val="clear" w:color="auto" w:fill="auto"/>
            <w:vAlign w:val="center"/>
          </w:tcPr>
          <w:p w14:paraId="4C4DF4F1" w14:textId="77777777" w:rsidR="00FA14E8" w:rsidRPr="00D1582F" w:rsidRDefault="00FA14E8">
            <w:pPr>
              <w:pStyle w:val="08-Tabelageral"/>
              <w:rPr>
                <w:b/>
              </w:rPr>
            </w:pPr>
            <w:r>
              <w:rPr>
                <w:b/>
              </w:rPr>
              <w:t>1,287,117</w:t>
            </w:r>
          </w:p>
        </w:tc>
        <w:tc>
          <w:tcPr>
            <w:tcW w:w="2009" w:type="dxa"/>
            <w:tcBorders>
              <w:top w:val="single" w:sz="2" w:space="0" w:color="1F3864" w:themeColor="accent1" w:themeShade="80"/>
            </w:tcBorders>
            <w:shd w:val="clear" w:color="auto" w:fill="auto"/>
            <w:vAlign w:val="center"/>
          </w:tcPr>
          <w:p w14:paraId="65BA9DDC" w14:textId="77777777" w:rsidR="00FA14E8" w:rsidRPr="00D1582F" w:rsidRDefault="00FA14E8">
            <w:pPr>
              <w:pStyle w:val="08-Tabelageral"/>
              <w:rPr>
                <w:b/>
              </w:rPr>
            </w:pPr>
            <w:r>
              <w:rPr>
                <w:b/>
              </w:rPr>
              <w:t>1,128,077</w:t>
            </w:r>
          </w:p>
        </w:tc>
      </w:tr>
      <w:tr w:rsidR="00FA14E8" w:rsidRPr="0049410B" w14:paraId="2B381339" w14:textId="77777777">
        <w:trPr>
          <w:trHeight w:val="238"/>
          <w:jc w:val="center"/>
        </w:trPr>
        <w:tc>
          <w:tcPr>
            <w:tcW w:w="4384" w:type="dxa"/>
            <w:shd w:val="clear" w:color="auto" w:fill="auto"/>
            <w:vAlign w:val="center"/>
          </w:tcPr>
          <w:p w14:paraId="14C108C9" w14:textId="77777777" w:rsidR="00FA14E8" w:rsidRPr="00FE42D8" w:rsidRDefault="00FA14E8">
            <w:pPr>
              <w:pStyle w:val="08-Tabelageral"/>
              <w:ind w:left="113"/>
              <w:jc w:val="left"/>
              <w:rPr>
                <w:rFonts w:cs="Arial"/>
                <w:b/>
                <w:lang w:val="en-US"/>
              </w:rPr>
            </w:pPr>
            <w:proofErr w:type="spellStart"/>
            <w:r w:rsidRPr="00304C28">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4C7ABB3E" w14:textId="77777777" w:rsidR="00FA14E8" w:rsidRPr="0049410B" w:rsidRDefault="00FA14E8">
            <w:pPr>
              <w:pStyle w:val="08-Tabelageral"/>
            </w:pPr>
          </w:p>
        </w:tc>
        <w:tc>
          <w:tcPr>
            <w:tcW w:w="401" w:type="dxa"/>
            <w:shd w:val="clear" w:color="auto" w:fill="auto"/>
          </w:tcPr>
          <w:p w14:paraId="1B6E2A85" w14:textId="77777777" w:rsidR="00FA14E8" w:rsidRPr="0049410B" w:rsidRDefault="00FA14E8">
            <w:pPr>
              <w:pStyle w:val="08-Tabelageral"/>
            </w:pPr>
          </w:p>
        </w:tc>
        <w:tc>
          <w:tcPr>
            <w:tcW w:w="2008" w:type="dxa"/>
            <w:shd w:val="clear" w:color="auto" w:fill="auto"/>
            <w:vAlign w:val="center"/>
          </w:tcPr>
          <w:p w14:paraId="6C61E07E" w14:textId="77777777" w:rsidR="00FA14E8" w:rsidRPr="00FE0AFD" w:rsidRDefault="00FA14E8">
            <w:pPr>
              <w:pStyle w:val="08-Tabelageral"/>
            </w:pPr>
            <w:r>
              <w:t>1,192,619</w:t>
            </w:r>
          </w:p>
        </w:tc>
        <w:tc>
          <w:tcPr>
            <w:tcW w:w="2009" w:type="dxa"/>
            <w:shd w:val="clear" w:color="auto" w:fill="auto"/>
            <w:vAlign w:val="center"/>
          </w:tcPr>
          <w:p w14:paraId="01EE3A1D" w14:textId="77777777" w:rsidR="00FA14E8" w:rsidRPr="00FE0AFD" w:rsidRDefault="00FA14E8">
            <w:pPr>
              <w:pStyle w:val="08-Tabelageral"/>
            </w:pPr>
            <w:r>
              <w:t>1,037,900</w:t>
            </w:r>
          </w:p>
        </w:tc>
      </w:tr>
      <w:tr w:rsidR="00FA14E8" w:rsidRPr="0049410B" w14:paraId="2F759694" w14:textId="77777777">
        <w:trPr>
          <w:trHeight w:val="238"/>
          <w:jc w:val="center"/>
        </w:trPr>
        <w:tc>
          <w:tcPr>
            <w:tcW w:w="4384" w:type="dxa"/>
            <w:shd w:val="clear" w:color="auto" w:fill="auto"/>
            <w:vAlign w:val="center"/>
          </w:tcPr>
          <w:p w14:paraId="21463D64" w14:textId="77777777" w:rsidR="00FA14E8" w:rsidRPr="00FE42D8" w:rsidRDefault="00FA14E8">
            <w:pPr>
              <w:pStyle w:val="08-Tabelageral"/>
              <w:ind w:left="113"/>
              <w:jc w:val="left"/>
              <w:rPr>
                <w:rFonts w:cs="Arial"/>
                <w:b/>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1EADDAFB" w14:textId="77777777" w:rsidR="00FA14E8" w:rsidRPr="0049410B" w:rsidRDefault="00FA14E8">
            <w:pPr>
              <w:pStyle w:val="08-Tabelageral"/>
            </w:pPr>
          </w:p>
        </w:tc>
        <w:tc>
          <w:tcPr>
            <w:tcW w:w="401" w:type="dxa"/>
            <w:shd w:val="clear" w:color="auto" w:fill="auto"/>
          </w:tcPr>
          <w:p w14:paraId="0EB684C3" w14:textId="77777777" w:rsidR="00FA14E8" w:rsidRPr="0049410B" w:rsidRDefault="00FA14E8">
            <w:pPr>
              <w:pStyle w:val="08-Tabelageral"/>
            </w:pPr>
          </w:p>
        </w:tc>
        <w:tc>
          <w:tcPr>
            <w:tcW w:w="2008" w:type="dxa"/>
            <w:shd w:val="clear" w:color="auto" w:fill="auto"/>
          </w:tcPr>
          <w:p w14:paraId="0B0FDB73" w14:textId="77777777" w:rsidR="00FA14E8" w:rsidRPr="00FE0AFD" w:rsidRDefault="00FA14E8">
            <w:pPr>
              <w:pStyle w:val="08-Tabelageral"/>
            </w:pPr>
            <w:r>
              <w:t>83,084</w:t>
            </w:r>
          </w:p>
        </w:tc>
        <w:tc>
          <w:tcPr>
            <w:tcW w:w="2009" w:type="dxa"/>
            <w:shd w:val="clear" w:color="auto" w:fill="auto"/>
          </w:tcPr>
          <w:p w14:paraId="7A627D80" w14:textId="77777777" w:rsidR="00FA14E8" w:rsidRPr="00FE0AFD" w:rsidRDefault="00FA14E8">
            <w:pPr>
              <w:pStyle w:val="08-Tabelageral"/>
            </w:pPr>
            <w:r>
              <w:t>77,195</w:t>
            </w:r>
          </w:p>
        </w:tc>
      </w:tr>
      <w:tr w:rsidR="00FA14E8" w:rsidRPr="0049410B" w14:paraId="63DDD694" w14:textId="77777777">
        <w:trPr>
          <w:trHeight w:val="238"/>
          <w:jc w:val="center"/>
        </w:trPr>
        <w:tc>
          <w:tcPr>
            <w:tcW w:w="4384" w:type="dxa"/>
            <w:shd w:val="clear" w:color="auto" w:fill="auto"/>
            <w:vAlign w:val="center"/>
          </w:tcPr>
          <w:p w14:paraId="4D1E8800" w14:textId="77777777" w:rsidR="00FA14E8" w:rsidRPr="00FE42D8" w:rsidRDefault="00FA14E8">
            <w:pPr>
              <w:pStyle w:val="08-Tabelageral"/>
              <w:ind w:left="113"/>
              <w:jc w:val="left"/>
              <w:rPr>
                <w:rFonts w:cs="Arial"/>
                <w:b/>
                <w:lang w:val="en-US"/>
              </w:rPr>
            </w:pPr>
            <w:proofErr w:type="spellStart"/>
            <w:r w:rsidRPr="00FE42D8">
              <w:rPr>
                <w:rFonts w:cs="Arial"/>
                <w:lang w:val="en-US"/>
              </w:rPr>
              <w:t>Brasilprev</w:t>
            </w:r>
            <w:proofErr w:type="spellEnd"/>
          </w:p>
        </w:tc>
        <w:tc>
          <w:tcPr>
            <w:tcW w:w="856" w:type="dxa"/>
            <w:shd w:val="clear" w:color="auto" w:fill="auto"/>
          </w:tcPr>
          <w:p w14:paraId="275458D8" w14:textId="77777777" w:rsidR="00FA14E8" w:rsidRPr="0049410B" w:rsidRDefault="00FA14E8">
            <w:pPr>
              <w:pStyle w:val="08-Tabelageral"/>
            </w:pPr>
          </w:p>
        </w:tc>
        <w:tc>
          <w:tcPr>
            <w:tcW w:w="401" w:type="dxa"/>
            <w:shd w:val="clear" w:color="auto" w:fill="auto"/>
          </w:tcPr>
          <w:p w14:paraId="69E11F12" w14:textId="77777777" w:rsidR="00FA14E8" w:rsidRPr="0049410B" w:rsidRDefault="00FA14E8">
            <w:pPr>
              <w:pStyle w:val="08-Tabelageral"/>
            </w:pPr>
          </w:p>
        </w:tc>
        <w:tc>
          <w:tcPr>
            <w:tcW w:w="2008" w:type="dxa"/>
            <w:shd w:val="clear" w:color="auto" w:fill="auto"/>
          </w:tcPr>
          <w:p w14:paraId="7C71F61D" w14:textId="77777777" w:rsidR="00FA14E8" w:rsidRDefault="00FA14E8">
            <w:pPr>
              <w:pStyle w:val="08-Tabelageral"/>
            </w:pPr>
            <w:r>
              <w:t>9,111</w:t>
            </w:r>
          </w:p>
        </w:tc>
        <w:tc>
          <w:tcPr>
            <w:tcW w:w="2009" w:type="dxa"/>
            <w:shd w:val="clear" w:color="auto" w:fill="auto"/>
          </w:tcPr>
          <w:p w14:paraId="3AFBAB0D" w14:textId="77777777" w:rsidR="00FA14E8" w:rsidRDefault="00FA14E8">
            <w:pPr>
              <w:pStyle w:val="08-Tabelageral"/>
            </w:pPr>
            <w:r>
              <w:t>9,136</w:t>
            </w:r>
          </w:p>
        </w:tc>
      </w:tr>
      <w:tr w:rsidR="00FA14E8" w:rsidRPr="0049410B" w14:paraId="3F04BE02" w14:textId="77777777">
        <w:trPr>
          <w:trHeight w:val="238"/>
          <w:jc w:val="center"/>
        </w:trPr>
        <w:tc>
          <w:tcPr>
            <w:tcW w:w="4384" w:type="dxa"/>
            <w:shd w:val="clear" w:color="auto" w:fill="auto"/>
            <w:vAlign w:val="center"/>
          </w:tcPr>
          <w:p w14:paraId="507DE932" w14:textId="77777777" w:rsidR="00FA14E8" w:rsidRPr="00D4589F" w:rsidRDefault="00FA14E8">
            <w:pPr>
              <w:pStyle w:val="08-Tabelageral"/>
              <w:ind w:left="113"/>
              <w:jc w:val="left"/>
              <w:rPr>
                <w:rFonts w:cs="Arial"/>
                <w:b/>
                <w:lang w:val="en-US"/>
              </w:rPr>
            </w:pPr>
            <w:proofErr w:type="spellStart"/>
            <w:r w:rsidRPr="00D4589F">
              <w:rPr>
                <w:rFonts w:cs="Arial"/>
                <w:lang w:val="en-US"/>
              </w:rPr>
              <w:t>Brasilcap</w:t>
            </w:r>
            <w:proofErr w:type="spellEnd"/>
          </w:p>
        </w:tc>
        <w:tc>
          <w:tcPr>
            <w:tcW w:w="856" w:type="dxa"/>
            <w:shd w:val="clear" w:color="auto" w:fill="auto"/>
          </w:tcPr>
          <w:p w14:paraId="0967FF8E" w14:textId="77777777" w:rsidR="00FA14E8" w:rsidRPr="0049410B" w:rsidRDefault="00FA14E8">
            <w:pPr>
              <w:pStyle w:val="08-Tabelageral"/>
            </w:pPr>
          </w:p>
        </w:tc>
        <w:tc>
          <w:tcPr>
            <w:tcW w:w="401" w:type="dxa"/>
            <w:shd w:val="clear" w:color="auto" w:fill="auto"/>
          </w:tcPr>
          <w:p w14:paraId="75C39CA3" w14:textId="77777777" w:rsidR="00FA14E8" w:rsidRPr="0049410B" w:rsidRDefault="00FA14E8">
            <w:pPr>
              <w:pStyle w:val="08-Tabelageral"/>
            </w:pPr>
          </w:p>
        </w:tc>
        <w:tc>
          <w:tcPr>
            <w:tcW w:w="2008" w:type="dxa"/>
            <w:shd w:val="clear" w:color="auto" w:fill="auto"/>
          </w:tcPr>
          <w:p w14:paraId="6C5CFFF0" w14:textId="77777777" w:rsidR="00FA14E8" w:rsidRDefault="00FA14E8">
            <w:pPr>
              <w:pStyle w:val="08-Tabelageral"/>
            </w:pPr>
            <w:r>
              <w:t>2,260</w:t>
            </w:r>
          </w:p>
        </w:tc>
        <w:tc>
          <w:tcPr>
            <w:tcW w:w="2009" w:type="dxa"/>
            <w:shd w:val="clear" w:color="auto" w:fill="auto"/>
          </w:tcPr>
          <w:p w14:paraId="46D39B97" w14:textId="77777777" w:rsidR="00FA14E8" w:rsidRDefault="00FA14E8">
            <w:pPr>
              <w:pStyle w:val="08-Tabelageral"/>
            </w:pPr>
            <w:r>
              <w:t>3,757</w:t>
            </w:r>
          </w:p>
        </w:tc>
      </w:tr>
      <w:tr w:rsidR="00FA14E8" w:rsidRPr="0049410B" w14:paraId="58004288" w14:textId="77777777">
        <w:trPr>
          <w:trHeight w:val="238"/>
          <w:jc w:val="center"/>
        </w:trPr>
        <w:tc>
          <w:tcPr>
            <w:tcW w:w="4384" w:type="dxa"/>
            <w:shd w:val="clear" w:color="auto" w:fill="auto"/>
            <w:vAlign w:val="center"/>
          </w:tcPr>
          <w:p w14:paraId="33FA1783" w14:textId="77777777" w:rsidR="00FA14E8" w:rsidRPr="00F97BF2" w:rsidRDefault="00FA14E8">
            <w:pPr>
              <w:pStyle w:val="08-Tabelageral"/>
              <w:ind w:left="113"/>
              <w:jc w:val="left"/>
              <w:rPr>
                <w:rFonts w:cs="Arial"/>
                <w:b/>
                <w:bCs/>
                <w:lang w:val="en-US"/>
              </w:rPr>
            </w:pPr>
            <w:r>
              <w:rPr>
                <w:rFonts w:cs="Arial"/>
                <w:lang w:val="en-US"/>
              </w:rPr>
              <w:t>Others</w:t>
            </w:r>
          </w:p>
        </w:tc>
        <w:tc>
          <w:tcPr>
            <w:tcW w:w="856" w:type="dxa"/>
            <w:shd w:val="clear" w:color="auto" w:fill="auto"/>
          </w:tcPr>
          <w:p w14:paraId="1C64CCB1" w14:textId="77777777" w:rsidR="00FA14E8" w:rsidRPr="0049410B" w:rsidRDefault="00FA14E8">
            <w:pPr>
              <w:pStyle w:val="08-Tabelageral"/>
            </w:pPr>
          </w:p>
        </w:tc>
        <w:tc>
          <w:tcPr>
            <w:tcW w:w="401" w:type="dxa"/>
            <w:shd w:val="clear" w:color="auto" w:fill="auto"/>
          </w:tcPr>
          <w:p w14:paraId="620D5C72" w14:textId="77777777" w:rsidR="00FA14E8" w:rsidRPr="0049410B" w:rsidRDefault="00FA14E8">
            <w:pPr>
              <w:pStyle w:val="08-Tabelageral"/>
            </w:pPr>
          </w:p>
        </w:tc>
        <w:tc>
          <w:tcPr>
            <w:tcW w:w="2008" w:type="dxa"/>
            <w:shd w:val="clear" w:color="auto" w:fill="auto"/>
          </w:tcPr>
          <w:p w14:paraId="35A05975" w14:textId="77777777" w:rsidR="00FA14E8" w:rsidRPr="00D4589F" w:rsidRDefault="00FA14E8">
            <w:pPr>
              <w:pStyle w:val="08-Tabelageral"/>
              <w:rPr>
                <w:b/>
              </w:rPr>
            </w:pPr>
            <w:r>
              <w:t>43</w:t>
            </w:r>
          </w:p>
        </w:tc>
        <w:tc>
          <w:tcPr>
            <w:tcW w:w="2009" w:type="dxa"/>
            <w:shd w:val="clear" w:color="auto" w:fill="auto"/>
          </w:tcPr>
          <w:p w14:paraId="6394A163" w14:textId="77777777" w:rsidR="00FA14E8" w:rsidRPr="00D4589F" w:rsidRDefault="00FA14E8">
            <w:pPr>
              <w:pStyle w:val="08-Tabelageral"/>
              <w:rPr>
                <w:b/>
              </w:rPr>
            </w:pPr>
            <w:r>
              <w:t>89</w:t>
            </w:r>
          </w:p>
        </w:tc>
      </w:tr>
      <w:tr w:rsidR="00FA14E8" w:rsidRPr="00D1582F" w14:paraId="215348F0" w14:textId="77777777">
        <w:trPr>
          <w:trHeight w:val="238"/>
          <w:jc w:val="center"/>
        </w:trPr>
        <w:tc>
          <w:tcPr>
            <w:tcW w:w="4384" w:type="dxa"/>
            <w:shd w:val="clear" w:color="auto" w:fill="auto"/>
            <w:vAlign w:val="center"/>
          </w:tcPr>
          <w:p w14:paraId="1D054701" w14:textId="77777777" w:rsidR="00FA14E8" w:rsidRPr="00D1582F" w:rsidRDefault="00FA14E8">
            <w:pPr>
              <w:pStyle w:val="08-Tabelageral"/>
              <w:jc w:val="left"/>
              <w:rPr>
                <w:rFonts w:cs="Arial"/>
                <w:b/>
                <w:vertAlign w:val="superscript"/>
                <w:lang w:val="en-US"/>
              </w:rPr>
            </w:pPr>
            <w:r w:rsidRPr="00D1582F">
              <w:rPr>
                <w:rFonts w:cs="Arial"/>
                <w:b/>
                <w:lang w:val="en-US"/>
              </w:rPr>
              <w:t>Non-Current Assets</w:t>
            </w:r>
          </w:p>
        </w:tc>
        <w:tc>
          <w:tcPr>
            <w:tcW w:w="856" w:type="dxa"/>
            <w:shd w:val="clear" w:color="auto" w:fill="auto"/>
          </w:tcPr>
          <w:p w14:paraId="6E81C4E8" w14:textId="77777777" w:rsidR="00FA14E8" w:rsidRPr="00D1582F" w:rsidRDefault="00FA14E8">
            <w:pPr>
              <w:pStyle w:val="08-Tabelageral"/>
              <w:rPr>
                <w:b/>
              </w:rPr>
            </w:pPr>
          </w:p>
        </w:tc>
        <w:tc>
          <w:tcPr>
            <w:tcW w:w="401" w:type="dxa"/>
            <w:shd w:val="clear" w:color="auto" w:fill="auto"/>
          </w:tcPr>
          <w:p w14:paraId="036BE66E" w14:textId="77777777" w:rsidR="00FA14E8" w:rsidRPr="00D1582F" w:rsidRDefault="00FA14E8">
            <w:pPr>
              <w:pStyle w:val="08-Tabelageral"/>
              <w:rPr>
                <w:b/>
              </w:rPr>
            </w:pPr>
          </w:p>
        </w:tc>
        <w:tc>
          <w:tcPr>
            <w:tcW w:w="2008" w:type="dxa"/>
            <w:shd w:val="clear" w:color="auto" w:fill="auto"/>
            <w:vAlign w:val="center"/>
          </w:tcPr>
          <w:p w14:paraId="5D73BE09" w14:textId="77777777" w:rsidR="00FA14E8" w:rsidRPr="00D1582F" w:rsidRDefault="00FA14E8">
            <w:pPr>
              <w:pStyle w:val="08-Tabelageral"/>
              <w:rPr>
                <w:b/>
              </w:rPr>
            </w:pPr>
            <w:r>
              <w:rPr>
                <w:b/>
              </w:rPr>
              <w:t>1,387,299</w:t>
            </w:r>
          </w:p>
        </w:tc>
        <w:tc>
          <w:tcPr>
            <w:tcW w:w="2009" w:type="dxa"/>
            <w:shd w:val="clear" w:color="auto" w:fill="auto"/>
            <w:vAlign w:val="center"/>
          </w:tcPr>
          <w:p w14:paraId="3C4E4253" w14:textId="77777777" w:rsidR="00FA14E8" w:rsidRPr="00D1582F" w:rsidRDefault="00FA14E8">
            <w:pPr>
              <w:pStyle w:val="08-Tabelageral"/>
              <w:rPr>
                <w:b/>
              </w:rPr>
            </w:pPr>
            <w:r>
              <w:rPr>
                <w:b/>
              </w:rPr>
              <w:t>1,046,897</w:t>
            </w:r>
          </w:p>
        </w:tc>
      </w:tr>
      <w:tr w:rsidR="00FA14E8" w:rsidRPr="00880B68" w14:paraId="0A82963F" w14:textId="77777777">
        <w:trPr>
          <w:trHeight w:val="238"/>
          <w:jc w:val="center"/>
        </w:trPr>
        <w:tc>
          <w:tcPr>
            <w:tcW w:w="4384" w:type="dxa"/>
            <w:shd w:val="clear" w:color="auto" w:fill="auto"/>
            <w:vAlign w:val="center"/>
          </w:tcPr>
          <w:p w14:paraId="1321F06A" w14:textId="77777777" w:rsidR="00FA14E8" w:rsidRPr="003E53C4" w:rsidRDefault="00FA14E8">
            <w:pPr>
              <w:pStyle w:val="08-Tabelageral"/>
              <w:ind w:left="113"/>
              <w:jc w:val="left"/>
              <w:rPr>
                <w:rFonts w:cs="Arial"/>
                <w:b/>
                <w:lang w:val="en-US"/>
              </w:rPr>
            </w:pPr>
            <w:proofErr w:type="spellStart"/>
            <w:r>
              <w:rPr>
                <w:rFonts w:cs="Arial"/>
                <w:lang w:val="en-US"/>
              </w:rPr>
              <w:t>Brasilseg</w:t>
            </w:r>
            <w:proofErr w:type="spellEnd"/>
          </w:p>
        </w:tc>
        <w:tc>
          <w:tcPr>
            <w:tcW w:w="856" w:type="dxa"/>
            <w:shd w:val="clear" w:color="auto" w:fill="auto"/>
          </w:tcPr>
          <w:p w14:paraId="1810C217" w14:textId="77777777" w:rsidR="00FA14E8" w:rsidRPr="00880B68" w:rsidRDefault="00FA14E8">
            <w:pPr>
              <w:pStyle w:val="08-Tabelageral"/>
              <w:rPr>
                <w:b/>
                <w:szCs w:val="14"/>
              </w:rPr>
            </w:pPr>
          </w:p>
        </w:tc>
        <w:tc>
          <w:tcPr>
            <w:tcW w:w="401" w:type="dxa"/>
            <w:shd w:val="clear" w:color="auto" w:fill="auto"/>
          </w:tcPr>
          <w:p w14:paraId="55F2ACF1" w14:textId="77777777" w:rsidR="00FA14E8" w:rsidRPr="00880B68" w:rsidRDefault="00FA14E8">
            <w:pPr>
              <w:pStyle w:val="08-Tabelageral"/>
              <w:rPr>
                <w:b/>
                <w:szCs w:val="14"/>
              </w:rPr>
            </w:pPr>
          </w:p>
        </w:tc>
        <w:tc>
          <w:tcPr>
            <w:tcW w:w="2008" w:type="dxa"/>
            <w:shd w:val="clear" w:color="auto" w:fill="auto"/>
            <w:vAlign w:val="center"/>
          </w:tcPr>
          <w:p w14:paraId="59E1896B" w14:textId="77777777" w:rsidR="00FA14E8" w:rsidRPr="00AE7AC4" w:rsidRDefault="00FA14E8">
            <w:pPr>
              <w:pStyle w:val="08-Tabelageral"/>
              <w:rPr>
                <w:b/>
              </w:rPr>
            </w:pPr>
            <w:r>
              <w:t>1,387,299</w:t>
            </w:r>
          </w:p>
        </w:tc>
        <w:tc>
          <w:tcPr>
            <w:tcW w:w="2009" w:type="dxa"/>
            <w:shd w:val="clear" w:color="auto" w:fill="auto"/>
            <w:vAlign w:val="center"/>
          </w:tcPr>
          <w:p w14:paraId="3C61AEFB" w14:textId="77777777" w:rsidR="00FA14E8" w:rsidRPr="00AE7AC4" w:rsidRDefault="00FA14E8">
            <w:pPr>
              <w:pStyle w:val="08-Tabelageral"/>
              <w:rPr>
                <w:b/>
              </w:rPr>
            </w:pPr>
            <w:r>
              <w:t>1,046,897</w:t>
            </w:r>
          </w:p>
        </w:tc>
      </w:tr>
      <w:tr w:rsidR="00FA14E8" w:rsidRPr="00D1582F" w14:paraId="62A49EE0" w14:textId="77777777">
        <w:trPr>
          <w:trHeight w:val="238"/>
          <w:jc w:val="center"/>
        </w:trPr>
        <w:tc>
          <w:tcPr>
            <w:tcW w:w="4384" w:type="dxa"/>
            <w:tcBorders>
              <w:bottom w:val="single" w:sz="2" w:space="0" w:color="1F3864" w:themeColor="accent1" w:themeShade="80"/>
            </w:tcBorders>
            <w:shd w:val="clear" w:color="auto" w:fill="auto"/>
            <w:vAlign w:val="center"/>
          </w:tcPr>
          <w:p w14:paraId="4ECAB82A" w14:textId="77777777" w:rsidR="00FA14E8" w:rsidRPr="00D1582F" w:rsidRDefault="00FA14E8">
            <w:pPr>
              <w:pStyle w:val="08-Tabelageral"/>
              <w:jc w:val="left"/>
              <w:rPr>
                <w:rFonts w:cs="Arial"/>
                <w:b/>
                <w:lang w:val="en-US"/>
              </w:rPr>
            </w:pPr>
            <w:r w:rsidRPr="00D1582F">
              <w:rPr>
                <w:rFonts w:cs="Arial"/>
                <w:b/>
                <w:lang w:val="en-US"/>
              </w:rPr>
              <w:t>Total</w:t>
            </w:r>
          </w:p>
        </w:tc>
        <w:tc>
          <w:tcPr>
            <w:tcW w:w="856" w:type="dxa"/>
            <w:tcBorders>
              <w:bottom w:val="single" w:sz="2" w:space="0" w:color="1F3864" w:themeColor="accent1" w:themeShade="80"/>
            </w:tcBorders>
            <w:shd w:val="clear" w:color="auto" w:fill="auto"/>
          </w:tcPr>
          <w:p w14:paraId="520815D3" w14:textId="77777777" w:rsidR="00FA14E8" w:rsidRPr="00D1582F" w:rsidRDefault="00FA14E8">
            <w:pPr>
              <w:pStyle w:val="08-Tabelageral"/>
              <w:rPr>
                <w:b/>
                <w:szCs w:val="14"/>
              </w:rPr>
            </w:pPr>
          </w:p>
        </w:tc>
        <w:tc>
          <w:tcPr>
            <w:tcW w:w="401" w:type="dxa"/>
            <w:tcBorders>
              <w:bottom w:val="single" w:sz="2" w:space="0" w:color="1F3864" w:themeColor="accent1" w:themeShade="80"/>
            </w:tcBorders>
            <w:shd w:val="clear" w:color="auto" w:fill="auto"/>
          </w:tcPr>
          <w:p w14:paraId="1B3A0F14" w14:textId="77777777" w:rsidR="00FA14E8" w:rsidRPr="00D1582F" w:rsidRDefault="00FA14E8">
            <w:pPr>
              <w:pStyle w:val="08-Tabelageral"/>
              <w:rPr>
                <w:b/>
                <w:szCs w:val="14"/>
              </w:rPr>
            </w:pPr>
          </w:p>
        </w:tc>
        <w:tc>
          <w:tcPr>
            <w:tcW w:w="2008" w:type="dxa"/>
            <w:tcBorders>
              <w:bottom w:val="single" w:sz="2" w:space="0" w:color="1F3864" w:themeColor="accent1" w:themeShade="80"/>
            </w:tcBorders>
            <w:shd w:val="clear" w:color="auto" w:fill="auto"/>
            <w:vAlign w:val="center"/>
          </w:tcPr>
          <w:p w14:paraId="1D613A6D" w14:textId="77777777" w:rsidR="00FA14E8" w:rsidRPr="00D1582F" w:rsidRDefault="00FA14E8">
            <w:pPr>
              <w:pStyle w:val="08-Tabelageral"/>
              <w:rPr>
                <w:b/>
              </w:rPr>
            </w:pPr>
            <w:r>
              <w:rPr>
                <w:b/>
              </w:rPr>
              <w:t>2,674,416</w:t>
            </w:r>
          </w:p>
        </w:tc>
        <w:tc>
          <w:tcPr>
            <w:tcW w:w="2009" w:type="dxa"/>
            <w:tcBorders>
              <w:bottom w:val="single" w:sz="2" w:space="0" w:color="1F3864" w:themeColor="accent1" w:themeShade="80"/>
            </w:tcBorders>
            <w:shd w:val="clear" w:color="auto" w:fill="auto"/>
            <w:vAlign w:val="center"/>
          </w:tcPr>
          <w:p w14:paraId="360B1801" w14:textId="77777777" w:rsidR="00FA14E8" w:rsidRPr="00D1582F" w:rsidRDefault="00FA14E8">
            <w:pPr>
              <w:pStyle w:val="08-Tabelageral"/>
              <w:rPr>
                <w:b/>
              </w:rPr>
            </w:pPr>
            <w:r>
              <w:rPr>
                <w:b/>
              </w:rPr>
              <w:t>2,174,974</w:t>
            </w:r>
          </w:p>
        </w:tc>
      </w:tr>
    </w:tbl>
    <w:p w14:paraId="606FE046" w14:textId="77777777" w:rsidR="00FA14E8" w:rsidRPr="00D41A1A" w:rsidRDefault="00FA14E8" w:rsidP="00FA14E8">
      <w:pPr>
        <w:pStyle w:val="07-Legenda"/>
        <w:tabs>
          <w:tab w:val="clear" w:pos="284"/>
        </w:tabs>
        <w:rPr>
          <w:lang w:val="en-US"/>
        </w:rPr>
      </w:pPr>
    </w:p>
    <w:p w14:paraId="3EFBC2A8" w14:textId="77777777" w:rsidR="00FA14E8" w:rsidRDefault="00FA14E8" w:rsidP="00FA14E8">
      <w:pPr>
        <w:pStyle w:val="07-Legenda"/>
        <w:spacing w:before="120" w:after="120" w:line="276" w:lineRule="auto"/>
        <w:ind w:left="0" w:firstLine="0"/>
        <w:rPr>
          <w:sz w:val="18"/>
          <w:lang w:val="en-US"/>
        </w:rPr>
      </w:pPr>
      <w:r w:rsidRPr="00FD6B41">
        <w:rPr>
          <w:sz w:val="18"/>
          <w:lang w:val="en-US"/>
        </w:rPr>
        <w:t xml:space="preserve">There </w:t>
      </w:r>
      <w:proofErr w:type="gramStart"/>
      <w:r w:rsidRPr="00FD6B41">
        <w:rPr>
          <w:sz w:val="18"/>
          <w:lang w:val="en-US"/>
        </w:rPr>
        <w:t>are</w:t>
      </w:r>
      <w:proofErr w:type="gramEnd"/>
      <w:r w:rsidRPr="00FD6B41">
        <w:rPr>
          <w:sz w:val="18"/>
          <w:lang w:val="en-US"/>
        </w:rPr>
        <w:t xml:space="preserve"> no amount of </w:t>
      </w:r>
      <w:proofErr w:type="spellStart"/>
      <w:r w:rsidRPr="00FD6B41">
        <w:rPr>
          <w:sz w:val="18"/>
          <w:lang w:val="en-US"/>
        </w:rPr>
        <w:t>comissions</w:t>
      </w:r>
      <w:proofErr w:type="spellEnd"/>
      <w:r w:rsidRPr="00FD6B41">
        <w:rPr>
          <w:sz w:val="18"/>
          <w:lang w:val="en-US"/>
        </w:rPr>
        <w:t xml:space="preserve"> receivable in parent.</w:t>
      </w:r>
    </w:p>
    <w:p w14:paraId="53B8C9E4" w14:textId="6D180D75" w:rsidR="00754D48" w:rsidRPr="005C7815" w:rsidRDefault="00FA14E8" w:rsidP="005C7815">
      <w:pPr>
        <w:pStyle w:val="07-Legenda"/>
        <w:spacing w:before="120" w:after="120" w:line="276" w:lineRule="auto"/>
        <w:ind w:left="0" w:firstLine="0"/>
        <w:rPr>
          <w:sz w:val="18"/>
          <w:lang w:val="en-US"/>
        </w:rPr>
      </w:pPr>
      <w:proofErr w:type="spellStart"/>
      <w:r>
        <w:rPr>
          <w:sz w:val="18"/>
          <w:lang w:val="en-US"/>
        </w:rPr>
        <w:t>Comissions</w:t>
      </w:r>
      <w:proofErr w:type="spellEnd"/>
      <w:r>
        <w:rPr>
          <w:sz w:val="18"/>
          <w:lang w:val="en-US"/>
        </w:rPr>
        <w:t xml:space="preserve">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w:t>
      </w:r>
      <w:r>
        <w:rPr>
          <w:sz w:val="18"/>
          <w:lang w:val="en-US"/>
        </w:rPr>
        <w:t>3</w:t>
      </w:r>
      <w:r w:rsidRPr="00E76C32">
        <w:rPr>
          <w:sz w:val="18"/>
          <w:lang w:val="en-US"/>
        </w:rPr>
        <w:t>.</w:t>
      </w:r>
    </w:p>
    <w:p w14:paraId="503876A2" w14:textId="4E1EFE38" w:rsidR="00BC14AB" w:rsidRPr="00432934"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92" w:name="_Toc149573404"/>
      <w:bookmarkStart w:id="93" w:name="_Toc157446732"/>
      <w:bookmarkStart w:id="94" w:name="_Toc190680640"/>
      <w:r w:rsidRPr="00432934">
        <w:rPr>
          <w:rFonts w:ascii="Arial" w:hAnsi="Arial" w:cs="Arial"/>
          <w:b/>
          <w:color w:val="1F3864" w:themeColor="accent1" w:themeShade="80"/>
          <w:sz w:val="20"/>
          <w:lang w:val="en-US"/>
        </w:rPr>
        <w:t>19 – INTANGIBLE ASSET</w:t>
      </w:r>
      <w:bookmarkStart w:id="95" w:name="_Toc149573405"/>
      <w:bookmarkEnd w:id="92"/>
      <w:bookmarkEnd w:id="93"/>
      <w:bookmarkEnd w:id="94"/>
    </w:p>
    <w:p w14:paraId="08074BC6" w14:textId="77777777" w:rsidR="0094319B" w:rsidRPr="00D85D2A" w:rsidRDefault="0094319B" w:rsidP="0094319B">
      <w:pPr>
        <w:pStyle w:val="05-Textonormal"/>
        <w:numPr>
          <w:ilvl w:val="0"/>
          <w:numId w:val="39"/>
        </w:numPr>
        <w:ind w:left="284" w:hanging="284"/>
        <w:rPr>
          <w:b/>
          <w:color w:val="1F3864" w:themeColor="accent1" w:themeShade="80"/>
          <w:lang w:val="en-US"/>
        </w:rPr>
      </w:pPr>
      <w:r w:rsidRPr="005D00CA">
        <w:rPr>
          <w:b/>
          <w:color w:val="1F3864" w:themeColor="accent1" w:themeShade="80"/>
          <w:lang w:val="en-US"/>
        </w:rPr>
        <w:t>ERP - Enterprise Resource Planning</w:t>
      </w:r>
    </w:p>
    <w:p w14:paraId="1AF2B2CA" w14:textId="77777777" w:rsidR="0094319B" w:rsidRDefault="0094319B" w:rsidP="0094319B">
      <w:pPr>
        <w:pStyle w:val="07-Legenda"/>
        <w:ind w:left="708" w:firstLine="0"/>
        <w:jc w:val="right"/>
        <w:rPr>
          <w:b/>
          <w:szCs w:val="14"/>
        </w:rPr>
      </w:pPr>
      <w:r w:rsidRPr="00FB72C1">
        <w:rPr>
          <w:b/>
          <w:szCs w:val="14"/>
        </w:rPr>
        <w:t xml:space="preserve">R$ </w:t>
      </w:r>
      <w:proofErr w:type="spellStart"/>
      <w:r w:rsidRPr="00FB72C1">
        <w:rPr>
          <w:b/>
          <w:szCs w:val="14"/>
        </w:rPr>
        <w:t>thousand</w:t>
      </w:r>
      <w:proofErr w:type="spellEnd"/>
    </w:p>
    <w:tbl>
      <w:tblPr>
        <w:tblW w:w="9731"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119"/>
        <w:gridCol w:w="236"/>
        <w:gridCol w:w="151"/>
        <w:gridCol w:w="66"/>
        <w:gridCol w:w="19"/>
        <w:gridCol w:w="964"/>
        <w:gridCol w:w="1294"/>
        <w:gridCol w:w="53"/>
        <w:gridCol w:w="183"/>
        <w:gridCol w:w="119"/>
        <w:gridCol w:w="1105"/>
        <w:gridCol w:w="170"/>
        <w:gridCol w:w="960"/>
        <w:gridCol w:w="111"/>
        <w:gridCol w:w="898"/>
      </w:tblGrid>
      <w:tr w:rsidR="0094319B" w:rsidRPr="00F71EE3" w14:paraId="5978CADC" w14:textId="77777777" w:rsidTr="00B94410">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6BC1AA46" w14:textId="77777777" w:rsidR="0094319B" w:rsidRPr="00F71EE3" w:rsidRDefault="0094319B" w:rsidP="00B94410">
            <w:pPr>
              <w:rPr>
                <w:rFonts w:ascii="Arial" w:hAnsi="Arial" w:cs="Arial"/>
                <w:sz w:val="14"/>
                <w:szCs w:val="14"/>
              </w:rPr>
            </w:pPr>
          </w:p>
        </w:tc>
        <w:tc>
          <w:tcPr>
            <w:tcW w:w="7693"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7FAE36C9" w14:textId="77777777" w:rsidR="0094319B" w:rsidRPr="00EF7262" w:rsidRDefault="0094319B" w:rsidP="00B94410">
            <w:pPr>
              <w:pStyle w:val="08-Tabelageral"/>
              <w:jc w:val="center"/>
              <w:rPr>
                <w:b/>
              </w:rPr>
            </w:pPr>
            <w:proofErr w:type="spellStart"/>
            <w:r w:rsidRPr="003F72C9">
              <w:rPr>
                <w:b/>
              </w:rPr>
              <w:t>Parent</w:t>
            </w:r>
            <w:proofErr w:type="spellEnd"/>
            <w:r w:rsidRPr="003F72C9">
              <w:rPr>
                <w:b/>
              </w:rPr>
              <w:t xml:space="preserve"> </w:t>
            </w:r>
            <w:proofErr w:type="spellStart"/>
            <w:r w:rsidRPr="003F72C9">
              <w:rPr>
                <w:b/>
              </w:rPr>
              <w:t>and</w:t>
            </w:r>
            <w:proofErr w:type="spellEnd"/>
            <w:r w:rsidRPr="003F72C9">
              <w:rPr>
                <w:b/>
              </w:rPr>
              <w:t xml:space="preserve"> </w:t>
            </w:r>
            <w:proofErr w:type="spellStart"/>
            <w:r w:rsidRPr="003F72C9">
              <w:rPr>
                <w:b/>
              </w:rPr>
              <w:t>Consolidated</w:t>
            </w:r>
            <w:proofErr w:type="spellEnd"/>
          </w:p>
        </w:tc>
      </w:tr>
      <w:tr w:rsidR="0094319B" w:rsidRPr="00F71EE3" w14:paraId="623FD5D4" w14:textId="77777777" w:rsidTr="00B94410">
        <w:trPr>
          <w:trHeight w:val="238"/>
          <w:jc w:val="center"/>
        </w:trPr>
        <w:tc>
          <w:tcPr>
            <w:tcW w:w="2038" w:type="dxa"/>
            <w:vMerge/>
            <w:tcBorders>
              <w:top w:val="nil"/>
              <w:bottom w:val="single" w:sz="2" w:space="0" w:color="9CC2E5" w:themeColor="accent5" w:themeTint="99"/>
            </w:tcBorders>
            <w:shd w:val="clear" w:color="auto" w:fill="FFFFFF" w:themeFill="background1"/>
          </w:tcPr>
          <w:p w14:paraId="0A0B2DEC" w14:textId="77777777" w:rsidR="0094319B" w:rsidRPr="00F71EE3" w:rsidRDefault="0094319B" w:rsidP="00B94410">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69ED5B99" w14:textId="77777777" w:rsidR="0094319B" w:rsidRPr="00F71EE3" w:rsidRDefault="0094319B" w:rsidP="00B94410">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1DFE482" w14:textId="77777777" w:rsidR="0094319B" w:rsidRPr="00DE3735" w:rsidRDefault="0094319B" w:rsidP="00B94410">
            <w:pPr>
              <w:pStyle w:val="08-Tabelageral"/>
              <w:jc w:val="center"/>
              <w:rPr>
                <w:b/>
              </w:rPr>
            </w:pPr>
            <w:proofErr w:type="spellStart"/>
            <w:r w:rsidRPr="00FB2A5C">
              <w:rPr>
                <w:b/>
              </w:rPr>
              <w:t>Dec</w:t>
            </w:r>
            <w:proofErr w:type="spellEnd"/>
            <w:r w:rsidRPr="00FB2A5C">
              <w:rPr>
                <w:b/>
              </w:rPr>
              <w:t xml:space="preserve"> 31, 202</w:t>
            </w:r>
            <w:r>
              <w:rPr>
                <w:b/>
              </w:rPr>
              <w:t>3</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54E2699" w14:textId="77777777" w:rsidR="0094319B" w:rsidRPr="00DE3735" w:rsidRDefault="0094319B" w:rsidP="00B94410">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722B671D" w14:textId="77777777" w:rsidR="0094319B" w:rsidRPr="00DE3735" w:rsidRDefault="0094319B" w:rsidP="00B94410">
            <w:pPr>
              <w:pStyle w:val="08-Tabelageral"/>
              <w:jc w:val="center"/>
              <w:rPr>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061FB1D5" w14:textId="77777777" w:rsidR="0094319B" w:rsidRPr="00DE3735" w:rsidRDefault="0094319B" w:rsidP="00B94410">
            <w:pPr>
              <w:pStyle w:val="08-Tabelageral"/>
              <w:jc w:val="center"/>
              <w:rPr>
                <w:b/>
              </w:rPr>
            </w:pPr>
            <w:r w:rsidRPr="00515B23">
              <w:rPr>
                <w:rFonts w:cs="Arial"/>
                <w:b/>
                <w:bCs/>
                <w:szCs w:val="14"/>
              </w:rPr>
              <w:t>202</w:t>
            </w:r>
            <w:r>
              <w:rPr>
                <w:rFonts w:cs="Arial"/>
                <w:b/>
                <w:bCs/>
                <w:szCs w:val="14"/>
              </w:rPr>
              <w:t>4</w:t>
            </w:r>
          </w:p>
        </w:tc>
        <w:tc>
          <w:tcPr>
            <w:tcW w:w="302" w:type="dxa"/>
            <w:gridSpan w:val="2"/>
            <w:tcBorders>
              <w:top w:val="single" w:sz="2" w:space="0" w:color="1F3864" w:themeColor="accent1" w:themeShade="80"/>
              <w:bottom w:val="nil"/>
            </w:tcBorders>
            <w:shd w:val="clear" w:color="auto" w:fill="FFFFFF" w:themeFill="background1"/>
            <w:vAlign w:val="center"/>
          </w:tcPr>
          <w:p w14:paraId="08F5FA3F" w14:textId="77777777" w:rsidR="0094319B" w:rsidRPr="00DE3735" w:rsidRDefault="0094319B" w:rsidP="00B94410">
            <w:pPr>
              <w:pStyle w:val="08-Tabelageral"/>
              <w:jc w:val="center"/>
              <w:rPr>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5F8DE966" w14:textId="77777777" w:rsidR="0094319B" w:rsidRPr="00DE3735" w:rsidRDefault="0094319B" w:rsidP="00B94410">
            <w:pPr>
              <w:pStyle w:val="08-Tabelageral"/>
              <w:jc w:val="center"/>
              <w:rPr>
                <w:b/>
              </w:rPr>
            </w:pPr>
            <w:proofErr w:type="spellStart"/>
            <w:r w:rsidRPr="00A3685F">
              <w:rPr>
                <w:b/>
              </w:rPr>
              <w:t>Dec</w:t>
            </w:r>
            <w:proofErr w:type="spellEnd"/>
            <w:r w:rsidRPr="00A3685F">
              <w:rPr>
                <w:b/>
              </w:rPr>
              <w:t xml:space="preserve"> 31, 202</w:t>
            </w:r>
            <w:r>
              <w:rPr>
                <w:b/>
              </w:rPr>
              <w:t>4</w:t>
            </w:r>
          </w:p>
        </w:tc>
      </w:tr>
      <w:tr w:rsidR="0094319B" w:rsidRPr="00F71EE3" w14:paraId="21579B7D" w14:textId="77777777" w:rsidTr="00B94410">
        <w:trPr>
          <w:trHeight w:val="238"/>
          <w:jc w:val="center"/>
        </w:trPr>
        <w:tc>
          <w:tcPr>
            <w:tcW w:w="2038" w:type="dxa"/>
            <w:vMerge/>
            <w:tcBorders>
              <w:top w:val="nil"/>
              <w:bottom w:val="single" w:sz="2" w:space="0" w:color="1F3864" w:themeColor="accent1" w:themeShade="80"/>
            </w:tcBorders>
            <w:shd w:val="clear" w:color="auto" w:fill="FFFFFF" w:themeFill="background1"/>
          </w:tcPr>
          <w:p w14:paraId="45FB15CF" w14:textId="77777777" w:rsidR="0094319B" w:rsidRPr="00F71EE3" w:rsidRDefault="0094319B" w:rsidP="00B94410">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4C808056" w14:textId="77777777" w:rsidR="0094319B" w:rsidRPr="00F71EE3" w:rsidRDefault="0094319B" w:rsidP="00B94410">
            <w:pPr>
              <w:jc w:val="center"/>
              <w:rPr>
                <w:rFonts w:ascii="Arial" w:hAnsi="Arial" w:cs="Arial"/>
                <w:b/>
                <w:sz w:val="14"/>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8C850C9" w14:textId="77777777" w:rsidR="0094319B" w:rsidRPr="00DE3735" w:rsidRDefault="0094319B" w:rsidP="00B94410">
            <w:pPr>
              <w:pStyle w:val="08-Tabelageral"/>
              <w:jc w:val="center"/>
              <w:rPr>
                <w:b/>
              </w:rPr>
            </w:pPr>
            <w:r w:rsidRPr="0043229C">
              <w:rPr>
                <w:b/>
              </w:rPr>
              <w:t xml:space="preserve">Book </w:t>
            </w:r>
            <w:proofErr w:type="spellStart"/>
            <w:r w:rsidRPr="0043229C">
              <w:rPr>
                <w:b/>
              </w:rPr>
              <w:t>value</w:t>
            </w:r>
            <w:proofErr w:type="spellEnd"/>
          </w:p>
        </w:tc>
        <w:tc>
          <w:tcPr>
            <w:tcW w:w="387" w:type="dxa"/>
            <w:gridSpan w:val="2"/>
            <w:tcBorders>
              <w:top w:val="nil"/>
              <w:bottom w:val="single" w:sz="2" w:space="0" w:color="1F3864" w:themeColor="accent1" w:themeShade="80"/>
            </w:tcBorders>
            <w:shd w:val="clear" w:color="auto" w:fill="FFFFFF" w:themeFill="background1"/>
            <w:vAlign w:val="center"/>
          </w:tcPr>
          <w:p w14:paraId="37D01E4A" w14:textId="77777777" w:rsidR="0094319B" w:rsidRPr="00DE3735" w:rsidRDefault="0094319B" w:rsidP="00B94410">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4626CCAE" w14:textId="77777777" w:rsidR="0094319B" w:rsidRPr="00DE3735" w:rsidRDefault="0094319B" w:rsidP="00B94410">
            <w:pPr>
              <w:pStyle w:val="08-Tabelageral"/>
              <w:jc w:val="center"/>
              <w:rPr>
                <w:b/>
              </w:rPr>
            </w:pPr>
            <w:proofErr w:type="spellStart"/>
            <w:r w:rsidRPr="006E0B32">
              <w:rPr>
                <w:b/>
              </w:rPr>
              <w:t>Acquisitions</w:t>
            </w:r>
            <w:proofErr w:type="spellEnd"/>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9871A35" w14:textId="77777777" w:rsidR="0094319B" w:rsidRPr="00DE3735" w:rsidRDefault="0094319B" w:rsidP="00B94410">
            <w:pPr>
              <w:pStyle w:val="08-Tabelageral"/>
              <w:jc w:val="center"/>
              <w:rPr>
                <w:b/>
              </w:rPr>
            </w:pPr>
            <w:proofErr w:type="spellStart"/>
            <w:r w:rsidRPr="00FB7E97">
              <w:rPr>
                <w:b/>
              </w:rPr>
              <w:t>Amortization</w:t>
            </w:r>
            <w:proofErr w:type="spellEnd"/>
          </w:p>
        </w:tc>
        <w:tc>
          <w:tcPr>
            <w:tcW w:w="236" w:type="dxa"/>
            <w:gridSpan w:val="2"/>
            <w:tcBorders>
              <w:top w:val="nil"/>
              <w:bottom w:val="single" w:sz="2" w:space="0" w:color="1F3864" w:themeColor="accent1" w:themeShade="80"/>
            </w:tcBorders>
            <w:shd w:val="clear" w:color="auto" w:fill="FFFFFF" w:themeFill="background1"/>
            <w:vAlign w:val="center"/>
          </w:tcPr>
          <w:p w14:paraId="2F054BC8" w14:textId="77777777" w:rsidR="0094319B" w:rsidRPr="00DE3735" w:rsidRDefault="0094319B" w:rsidP="00B94410">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938FA0A" w14:textId="77777777" w:rsidR="0094319B" w:rsidRPr="00DE3735" w:rsidRDefault="0094319B" w:rsidP="00B94410">
            <w:pPr>
              <w:pStyle w:val="08-Tabelageral"/>
              <w:jc w:val="center"/>
              <w:rPr>
                <w:b/>
              </w:rPr>
            </w:pPr>
            <w:proofErr w:type="spellStart"/>
            <w:r w:rsidRPr="00322A5E">
              <w:rPr>
                <w:b/>
              </w:rPr>
              <w:t>Cost</w:t>
            </w:r>
            <w:proofErr w:type="spellEnd"/>
            <w:r w:rsidRPr="00322A5E">
              <w:rPr>
                <w:b/>
              </w:rPr>
              <w:t xml:space="preserve"> </w:t>
            </w:r>
            <w:proofErr w:type="spellStart"/>
            <w:r w:rsidRPr="00322A5E">
              <w:rPr>
                <w:b/>
              </w:rPr>
              <w:t>value</w:t>
            </w:r>
            <w:proofErr w:type="spellEnd"/>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9DD4F4A" w14:textId="77777777" w:rsidR="0094319B" w:rsidRPr="00DE3735" w:rsidRDefault="0094319B" w:rsidP="00B94410">
            <w:pPr>
              <w:pStyle w:val="08-Tabelageral"/>
              <w:jc w:val="center"/>
              <w:rPr>
                <w:b/>
              </w:rPr>
            </w:pPr>
            <w:proofErr w:type="spellStart"/>
            <w:r w:rsidRPr="00AC6A95">
              <w:rPr>
                <w:b/>
                <w:bCs/>
              </w:rPr>
              <w:t>Accumulated</w:t>
            </w:r>
            <w:proofErr w:type="spellEnd"/>
            <w:r w:rsidRPr="00AC6A95">
              <w:rPr>
                <w:b/>
                <w:bCs/>
              </w:rPr>
              <w:t xml:space="preserve"> </w:t>
            </w:r>
            <w:proofErr w:type="spellStart"/>
            <w:r w:rsidRPr="00AC6A95">
              <w:rPr>
                <w:b/>
                <w:bCs/>
              </w:rPr>
              <w:t>amortization</w:t>
            </w:r>
            <w:proofErr w:type="spellEnd"/>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A3794E2" w14:textId="77777777" w:rsidR="0094319B" w:rsidRPr="00DE3735" w:rsidRDefault="0094319B" w:rsidP="00B94410">
            <w:pPr>
              <w:pStyle w:val="08-Tabelageral"/>
              <w:jc w:val="center"/>
              <w:rPr>
                <w:b/>
              </w:rPr>
            </w:pPr>
            <w:r w:rsidRPr="00D03E31">
              <w:rPr>
                <w:b/>
                <w:bCs/>
              </w:rPr>
              <w:t xml:space="preserve">Book </w:t>
            </w:r>
            <w:proofErr w:type="spellStart"/>
            <w:r w:rsidRPr="00D03E31">
              <w:rPr>
                <w:b/>
                <w:bCs/>
              </w:rPr>
              <w:t>value</w:t>
            </w:r>
            <w:proofErr w:type="spellEnd"/>
          </w:p>
        </w:tc>
      </w:tr>
      <w:tr w:rsidR="0094319B" w:rsidRPr="00543AEB" w14:paraId="40471994" w14:textId="77777777" w:rsidTr="00B94410">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38F4C7C7" w14:textId="77777777" w:rsidR="0094319B" w:rsidRPr="003B0482" w:rsidRDefault="0094319B" w:rsidP="00B94410">
            <w:pPr>
              <w:pStyle w:val="08-Tabelageral"/>
              <w:jc w:val="left"/>
              <w:rPr>
                <w:rFonts w:cs="Arial"/>
                <w:b/>
                <w:szCs w:val="14"/>
                <w:vertAlign w:val="superscript"/>
              </w:rPr>
            </w:pPr>
            <w:r w:rsidRPr="003B0482">
              <w:rPr>
                <w:rFonts w:cs="Arial"/>
                <w:szCs w:val="14"/>
              </w:rPr>
              <w:t>Software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21A0EE11" w14:textId="77777777" w:rsidR="0094319B" w:rsidRPr="003B0482" w:rsidRDefault="0094319B" w:rsidP="00B94410">
            <w:pPr>
              <w:pStyle w:val="08-Tabelageral"/>
              <w:jc w:val="center"/>
              <w:rPr>
                <w:rFonts w:cs="Arial"/>
                <w:szCs w:val="14"/>
              </w:rPr>
            </w:pPr>
          </w:p>
        </w:tc>
        <w:tc>
          <w:tcPr>
            <w:tcW w:w="1119" w:type="dxa"/>
            <w:tcBorders>
              <w:top w:val="single" w:sz="2" w:space="0" w:color="1F3864" w:themeColor="accent1" w:themeShade="80"/>
              <w:bottom w:val="single" w:sz="2" w:space="0" w:color="1F3864" w:themeColor="accent1" w:themeShade="80"/>
            </w:tcBorders>
            <w:shd w:val="clear" w:color="auto" w:fill="FFFFFF" w:themeFill="background1"/>
          </w:tcPr>
          <w:p w14:paraId="35D9D4AC" w14:textId="77777777" w:rsidR="0094319B" w:rsidRPr="003B0482" w:rsidRDefault="0094319B" w:rsidP="00B94410">
            <w:pPr>
              <w:pStyle w:val="08-Tabelageral"/>
              <w:jc w:val="center"/>
              <w:rPr>
                <w:rFonts w:cs="Arial"/>
                <w:szCs w:val="14"/>
              </w:rPr>
            </w:pPr>
            <w:r w:rsidRPr="002460AB">
              <w:rPr>
                <w:rFonts w:cs="Arial"/>
                <w:szCs w:val="14"/>
              </w:rPr>
              <w:t>3</w:t>
            </w:r>
            <w:r>
              <w:rPr>
                <w:rFonts w:cs="Arial"/>
                <w:szCs w:val="14"/>
              </w:rPr>
              <w:t>,</w:t>
            </w:r>
            <w:r w:rsidRPr="002460AB">
              <w:rPr>
                <w:rFonts w:cs="Arial"/>
                <w:szCs w:val="14"/>
              </w:rPr>
              <w:t>58</w:t>
            </w:r>
            <w:r>
              <w:rPr>
                <w:rFonts w:cs="Arial"/>
                <w:szCs w:val="14"/>
              </w:rPr>
              <w:t>5</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00C0A3CE" w14:textId="77777777" w:rsidR="0094319B" w:rsidRPr="003B0482" w:rsidRDefault="0094319B" w:rsidP="00B94410">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958B6BA" w14:textId="77777777" w:rsidR="0094319B" w:rsidRPr="003B0482" w:rsidRDefault="0094319B" w:rsidP="00B94410">
            <w:pPr>
              <w:pStyle w:val="08-Tabelageral"/>
              <w:jc w:val="center"/>
              <w:rPr>
                <w:rFonts w:cs="Arial"/>
                <w:szCs w:val="14"/>
              </w:rPr>
            </w:pPr>
            <w:r w:rsidRPr="00A3685F">
              <w:rPr>
                <w:rFonts w:cs="Arial"/>
                <w:szCs w:val="14"/>
              </w:rPr>
              <w:t>109</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5B66F3CF" w14:textId="77777777" w:rsidR="0094319B" w:rsidRPr="003B0482" w:rsidRDefault="0094319B" w:rsidP="00B94410">
            <w:pPr>
              <w:pStyle w:val="08-Tabelageral"/>
              <w:jc w:val="center"/>
              <w:rPr>
                <w:rFonts w:cs="Arial"/>
                <w:szCs w:val="14"/>
              </w:rPr>
            </w:pPr>
            <w:r w:rsidRPr="00A3685F">
              <w:rPr>
                <w:rFonts w:cs="Arial"/>
                <w:szCs w:val="14"/>
              </w:rPr>
              <w:t>(904)</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17A42358" w14:textId="77777777" w:rsidR="0094319B" w:rsidRPr="003B0482" w:rsidRDefault="0094319B" w:rsidP="00B94410">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0EECA3F7" w14:textId="77777777" w:rsidR="0094319B" w:rsidRPr="002174AE" w:rsidRDefault="0094319B" w:rsidP="00B94410">
            <w:pPr>
              <w:pStyle w:val="08-Tabelageral"/>
              <w:jc w:val="center"/>
              <w:rPr>
                <w:rFonts w:cs="Arial"/>
                <w:szCs w:val="14"/>
              </w:rPr>
            </w:pPr>
            <w:r w:rsidRPr="00A3685F">
              <w:rPr>
                <w:rFonts w:cs="Arial"/>
                <w:szCs w:val="14"/>
              </w:rPr>
              <w:t>7</w:t>
            </w:r>
            <w:r>
              <w:rPr>
                <w:rFonts w:cs="Arial"/>
                <w:szCs w:val="14"/>
              </w:rPr>
              <w:t>,</w:t>
            </w:r>
            <w:r w:rsidRPr="00A3685F">
              <w:rPr>
                <w:rFonts w:cs="Arial"/>
                <w:szCs w:val="14"/>
              </w:rPr>
              <w:t>837</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275AE8AA" w14:textId="77777777" w:rsidR="0094319B" w:rsidRPr="002174AE" w:rsidRDefault="0094319B" w:rsidP="00B94410">
            <w:pPr>
              <w:pStyle w:val="08-Tabelageral"/>
              <w:jc w:val="center"/>
              <w:rPr>
                <w:rFonts w:cs="Arial"/>
                <w:szCs w:val="14"/>
              </w:rPr>
            </w:pPr>
            <w:r w:rsidRPr="00A3685F">
              <w:rPr>
                <w:rFonts w:cs="Arial"/>
                <w:szCs w:val="14"/>
              </w:rPr>
              <w:t>(5</w:t>
            </w:r>
            <w:r>
              <w:rPr>
                <w:rFonts w:cs="Arial"/>
                <w:szCs w:val="14"/>
              </w:rPr>
              <w:t>,</w:t>
            </w:r>
            <w:r w:rsidRPr="00A3685F">
              <w:rPr>
                <w:rFonts w:cs="Arial"/>
                <w:szCs w:val="14"/>
              </w:rPr>
              <w:t>047)</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659C827E" w14:textId="77777777" w:rsidR="0094319B" w:rsidRPr="003B0482" w:rsidRDefault="0094319B" w:rsidP="00B94410">
            <w:pPr>
              <w:pStyle w:val="08-Tabelageral"/>
              <w:jc w:val="center"/>
              <w:rPr>
                <w:rFonts w:cs="Arial"/>
                <w:szCs w:val="14"/>
              </w:rPr>
            </w:pPr>
            <w:r w:rsidRPr="00A3685F">
              <w:rPr>
                <w:rFonts w:cs="Arial"/>
                <w:szCs w:val="14"/>
              </w:rPr>
              <w:t>2</w:t>
            </w:r>
            <w:r>
              <w:rPr>
                <w:rFonts w:cs="Arial"/>
                <w:szCs w:val="14"/>
              </w:rPr>
              <w:t>,</w:t>
            </w:r>
            <w:r w:rsidRPr="00A3685F">
              <w:rPr>
                <w:rFonts w:cs="Arial"/>
                <w:szCs w:val="14"/>
              </w:rPr>
              <w:t>790</w:t>
            </w:r>
          </w:p>
        </w:tc>
      </w:tr>
    </w:tbl>
    <w:p w14:paraId="02AD1BA2" w14:textId="77777777" w:rsidR="0094319B" w:rsidRPr="0021213D" w:rsidRDefault="0094319B" w:rsidP="0094319B">
      <w:pPr>
        <w:pStyle w:val="07-Legenda"/>
        <w:numPr>
          <w:ilvl w:val="0"/>
          <w:numId w:val="13"/>
        </w:numPr>
        <w:ind w:left="284" w:hanging="284"/>
        <w:rPr>
          <w:szCs w:val="14"/>
          <w:lang w:val="en-US"/>
        </w:rPr>
      </w:pPr>
      <w:r w:rsidRPr="0021213D">
        <w:rPr>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w:t>
      </w:r>
      <w:r>
        <w:rPr>
          <w:szCs w:val="14"/>
          <w:lang w:val="en-US"/>
        </w:rPr>
        <w:t xml:space="preserve"> </w:t>
      </w:r>
      <w:r w:rsidRPr="0021166C">
        <w:rPr>
          <w:szCs w:val="14"/>
          <w:lang w:val="en-US"/>
        </w:rPr>
        <w:t>For new acquisitions, the amortization period is the remaining of the useful life</w:t>
      </w:r>
      <w:r w:rsidRPr="00C916BA">
        <w:rPr>
          <w:szCs w:val="14"/>
          <w:lang w:val="en-US"/>
        </w:rPr>
        <w:t>.</w:t>
      </w:r>
    </w:p>
    <w:p w14:paraId="02F01100" w14:textId="77777777" w:rsidR="0094319B" w:rsidRPr="00515B23" w:rsidRDefault="0094319B" w:rsidP="0094319B">
      <w:pPr>
        <w:pStyle w:val="01-TtulodeNota"/>
        <w:rPr>
          <w:color w:val="1F3864" w:themeColor="accent1" w:themeShade="80"/>
          <w:sz w:val="18"/>
          <w:lang w:val="en-US"/>
        </w:rPr>
      </w:pPr>
      <w:r w:rsidRPr="00515B23">
        <w:rPr>
          <w:color w:val="1F3864" w:themeColor="accent1" w:themeShade="80"/>
          <w:sz w:val="18"/>
          <w:lang w:val="en-US"/>
        </w:rPr>
        <w:t>a.1) Estimate for amortization</w:t>
      </w:r>
    </w:p>
    <w:p w14:paraId="4EC8E6FE" w14:textId="77777777" w:rsidR="0094319B" w:rsidRPr="00515B23" w:rsidRDefault="0094319B" w:rsidP="0094319B">
      <w:pPr>
        <w:pStyle w:val="07-Legenda"/>
        <w:ind w:left="708" w:firstLine="0"/>
        <w:jc w:val="right"/>
        <w:rPr>
          <w:b/>
          <w:szCs w:val="12"/>
          <w:lang w:val="en-US"/>
        </w:rPr>
      </w:pPr>
      <w:r w:rsidRPr="00515B23">
        <w:rPr>
          <w:b/>
          <w:szCs w:val="12"/>
          <w:lang w:val="en-US"/>
        </w:rPr>
        <w:t>R$ thousand</w:t>
      </w:r>
    </w:p>
    <w:tbl>
      <w:tblPr>
        <w:tblW w:w="9666"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292"/>
        <w:gridCol w:w="1843"/>
        <w:gridCol w:w="1058"/>
        <w:gridCol w:w="1058"/>
        <w:gridCol w:w="1157"/>
        <w:gridCol w:w="1148"/>
      </w:tblGrid>
      <w:tr w:rsidR="0094319B" w:rsidRPr="00255E0A" w14:paraId="29A848DA" w14:textId="77777777" w:rsidTr="00B94410">
        <w:trPr>
          <w:trHeight w:val="238"/>
          <w:jc w:val="center"/>
        </w:trPr>
        <w:tc>
          <w:tcPr>
            <w:tcW w:w="3110" w:type="dxa"/>
            <w:shd w:val="clear" w:color="auto" w:fill="FFFFFF" w:themeFill="background1"/>
            <w:vAlign w:val="center"/>
          </w:tcPr>
          <w:p w14:paraId="0C528EBF" w14:textId="77777777" w:rsidR="0094319B" w:rsidRPr="00515B23" w:rsidRDefault="0094319B" w:rsidP="00B94410">
            <w:pPr>
              <w:pStyle w:val="08-Tabelageral"/>
              <w:jc w:val="center"/>
              <w:rPr>
                <w:b/>
                <w:lang w:val="en-US"/>
              </w:rPr>
            </w:pPr>
          </w:p>
        </w:tc>
        <w:tc>
          <w:tcPr>
            <w:tcW w:w="292" w:type="dxa"/>
            <w:shd w:val="clear" w:color="auto" w:fill="FFFFFF" w:themeFill="background1"/>
            <w:vAlign w:val="center"/>
          </w:tcPr>
          <w:p w14:paraId="563AF227" w14:textId="77777777" w:rsidR="0094319B" w:rsidRPr="00515B23" w:rsidRDefault="0094319B" w:rsidP="00B94410">
            <w:pPr>
              <w:pStyle w:val="08-Tabelageral"/>
              <w:jc w:val="center"/>
              <w:rPr>
                <w:b/>
                <w:lang w:val="en-US"/>
              </w:rPr>
            </w:pPr>
          </w:p>
        </w:tc>
        <w:tc>
          <w:tcPr>
            <w:tcW w:w="1843" w:type="dxa"/>
            <w:shd w:val="clear" w:color="auto" w:fill="FFFFFF" w:themeFill="background1"/>
            <w:vAlign w:val="center"/>
          </w:tcPr>
          <w:p w14:paraId="2E68A7EC" w14:textId="77777777" w:rsidR="0094319B" w:rsidRPr="0094319B" w:rsidRDefault="0094319B" w:rsidP="00B94410">
            <w:pPr>
              <w:pStyle w:val="08-Tabelageral"/>
              <w:jc w:val="center"/>
              <w:rPr>
                <w:b/>
                <w:lang w:val="en-US"/>
              </w:rPr>
            </w:pPr>
          </w:p>
        </w:tc>
        <w:tc>
          <w:tcPr>
            <w:tcW w:w="1058" w:type="dxa"/>
            <w:shd w:val="clear" w:color="auto" w:fill="FFFFFF" w:themeFill="background1"/>
            <w:vAlign w:val="center"/>
          </w:tcPr>
          <w:p w14:paraId="7FFED5D5" w14:textId="77777777" w:rsidR="0094319B" w:rsidRPr="00255E0A" w:rsidRDefault="0094319B" w:rsidP="00B94410">
            <w:pPr>
              <w:pStyle w:val="08-Tabelageral"/>
              <w:jc w:val="center"/>
              <w:rPr>
                <w:b/>
              </w:rPr>
            </w:pPr>
            <w:r w:rsidRPr="00255E0A">
              <w:rPr>
                <w:b/>
              </w:rPr>
              <w:t>2025</w:t>
            </w:r>
          </w:p>
        </w:tc>
        <w:tc>
          <w:tcPr>
            <w:tcW w:w="1058" w:type="dxa"/>
            <w:shd w:val="clear" w:color="auto" w:fill="FFFFFF" w:themeFill="background1"/>
            <w:vAlign w:val="center"/>
          </w:tcPr>
          <w:p w14:paraId="6E5E490F" w14:textId="77777777" w:rsidR="0094319B" w:rsidRPr="00255E0A" w:rsidRDefault="0094319B" w:rsidP="00B94410">
            <w:pPr>
              <w:pStyle w:val="08-Tabelageral"/>
              <w:jc w:val="center"/>
              <w:rPr>
                <w:b/>
              </w:rPr>
            </w:pPr>
            <w:r w:rsidRPr="00255E0A">
              <w:rPr>
                <w:b/>
              </w:rPr>
              <w:t>2026</w:t>
            </w:r>
          </w:p>
        </w:tc>
        <w:tc>
          <w:tcPr>
            <w:tcW w:w="1157" w:type="dxa"/>
            <w:shd w:val="clear" w:color="auto" w:fill="FFFFFF" w:themeFill="background1"/>
            <w:vAlign w:val="center"/>
          </w:tcPr>
          <w:p w14:paraId="3225A7E1" w14:textId="77777777" w:rsidR="0094319B" w:rsidRPr="00255E0A" w:rsidRDefault="0094319B" w:rsidP="00B94410">
            <w:pPr>
              <w:pStyle w:val="08-Tabelageral"/>
              <w:jc w:val="center"/>
              <w:rPr>
                <w:b/>
              </w:rPr>
            </w:pPr>
            <w:r>
              <w:rPr>
                <w:b/>
              </w:rPr>
              <w:t>2027</w:t>
            </w:r>
          </w:p>
        </w:tc>
        <w:tc>
          <w:tcPr>
            <w:tcW w:w="1148" w:type="dxa"/>
            <w:shd w:val="clear" w:color="auto" w:fill="FFFFFF" w:themeFill="background1"/>
            <w:vAlign w:val="center"/>
          </w:tcPr>
          <w:p w14:paraId="69A63E13" w14:textId="77777777" w:rsidR="0094319B" w:rsidRPr="00255E0A" w:rsidRDefault="0094319B" w:rsidP="00B94410">
            <w:pPr>
              <w:pStyle w:val="08-Tabelageral"/>
              <w:jc w:val="center"/>
              <w:rPr>
                <w:b/>
              </w:rPr>
            </w:pPr>
            <w:r w:rsidRPr="00255E0A">
              <w:rPr>
                <w:b/>
              </w:rPr>
              <w:t>Total</w:t>
            </w:r>
          </w:p>
        </w:tc>
      </w:tr>
      <w:tr w:rsidR="0094319B" w:rsidRPr="00E177EF" w14:paraId="42C9C273" w14:textId="77777777" w:rsidTr="00B94410">
        <w:trPr>
          <w:trHeight w:val="238"/>
          <w:jc w:val="center"/>
        </w:trPr>
        <w:tc>
          <w:tcPr>
            <w:tcW w:w="3110" w:type="dxa"/>
            <w:shd w:val="clear" w:color="auto" w:fill="FFFFFF" w:themeFill="background1"/>
          </w:tcPr>
          <w:p w14:paraId="37FFA6E4" w14:textId="77777777" w:rsidR="0094319B" w:rsidRPr="0095503D" w:rsidRDefault="0094319B" w:rsidP="00B94410">
            <w:pPr>
              <w:pStyle w:val="08-Tabelageral"/>
              <w:jc w:val="left"/>
              <w:rPr>
                <w:b/>
                <w:szCs w:val="14"/>
              </w:rPr>
            </w:pPr>
            <w:proofErr w:type="spellStart"/>
            <w:r w:rsidRPr="006C035B">
              <w:rPr>
                <w:szCs w:val="14"/>
              </w:rPr>
              <w:t>Amounts</w:t>
            </w:r>
            <w:proofErr w:type="spellEnd"/>
            <w:r w:rsidRPr="006C035B">
              <w:rPr>
                <w:szCs w:val="14"/>
              </w:rPr>
              <w:t xml:space="preserve"> </w:t>
            </w:r>
            <w:proofErr w:type="spellStart"/>
            <w:r w:rsidRPr="006C035B">
              <w:rPr>
                <w:szCs w:val="14"/>
              </w:rPr>
              <w:t>to</w:t>
            </w:r>
            <w:proofErr w:type="spellEnd"/>
            <w:r w:rsidRPr="006C035B">
              <w:rPr>
                <w:szCs w:val="14"/>
              </w:rPr>
              <w:t xml:space="preserve"> </w:t>
            </w:r>
            <w:proofErr w:type="spellStart"/>
            <w:r w:rsidRPr="006C035B">
              <w:rPr>
                <w:szCs w:val="14"/>
              </w:rPr>
              <w:t>be</w:t>
            </w:r>
            <w:proofErr w:type="spellEnd"/>
            <w:r w:rsidRPr="006C035B">
              <w:rPr>
                <w:szCs w:val="14"/>
              </w:rPr>
              <w:t xml:space="preserve"> </w:t>
            </w:r>
            <w:proofErr w:type="spellStart"/>
            <w:r w:rsidRPr="006C035B">
              <w:rPr>
                <w:szCs w:val="14"/>
              </w:rPr>
              <w:t>amortized</w:t>
            </w:r>
            <w:proofErr w:type="spellEnd"/>
          </w:p>
        </w:tc>
        <w:tc>
          <w:tcPr>
            <w:tcW w:w="292" w:type="dxa"/>
            <w:shd w:val="clear" w:color="auto" w:fill="FFFFFF" w:themeFill="background1"/>
          </w:tcPr>
          <w:p w14:paraId="65B24E8B" w14:textId="77777777" w:rsidR="0094319B" w:rsidRPr="008331D9" w:rsidRDefault="0094319B" w:rsidP="00B94410">
            <w:pPr>
              <w:pStyle w:val="08-Tabelageral"/>
              <w:jc w:val="center"/>
              <w:rPr>
                <w:szCs w:val="14"/>
              </w:rPr>
            </w:pPr>
          </w:p>
        </w:tc>
        <w:tc>
          <w:tcPr>
            <w:tcW w:w="1843" w:type="dxa"/>
            <w:shd w:val="clear" w:color="auto" w:fill="FFFFFF" w:themeFill="background1"/>
          </w:tcPr>
          <w:p w14:paraId="047C22E9" w14:textId="77777777" w:rsidR="0094319B" w:rsidRPr="008331D9" w:rsidRDefault="0094319B" w:rsidP="00B94410">
            <w:pPr>
              <w:pStyle w:val="08-Tabelageral"/>
              <w:jc w:val="center"/>
              <w:rPr>
                <w:szCs w:val="14"/>
              </w:rPr>
            </w:pPr>
          </w:p>
        </w:tc>
        <w:tc>
          <w:tcPr>
            <w:tcW w:w="1058" w:type="dxa"/>
            <w:shd w:val="clear" w:color="auto" w:fill="FFFFFF" w:themeFill="background1"/>
          </w:tcPr>
          <w:p w14:paraId="2953F427" w14:textId="77777777" w:rsidR="0094319B" w:rsidRPr="008331D9" w:rsidRDefault="0094319B" w:rsidP="00B94410">
            <w:pPr>
              <w:pStyle w:val="08-Tabelageral"/>
              <w:jc w:val="center"/>
              <w:rPr>
                <w:szCs w:val="14"/>
              </w:rPr>
            </w:pPr>
            <w:r w:rsidRPr="00A3685F">
              <w:rPr>
                <w:szCs w:val="14"/>
              </w:rPr>
              <w:t>930</w:t>
            </w:r>
          </w:p>
        </w:tc>
        <w:tc>
          <w:tcPr>
            <w:tcW w:w="1058" w:type="dxa"/>
            <w:shd w:val="clear" w:color="auto" w:fill="FFFFFF" w:themeFill="background1"/>
          </w:tcPr>
          <w:p w14:paraId="14CA35CA" w14:textId="77777777" w:rsidR="0094319B" w:rsidRPr="008331D9" w:rsidRDefault="0094319B" w:rsidP="00B94410">
            <w:pPr>
              <w:pStyle w:val="08-Tabelageral"/>
              <w:jc w:val="center"/>
              <w:rPr>
                <w:szCs w:val="14"/>
              </w:rPr>
            </w:pPr>
            <w:r w:rsidRPr="00A3685F">
              <w:rPr>
                <w:szCs w:val="14"/>
              </w:rPr>
              <w:t>930</w:t>
            </w:r>
          </w:p>
        </w:tc>
        <w:tc>
          <w:tcPr>
            <w:tcW w:w="1157" w:type="dxa"/>
            <w:shd w:val="clear" w:color="auto" w:fill="FFFFFF" w:themeFill="background1"/>
          </w:tcPr>
          <w:p w14:paraId="2C7E5403" w14:textId="77777777" w:rsidR="0094319B" w:rsidRPr="008331D9" w:rsidRDefault="0094319B" w:rsidP="00B94410">
            <w:pPr>
              <w:pStyle w:val="08-Tabelageral"/>
              <w:jc w:val="center"/>
              <w:rPr>
                <w:szCs w:val="14"/>
              </w:rPr>
            </w:pPr>
            <w:r w:rsidRPr="00A3685F">
              <w:rPr>
                <w:szCs w:val="14"/>
              </w:rPr>
              <w:t>930</w:t>
            </w:r>
          </w:p>
        </w:tc>
        <w:tc>
          <w:tcPr>
            <w:tcW w:w="1148" w:type="dxa"/>
            <w:shd w:val="clear" w:color="auto" w:fill="FFFFFF" w:themeFill="background1"/>
          </w:tcPr>
          <w:p w14:paraId="0569B176" w14:textId="77777777" w:rsidR="0094319B" w:rsidRPr="00B94B8C" w:rsidRDefault="0094319B" w:rsidP="00B94410">
            <w:pPr>
              <w:pStyle w:val="08-Tabelageral"/>
              <w:jc w:val="center"/>
              <w:rPr>
                <w:bCs/>
              </w:rPr>
            </w:pPr>
            <w:r w:rsidRPr="00A3685F">
              <w:rPr>
                <w:bCs/>
              </w:rPr>
              <w:t>2</w:t>
            </w:r>
            <w:r>
              <w:rPr>
                <w:bCs/>
              </w:rPr>
              <w:t>,</w:t>
            </w:r>
            <w:r w:rsidRPr="00A3685F">
              <w:rPr>
                <w:bCs/>
              </w:rPr>
              <w:t>790</w:t>
            </w:r>
          </w:p>
        </w:tc>
      </w:tr>
    </w:tbl>
    <w:p w14:paraId="634961E7" w14:textId="2C7CF10E" w:rsidR="007D4AB0"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96" w:name="_Toc157446733"/>
      <w:bookmarkStart w:id="97" w:name="_Toc190680641"/>
      <w:r w:rsidRPr="00432934">
        <w:rPr>
          <w:rFonts w:ascii="Arial" w:hAnsi="Arial" w:cs="Arial"/>
          <w:b/>
          <w:color w:val="1F3864" w:themeColor="accent1" w:themeShade="80"/>
          <w:sz w:val="20"/>
          <w:lang w:val="en-US"/>
        </w:rPr>
        <w:t>20 – OTHER ASSETS</w:t>
      </w:r>
      <w:bookmarkEnd w:id="95"/>
      <w:bookmarkEnd w:id="96"/>
      <w:bookmarkEnd w:id="97"/>
    </w:p>
    <w:p w14:paraId="60087177" w14:textId="77777777" w:rsidR="008D4EB1" w:rsidRPr="008D4EB1" w:rsidRDefault="008D4EB1" w:rsidP="008D4EB1">
      <w:pPr>
        <w:spacing w:after="0" w:line="240" w:lineRule="auto"/>
        <w:jc w:val="right"/>
        <w:rPr>
          <w:rFonts w:ascii="Arial" w:eastAsia="MS Mincho" w:hAnsi="Arial" w:cs="Arial"/>
          <w:b/>
          <w:sz w:val="14"/>
          <w:szCs w:val="22"/>
          <w:lang w:eastAsia="pt-BR"/>
        </w:rPr>
      </w:pPr>
      <w:r w:rsidRPr="008D4EB1">
        <w:rPr>
          <w:rFonts w:ascii="Arial" w:eastAsia="MS Mincho" w:hAnsi="Arial" w:cs="Arial"/>
          <w:b/>
          <w:sz w:val="14"/>
          <w:szCs w:val="22"/>
          <w:lang w:eastAsia="pt-BR"/>
        </w:rPr>
        <w:t xml:space="preserve">R$ </w:t>
      </w:r>
      <w:proofErr w:type="spellStart"/>
      <w:r w:rsidRPr="008D4EB1">
        <w:rPr>
          <w:rFonts w:ascii="Arial" w:eastAsia="MS Mincho" w:hAnsi="Arial" w:cs="Arial"/>
          <w:b/>
          <w:sz w:val="14"/>
          <w:szCs w:val="22"/>
          <w:lang w:eastAsia="pt-BR"/>
        </w:rPr>
        <w:t>thousand</w:t>
      </w:r>
      <w:proofErr w:type="spellEnd"/>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8D4EB1" w:rsidRPr="008D4EB1" w14:paraId="43D52D84" w14:textId="77777777" w:rsidTr="008D4EB1">
        <w:trPr>
          <w:trHeight w:val="238"/>
        </w:trPr>
        <w:tc>
          <w:tcPr>
            <w:tcW w:w="3094" w:type="dxa"/>
            <w:tcBorders>
              <w:top w:val="single" w:sz="2" w:space="0" w:color="1F4E79"/>
            </w:tcBorders>
            <w:shd w:val="clear" w:color="auto" w:fill="auto"/>
          </w:tcPr>
          <w:p w14:paraId="3EF5C284" w14:textId="77777777" w:rsidR="008D4EB1" w:rsidRPr="008D4EB1" w:rsidRDefault="008D4EB1" w:rsidP="008D4EB1">
            <w:pPr>
              <w:spacing w:after="0" w:line="276" w:lineRule="auto"/>
              <w:jc w:val="center"/>
              <w:rPr>
                <w:rFonts w:ascii="Arial" w:eastAsia="MS Mincho" w:hAnsi="Arial" w:cs="Arial"/>
                <w:b/>
                <w:sz w:val="18"/>
                <w:szCs w:val="18"/>
              </w:rPr>
            </w:pPr>
          </w:p>
        </w:tc>
        <w:tc>
          <w:tcPr>
            <w:tcW w:w="604" w:type="dxa"/>
            <w:tcBorders>
              <w:top w:val="single" w:sz="2" w:space="0" w:color="1F4E79"/>
            </w:tcBorders>
            <w:shd w:val="clear" w:color="auto" w:fill="auto"/>
          </w:tcPr>
          <w:p w14:paraId="75340516" w14:textId="77777777" w:rsidR="008D4EB1" w:rsidRPr="008D4EB1" w:rsidRDefault="008D4EB1" w:rsidP="008D4EB1">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67B4139A" w14:textId="77777777" w:rsidR="008D4EB1" w:rsidRPr="008D4EB1" w:rsidRDefault="008D4EB1" w:rsidP="008D4EB1">
            <w:pPr>
              <w:spacing w:after="0" w:line="276" w:lineRule="auto"/>
              <w:jc w:val="center"/>
              <w:rPr>
                <w:rFonts w:ascii="Arial" w:eastAsia="MS Mincho" w:hAnsi="Arial" w:cs="Arial"/>
                <w:b/>
                <w:sz w:val="14"/>
                <w:szCs w:val="18"/>
              </w:rPr>
            </w:pPr>
            <w:proofErr w:type="spellStart"/>
            <w:r w:rsidRPr="008D4EB1">
              <w:rPr>
                <w:rFonts w:ascii="Arial" w:eastAsia="MS Mincho" w:hAnsi="Arial" w:cs="Arial"/>
                <w:b/>
                <w:sz w:val="14"/>
                <w:szCs w:val="18"/>
              </w:rPr>
              <w:t>Parent</w:t>
            </w:r>
            <w:proofErr w:type="spellEnd"/>
          </w:p>
        </w:tc>
        <w:tc>
          <w:tcPr>
            <w:tcW w:w="283" w:type="dxa"/>
            <w:tcBorders>
              <w:top w:val="single" w:sz="2" w:space="0" w:color="1F4E79"/>
            </w:tcBorders>
            <w:shd w:val="clear" w:color="auto" w:fill="auto"/>
            <w:vAlign w:val="center"/>
          </w:tcPr>
          <w:p w14:paraId="0260E978" w14:textId="77777777" w:rsidR="008D4EB1" w:rsidRPr="008D4EB1" w:rsidRDefault="008D4EB1" w:rsidP="008D4EB1">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5AE950FF" w14:textId="77777777" w:rsidR="008D4EB1" w:rsidRPr="008D4EB1" w:rsidRDefault="008D4EB1" w:rsidP="008D4EB1">
            <w:pPr>
              <w:spacing w:after="0" w:line="276" w:lineRule="auto"/>
              <w:jc w:val="center"/>
              <w:rPr>
                <w:rFonts w:ascii="Arial" w:eastAsia="MS Mincho" w:hAnsi="Arial" w:cs="Arial"/>
                <w:b/>
                <w:sz w:val="18"/>
                <w:szCs w:val="18"/>
              </w:rPr>
            </w:pPr>
            <w:proofErr w:type="spellStart"/>
            <w:r w:rsidRPr="008D4EB1">
              <w:rPr>
                <w:rFonts w:ascii="Arial" w:eastAsia="MS Mincho" w:hAnsi="Arial" w:cs="Arial"/>
                <w:b/>
                <w:sz w:val="14"/>
                <w:szCs w:val="18"/>
              </w:rPr>
              <w:t>Consolidated</w:t>
            </w:r>
            <w:proofErr w:type="spellEnd"/>
          </w:p>
        </w:tc>
      </w:tr>
      <w:tr w:rsidR="008D4EB1" w:rsidRPr="008D4EB1" w14:paraId="7C1C1B41" w14:textId="77777777" w:rsidTr="008D4EB1">
        <w:trPr>
          <w:trHeight w:val="238"/>
        </w:trPr>
        <w:tc>
          <w:tcPr>
            <w:tcW w:w="3094" w:type="dxa"/>
            <w:tcBorders>
              <w:bottom w:val="single" w:sz="2" w:space="0" w:color="1F4E79"/>
            </w:tcBorders>
            <w:shd w:val="clear" w:color="auto" w:fill="auto"/>
          </w:tcPr>
          <w:p w14:paraId="643FFA7E"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bottom w:val="single" w:sz="2" w:space="0" w:color="1F4E79"/>
            </w:tcBorders>
            <w:shd w:val="clear" w:color="auto" w:fill="auto"/>
          </w:tcPr>
          <w:p w14:paraId="05798FF0"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2393ADB3"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31, 2024</w:t>
            </w:r>
          </w:p>
        </w:tc>
        <w:tc>
          <w:tcPr>
            <w:tcW w:w="1412" w:type="dxa"/>
            <w:tcBorders>
              <w:top w:val="single" w:sz="2" w:space="0" w:color="1F4E79"/>
              <w:bottom w:val="single" w:sz="2" w:space="0" w:color="1F4E79"/>
            </w:tcBorders>
            <w:shd w:val="clear" w:color="auto" w:fill="auto"/>
            <w:vAlign w:val="center"/>
          </w:tcPr>
          <w:p w14:paraId="737B78C0"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31, 2023</w:t>
            </w:r>
          </w:p>
        </w:tc>
        <w:tc>
          <w:tcPr>
            <w:tcW w:w="283" w:type="dxa"/>
            <w:tcBorders>
              <w:bottom w:val="single" w:sz="2" w:space="0" w:color="1F4E79"/>
            </w:tcBorders>
            <w:shd w:val="clear" w:color="auto" w:fill="auto"/>
            <w:vAlign w:val="center"/>
          </w:tcPr>
          <w:p w14:paraId="62D45DF3"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08252B64"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31, 2024</w:t>
            </w:r>
          </w:p>
        </w:tc>
        <w:tc>
          <w:tcPr>
            <w:tcW w:w="1418" w:type="dxa"/>
            <w:tcBorders>
              <w:top w:val="single" w:sz="2" w:space="0" w:color="1F4E79"/>
              <w:bottom w:val="single" w:sz="2" w:space="0" w:color="1F4E79"/>
            </w:tcBorders>
            <w:shd w:val="clear" w:color="auto" w:fill="auto"/>
            <w:vAlign w:val="center"/>
          </w:tcPr>
          <w:p w14:paraId="14FE5553"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8"/>
                <w:lang w:eastAsia="pt-BR"/>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31, 2023</w:t>
            </w:r>
          </w:p>
        </w:tc>
      </w:tr>
      <w:tr w:rsidR="008D4EB1" w:rsidRPr="008D4EB1" w14:paraId="78219CC5" w14:textId="77777777" w:rsidTr="008D4EB1">
        <w:trPr>
          <w:trHeight w:val="238"/>
        </w:trPr>
        <w:tc>
          <w:tcPr>
            <w:tcW w:w="3094" w:type="dxa"/>
            <w:tcBorders>
              <w:top w:val="single" w:sz="2" w:space="0" w:color="1F4E79"/>
            </w:tcBorders>
            <w:shd w:val="clear" w:color="auto" w:fill="auto"/>
          </w:tcPr>
          <w:p w14:paraId="5D4E7F1A" w14:textId="77777777" w:rsidR="008D4EB1" w:rsidRPr="008D4EB1" w:rsidRDefault="008D4EB1" w:rsidP="008D4EB1">
            <w:pPr>
              <w:keepNext/>
              <w:keepLines/>
              <w:spacing w:before="40" w:after="40" w:line="240" w:lineRule="auto"/>
              <w:rPr>
                <w:rFonts w:ascii="Arial" w:eastAsia="Times New Roman" w:hAnsi="Arial" w:cs="Arial"/>
                <w:b/>
                <w:bCs/>
                <w:spacing w:val="-2"/>
                <w:sz w:val="14"/>
                <w:szCs w:val="14"/>
                <w:lang w:eastAsia="pt-BR"/>
              </w:rPr>
            </w:pPr>
            <w:proofErr w:type="spellStart"/>
            <w:r w:rsidRPr="008D4EB1">
              <w:rPr>
                <w:rFonts w:ascii="Arial" w:eastAsia="Times New Roman" w:hAnsi="Arial" w:cs="Arial"/>
                <w:b/>
                <w:spacing w:val="-2"/>
                <w:sz w:val="14"/>
                <w:szCs w:val="14"/>
                <w:lang w:eastAsia="pt-BR"/>
              </w:rPr>
              <w:t>Current</w:t>
            </w:r>
            <w:proofErr w:type="spellEnd"/>
            <w:r w:rsidRPr="008D4EB1">
              <w:rPr>
                <w:rFonts w:ascii="Arial" w:eastAsia="Times New Roman" w:hAnsi="Arial" w:cs="Arial"/>
                <w:b/>
                <w:spacing w:val="-2"/>
                <w:sz w:val="14"/>
                <w:szCs w:val="14"/>
                <w:lang w:eastAsia="pt-BR"/>
              </w:rPr>
              <w:t xml:space="preserve"> </w:t>
            </w:r>
            <w:proofErr w:type="spellStart"/>
            <w:r w:rsidRPr="008D4EB1">
              <w:rPr>
                <w:rFonts w:ascii="Arial" w:eastAsia="Times New Roman" w:hAnsi="Arial" w:cs="Arial"/>
                <w:b/>
                <w:spacing w:val="-2"/>
                <w:sz w:val="14"/>
                <w:szCs w:val="14"/>
                <w:lang w:eastAsia="pt-BR"/>
              </w:rPr>
              <w:t>Assets</w:t>
            </w:r>
            <w:proofErr w:type="spellEnd"/>
          </w:p>
        </w:tc>
        <w:tc>
          <w:tcPr>
            <w:tcW w:w="604" w:type="dxa"/>
            <w:tcBorders>
              <w:top w:val="single" w:sz="2" w:space="0" w:color="1F4E79"/>
            </w:tcBorders>
            <w:shd w:val="clear" w:color="auto" w:fill="auto"/>
          </w:tcPr>
          <w:p w14:paraId="276EF744" w14:textId="77777777" w:rsidR="008D4EB1" w:rsidRPr="008D4EB1" w:rsidRDefault="008D4EB1" w:rsidP="008D4EB1">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tcBorders>
            <w:shd w:val="clear" w:color="auto" w:fill="auto"/>
            <w:vAlign w:val="center"/>
          </w:tcPr>
          <w:p w14:paraId="6710B7FA"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10,935</w:t>
            </w:r>
          </w:p>
        </w:tc>
        <w:tc>
          <w:tcPr>
            <w:tcW w:w="1412" w:type="dxa"/>
            <w:tcBorders>
              <w:top w:val="single" w:sz="2" w:space="0" w:color="1F4E79"/>
            </w:tcBorders>
            <w:shd w:val="clear" w:color="auto" w:fill="auto"/>
            <w:vAlign w:val="center"/>
          </w:tcPr>
          <w:p w14:paraId="076EEE94"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13,526</w:t>
            </w:r>
          </w:p>
        </w:tc>
        <w:tc>
          <w:tcPr>
            <w:tcW w:w="283" w:type="dxa"/>
            <w:tcBorders>
              <w:top w:val="single" w:sz="2" w:space="0" w:color="1F4E79"/>
            </w:tcBorders>
            <w:shd w:val="clear" w:color="auto" w:fill="auto"/>
            <w:vAlign w:val="center"/>
          </w:tcPr>
          <w:p w14:paraId="45C367CD"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tcBorders>
            <w:shd w:val="clear" w:color="auto" w:fill="auto"/>
            <w:vAlign w:val="center"/>
          </w:tcPr>
          <w:p w14:paraId="7471FA9D"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3,258</w:t>
            </w:r>
          </w:p>
        </w:tc>
        <w:tc>
          <w:tcPr>
            <w:tcW w:w="1418" w:type="dxa"/>
            <w:tcBorders>
              <w:top w:val="single" w:sz="2" w:space="0" w:color="1F4E79"/>
            </w:tcBorders>
            <w:shd w:val="clear" w:color="auto" w:fill="auto"/>
            <w:vAlign w:val="center"/>
          </w:tcPr>
          <w:p w14:paraId="53A83C64"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9,911</w:t>
            </w:r>
          </w:p>
        </w:tc>
      </w:tr>
      <w:tr w:rsidR="008D4EB1" w:rsidRPr="008D4EB1" w14:paraId="0E01E856" w14:textId="77777777" w:rsidTr="008D4EB1">
        <w:trPr>
          <w:trHeight w:val="238"/>
        </w:trPr>
        <w:tc>
          <w:tcPr>
            <w:tcW w:w="3094" w:type="dxa"/>
            <w:shd w:val="clear" w:color="auto" w:fill="auto"/>
          </w:tcPr>
          <w:p w14:paraId="3C88269B" w14:textId="77777777" w:rsidR="008D4EB1" w:rsidRPr="008D4EB1" w:rsidRDefault="008D4EB1" w:rsidP="008D4EB1">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8D4EB1">
              <w:rPr>
                <w:rFonts w:ascii="Arial" w:eastAsia="Times New Roman" w:hAnsi="Arial" w:cs="Arial"/>
                <w:spacing w:val="-2"/>
                <w:sz w:val="14"/>
                <w:szCs w:val="14"/>
                <w:lang w:eastAsia="pt-BR"/>
              </w:rPr>
              <w:t>Receivables</w:t>
            </w:r>
            <w:proofErr w:type="spellEnd"/>
            <w:r w:rsidRPr="008D4EB1">
              <w:rPr>
                <w:rFonts w:ascii="Arial" w:eastAsia="Times New Roman" w:hAnsi="Arial" w:cs="Arial"/>
                <w:spacing w:val="-2"/>
                <w:sz w:val="14"/>
                <w:szCs w:val="14"/>
                <w:lang w:eastAsia="pt-BR"/>
              </w:rPr>
              <w:t xml:space="preserve"> </w:t>
            </w:r>
            <w:proofErr w:type="spellStart"/>
            <w:r w:rsidRPr="008D4EB1">
              <w:rPr>
                <w:rFonts w:ascii="Arial" w:eastAsia="Times New Roman" w:hAnsi="Arial" w:cs="Arial"/>
                <w:spacing w:val="-2"/>
                <w:sz w:val="14"/>
                <w:szCs w:val="14"/>
                <w:lang w:eastAsia="pt-BR"/>
              </w:rPr>
              <w:t>from</w:t>
            </w:r>
            <w:proofErr w:type="spellEnd"/>
            <w:r w:rsidRPr="008D4EB1">
              <w:rPr>
                <w:rFonts w:ascii="Arial" w:eastAsia="Times New Roman" w:hAnsi="Arial" w:cs="Arial"/>
                <w:spacing w:val="-2"/>
                <w:sz w:val="14"/>
                <w:szCs w:val="14"/>
                <w:lang w:eastAsia="pt-BR"/>
              </w:rPr>
              <w:t xml:space="preserve"> </w:t>
            </w:r>
            <w:proofErr w:type="spellStart"/>
            <w:r w:rsidRPr="008D4EB1">
              <w:rPr>
                <w:rFonts w:ascii="Arial" w:eastAsia="Times New Roman" w:hAnsi="Arial" w:cs="Arial"/>
                <w:spacing w:val="-2"/>
                <w:sz w:val="14"/>
                <w:szCs w:val="14"/>
                <w:lang w:eastAsia="pt-BR"/>
              </w:rPr>
              <w:t>related</w:t>
            </w:r>
            <w:proofErr w:type="spellEnd"/>
            <w:r w:rsidRPr="008D4EB1">
              <w:rPr>
                <w:rFonts w:ascii="Arial" w:eastAsia="Times New Roman" w:hAnsi="Arial" w:cs="Arial"/>
                <w:spacing w:val="-2"/>
                <w:sz w:val="14"/>
                <w:szCs w:val="14"/>
                <w:lang w:eastAsia="pt-BR"/>
              </w:rPr>
              <w:t xml:space="preserve"> </w:t>
            </w:r>
            <w:proofErr w:type="spellStart"/>
            <w:r w:rsidRPr="008D4EB1">
              <w:rPr>
                <w:rFonts w:ascii="Arial" w:eastAsia="Times New Roman" w:hAnsi="Arial" w:cs="Arial"/>
                <w:spacing w:val="-2"/>
                <w:sz w:val="14"/>
                <w:szCs w:val="14"/>
                <w:lang w:eastAsia="pt-BR"/>
              </w:rPr>
              <w:t>comparies</w:t>
            </w:r>
            <w:proofErr w:type="spellEnd"/>
            <w:r w:rsidRPr="008D4EB1">
              <w:rPr>
                <w:rFonts w:ascii="Arial" w:eastAsia="Times New Roman" w:hAnsi="Arial" w:cs="Arial"/>
                <w:spacing w:val="-2"/>
                <w:sz w:val="14"/>
                <w:szCs w:val="14"/>
                <w:vertAlign w:val="superscript"/>
                <w:lang w:eastAsia="pt-BR"/>
              </w:rPr>
              <w:t xml:space="preserve"> (1)</w:t>
            </w:r>
          </w:p>
        </w:tc>
        <w:tc>
          <w:tcPr>
            <w:tcW w:w="604" w:type="dxa"/>
            <w:shd w:val="clear" w:color="auto" w:fill="auto"/>
          </w:tcPr>
          <w:p w14:paraId="4E3DD7A8" w14:textId="77777777" w:rsidR="008D4EB1" w:rsidRPr="008D4EB1" w:rsidRDefault="008D4EB1" w:rsidP="008D4EB1">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35872F95"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10,799</w:t>
            </w:r>
          </w:p>
        </w:tc>
        <w:tc>
          <w:tcPr>
            <w:tcW w:w="1412" w:type="dxa"/>
            <w:shd w:val="clear" w:color="auto" w:fill="auto"/>
            <w:vAlign w:val="center"/>
          </w:tcPr>
          <w:p w14:paraId="1E394205"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10,417</w:t>
            </w:r>
          </w:p>
        </w:tc>
        <w:tc>
          <w:tcPr>
            <w:tcW w:w="283" w:type="dxa"/>
            <w:shd w:val="clear" w:color="auto" w:fill="auto"/>
            <w:vAlign w:val="center"/>
          </w:tcPr>
          <w:p w14:paraId="15A679F5"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EA17210"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3,196</w:t>
            </w:r>
          </w:p>
        </w:tc>
        <w:tc>
          <w:tcPr>
            <w:tcW w:w="1418" w:type="dxa"/>
            <w:shd w:val="clear" w:color="auto" w:fill="auto"/>
            <w:vAlign w:val="center"/>
          </w:tcPr>
          <w:p w14:paraId="02A1A349"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6,788</w:t>
            </w:r>
          </w:p>
        </w:tc>
      </w:tr>
      <w:tr w:rsidR="008D4EB1" w:rsidRPr="008D4EB1" w14:paraId="5B33ADCD" w14:textId="77777777" w:rsidTr="008D4EB1">
        <w:trPr>
          <w:trHeight w:val="238"/>
        </w:trPr>
        <w:tc>
          <w:tcPr>
            <w:tcW w:w="3094" w:type="dxa"/>
            <w:shd w:val="clear" w:color="auto" w:fill="auto"/>
          </w:tcPr>
          <w:p w14:paraId="7A3AE34A" w14:textId="77777777" w:rsidR="008D4EB1" w:rsidRPr="008D4EB1" w:rsidRDefault="008D4EB1" w:rsidP="008D4EB1">
            <w:pPr>
              <w:keepNext/>
              <w:keepLines/>
              <w:spacing w:before="40" w:after="40" w:line="240" w:lineRule="auto"/>
              <w:ind w:left="113"/>
              <w:rPr>
                <w:rFonts w:ascii="Arial" w:eastAsia="Times New Roman" w:hAnsi="Arial" w:cs="Arial"/>
                <w:spacing w:val="-2"/>
                <w:sz w:val="14"/>
                <w:szCs w:val="14"/>
                <w:lang w:eastAsia="pt-BR"/>
              </w:rPr>
            </w:pPr>
            <w:proofErr w:type="spellStart"/>
            <w:r w:rsidRPr="008D4EB1">
              <w:rPr>
                <w:rFonts w:ascii="Arial" w:eastAsia="Times New Roman" w:hAnsi="Arial" w:cs="Arial"/>
                <w:spacing w:val="-2"/>
                <w:sz w:val="14"/>
                <w:szCs w:val="14"/>
                <w:lang w:eastAsia="pt-BR"/>
              </w:rPr>
              <w:t>Receivables</w:t>
            </w:r>
            <w:proofErr w:type="spellEnd"/>
            <w:r w:rsidRPr="008D4EB1">
              <w:rPr>
                <w:rFonts w:ascii="Arial" w:eastAsia="Times New Roman" w:hAnsi="Arial" w:cs="Arial"/>
                <w:spacing w:val="-2"/>
                <w:sz w:val="14"/>
                <w:szCs w:val="14"/>
                <w:lang w:eastAsia="pt-BR"/>
              </w:rPr>
              <w:t xml:space="preserve"> </w:t>
            </w:r>
            <w:proofErr w:type="spellStart"/>
            <w:r w:rsidRPr="008D4EB1">
              <w:rPr>
                <w:rFonts w:ascii="Arial" w:eastAsia="Times New Roman" w:hAnsi="Arial" w:cs="Arial"/>
                <w:spacing w:val="-2"/>
                <w:sz w:val="14"/>
                <w:szCs w:val="14"/>
                <w:lang w:eastAsia="pt-BR"/>
              </w:rPr>
              <w:t>from</w:t>
            </w:r>
            <w:proofErr w:type="spellEnd"/>
            <w:r w:rsidRPr="008D4EB1">
              <w:rPr>
                <w:rFonts w:ascii="Arial" w:eastAsia="Times New Roman" w:hAnsi="Arial" w:cs="Arial"/>
                <w:spacing w:val="-2"/>
                <w:sz w:val="14"/>
                <w:szCs w:val="14"/>
                <w:lang w:eastAsia="pt-BR"/>
              </w:rPr>
              <w:t xml:space="preserve"> ADR</w:t>
            </w:r>
          </w:p>
        </w:tc>
        <w:tc>
          <w:tcPr>
            <w:tcW w:w="604" w:type="dxa"/>
            <w:shd w:val="clear" w:color="auto" w:fill="auto"/>
          </w:tcPr>
          <w:p w14:paraId="402E79A1" w14:textId="77777777" w:rsidR="008D4EB1" w:rsidRPr="008D4EB1" w:rsidRDefault="008D4EB1" w:rsidP="008D4EB1">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51FCF71E"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w:t>
            </w:r>
          </w:p>
        </w:tc>
        <w:tc>
          <w:tcPr>
            <w:tcW w:w="1412" w:type="dxa"/>
            <w:shd w:val="clear" w:color="auto" w:fill="auto"/>
            <w:vAlign w:val="center"/>
          </w:tcPr>
          <w:p w14:paraId="70A12DBC"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2,994</w:t>
            </w:r>
          </w:p>
        </w:tc>
        <w:tc>
          <w:tcPr>
            <w:tcW w:w="283" w:type="dxa"/>
            <w:shd w:val="clear" w:color="auto" w:fill="auto"/>
            <w:vAlign w:val="center"/>
          </w:tcPr>
          <w:p w14:paraId="72647E74"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14541D68"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w:t>
            </w:r>
          </w:p>
        </w:tc>
        <w:tc>
          <w:tcPr>
            <w:tcW w:w="1418" w:type="dxa"/>
            <w:shd w:val="clear" w:color="auto" w:fill="auto"/>
            <w:vAlign w:val="center"/>
          </w:tcPr>
          <w:p w14:paraId="79F8DC98"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2,994</w:t>
            </w:r>
          </w:p>
        </w:tc>
      </w:tr>
      <w:tr w:rsidR="008D4EB1" w:rsidRPr="008D4EB1" w14:paraId="3A4C2840" w14:textId="77777777" w:rsidTr="008D4EB1">
        <w:trPr>
          <w:trHeight w:val="238"/>
        </w:trPr>
        <w:tc>
          <w:tcPr>
            <w:tcW w:w="3094" w:type="dxa"/>
            <w:shd w:val="clear" w:color="auto" w:fill="auto"/>
          </w:tcPr>
          <w:p w14:paraId="689F719A" w14:textId="77777777" w:rsidR="008D4EB1" w:rsidRPr="008D4EB1" w:rsidRDefault="008D4EB1" w:rsidP="008D4EB1">
            <w:pPr>
              <w:keepNext/>
              <w:keepLines/>
              <w:spacing w:before="40" w:after="40" w:line="240" w:lineRule="auto"/>
              <w:ind w:left="113"/>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 xml:space="preserve">Other </w:t>
            </w:r>
          </w:p>
        </w:tc>
        <w:tc>
          <w:tcPr>
            <w:tcW w:w="604" w:type="dxa"/>
            <w:shd w:val="clear" w:color="auto" w:fill="auto"/>
          </w:tcPr>
          <w:p w14:paraId="47D622DF" w14:textId="77777777" w:rsidR="008D4EB1" w:rsidRPr="008D4EB1" w:rsidRDefault="008D4EB1" w:rsidP="008D4EB1">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7D049D80"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136</w:t>
            </w:r>
          </w:p>
        </w:tc>
        <w:tc>
          <w:tcPr>
            <w:tcW w:w="1412" w:type="dxa"/>
            <w:shd w:val="clear" w:color="auto" w:fill="auto"/>
            <w:vAlign w:val="center"/>
          </w:tcPr>
          <w:p w14:paraId="351B2532"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115</w:t>
            </w:r>
          </w:p>
        </w:tc>
        <w:tc>
          <w:tcPr>
            <w:tcW w:w="283" w:type="dxa"/>
            <w:shd w:val="clear" w:color="auto" w:fill="auto"/>
            <w:vAlign w:val="center"/>
          </w:tcPr>
          <w:p w14:paraId="6D6EC601"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4DAF0235"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62</w:t>
            </w:r>
          </w:p>
        </w:tc>
        <w:tc>
          <w:tcPr>
            <w:tcW w:w="1418" w:type="dxa"/>
            <w:shd w:val="clear" w:color="auto" w:fill="auto"/>
            <w:vAlign w:val="center"/>
          </w:tcPr>
          <w:p w14:paraId="4DF4902F"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129</w:t>
            </w:r>
          </w:p>
        </w:tc>
      </w:tr>
      <w:tr w:rsidR="008D4EB1" w:rsidRPr="008D4EB1" w14:paraId="0AA3C7D5" w14:textId="77777777" w:rsidTr="008D4EB1">
        <w:trPr>
          <w:trHeight w:val="238"/>
        </w:trPr>
        <w:tc>
          <w:tcPr>
            <w:tcW w:w="3094" w:type="dxa"/>
            <w:shd w:val="clear" w:color="auto" w:fill="auto"/>
          </w:tcPr>
          <w:p w14:paraId="16B0FC8A" w14:textId="77777777" w:rsidR="008D4EB1" w:rsidRPr="008D4EB1" w:rsidRDefault="008D4EB1" w:rsidP="008D4EB1">
            <w:pPr>
              <w:keepNext/>
              <w:keepLines/>
              <w:spacing w:before="40" w:after="40" w:line="240" w:lineRule="auto"/>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Non-</w:t>
            </w:r>
            <w:proofErr w:type="spellStart"/>
            <w:r w:rsidRPr="008D4EB1">
              <w:rPr>
                <w:rFonts w:ascii="Arial" w:eastAsia="Times New Roman" w:hAnsi="Arial" w:cs="Arial"/>
                <w:b/>
                <w:spacing w:val="-2"/>
                <w:sz w:val="14"/>
                <w:szCs w:val="14"/>
                <w:lang w:eastAsia="pt-BR"/>
              </w:rPr>
              <w:t>Current</w:t>
            </w:r>
            <w:proofErr w:type="spellEnd"/>
            <w:r w:rsidRPr="008D4EB1">
              <w:rPr>
                <w:rFonts w:ascii="Arial" w:eastAsia="Times New Roman" w:hAnsi="Arial" w:cs="Arial"/>
                <w:b/>
                <w:spacing w:val="-2"/>
                <w:sz w:val="14"/>
                <w:szCs w:val="14"/>
                <w:lang w:eastAsia="pt-BR"/>
              </w:rPr>
              <w:t xml:space="preserve"> </w:t>
            </w:r>
            <w:proofErr w:type="spellStart"/>
            <w:r w:rsidRPr="008D4EB1">
              <w:rPr>
                <w:rFonts w:ascii="Arial" w:eastAsia="Times New Roman" w:hAnsi="Arial" w:cs="Arial"/>
                <w:b/>
                <w:spacing w:val="-2"/>
                <w:sz w:val="14"/>
                <w:szCs w:val="14"/>
                <w:lang w:eastAsia="pt-BR"/>
              </w:rPr>
              <w:t>Assets</w:t>
            </w:r>
            <w:proofErr w:type="spellEnd"/>
          </w:p>
        </w:tc>
        <w:tc>
          <w:tcPr>
            <w:tcW w:w="604" w:type="dxa"/>
            <w:shd w:val="clear" w:color="auto" w:fill="auto"/>
          </w:tcPr>
          <w:p w14:paraId="1ED4F315" w14:textId="77777777" w:rsidR="008D4EB1" w:rsidRPr="008D4EB1" w:rsidRDefault="008D4EB1" w:rsidP="008D4EB1">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vAlign w:val="center"/>
          </w:tcPr>
          <w:p w14:paraId="6A7E21E7"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57</w:t>
            </w:r>
          </w:p>
        </w:tc>
        <w:tc>
          <w:tcPr>
            <w:tcW w:w="1412" w:type="dxa"/>
            <w:shd w:val="clear" w:color="auto" w:fill="auto"/>
            <w:vAlign w:val="center"/>
          </w:tcPr>
          <w:p w14:paraId="03E77A61"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49</w:t>
            </w:r>
          </w:p>
        </w:tc>
        <w:tc>
          <w:tcPr>
            <w:tcW w:w="283" w:type="dxa"/>
            <w:shd w:val="clear" w:color="auto" w:fill="auto"/>
            <w:vAlign w:val="center"/>
          </w:tcPr>
          <w:p w14:paraId="624E9E72"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vAlign w:val="center"/>
          </w:tcPr>
          <w:p w14:paraId="7D2178FE"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251,215</w:t>
            </w:r>
          </w:p>
        </w:tc>
        <w:tc>
          <w:tcPr>
            <w:tcW w:w="1418" w:type="dxa"/>
            <w:shd w:val="clear" w:color="auto" w:fill="auto"/>
            <w:vAlign w:val="center"/>
          </w:tcPr>
          <w:p w14:paraId="082B929A"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234,873</w:t>
            </w:r>
          </w:p>
        </w:tc>
      </w:tr>
      <w:tr w:rsidR="008D4EB1" w:rsidRPr="008D4EB1" w14:paraId="686A8701" w14:textId="77777777" w:rsidTr="008D4EB1">
        <w:trPr>
          <w:trHeight w:val="238"/>
        </w:trPr>
        <w:tc>
          <w:tcPr>
            <w:tcW w:w="3094" w:type="dxa"/>
            <w:shd w:val="clear" w:color="auto" w:fill="auto"/>
          </w:tcPr>
          <w:p w14:paraId="4835FE76" w14:textId="77777777" w:rsidR="008D4EB1" w:rsidRPr="008D4EB1" w:rsidRDefault="008D4EB1" w:rsidP="008D4EB1">
            <w:pPr>
              <w:keepNext/>
              <w:keepLines/>
              <w:spacing w:before="40" w:after="40" w:line="240" w:lineRule="auto"/>
              <w:ind w:left="113"/>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 xml:space="preserve">Judicial </w:t>
            </w:r>
            <w:proofErr w:type="spellStart"/>
            <w:r w:rsidRPr="008D4EB1">
              <w:rPr>
                <w:rFonts w:ascii="Arial" w:eastAsia="Times New Roman" w:hAnsi="Arial" w:cs="Arial"/>
                <w:spacing w:val="-2"/>
                <w:sz w:val="14"/>
                <w:szCs w:val="14"/>
                <w:lang w:eastAsia="pt-BR"/>
              </w:rPr>
              <w:t>deposits</w:t>
            </w:r>
            <w:proofErr w:type="spellEnd"/>
            <w:r w:rsidRPr="008D4EB1">
              <w:rPr>
                <w:rFonts w:ascii="Arial" w:eastAsia="Times New Roman" w:hAnsi="Arial" w:cs="Arial"/>
                <w:spacing w:val="-2"/>
                <w:sz w:val="14"/>
                <w:szCs w:val="14"/>
                <w:lang w:eastAsia="pt-BR"/>
              </w:rPr>
              <w:t xml:space="preserve"> </w:t>
            </w:r>
            <w:r w:rsidRPr="008D4EB1">
              <w:rPr>
                <w:rFonts w:ascii="Arial" w:eastAsia="Times New Roman" w:hAnsi="Arial" w:cs="Arial"/>
                <w:spacing w:val="-2"/>
                <w:sz w:val="14"/>
                <w:szCs w:val="14"/>
                <w:vertAlign w:val="superscript"/>
                <w:lang w:eastAsia="pt-BR"/>
              </w:rPr>
              <w:t>(2)</w:t>
            </w:r>
          </w:p>
        </w:tc>
        <w:tc>
          <w:tcPr>
            <w:tcW w:w="604" w:type="dxa"/>
            <w:shd w:val="clear" w:color="auto" w:fill="auto"/>
          </w:tcPr>
          <w:p w14:paraId="5A6FC4AA" w14:textId="77777777" w:rsidR="008D4EB1" w:rsidRPr="008D4EB1" w:rsidRDefault="008D4EB1" w:rsidP="008D4EB1">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0CD898C2"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44</w:t>
            </w:r>
          </w:p>
        </w:tc>
        <w:tc>
          <w:tcPr>
            <w:tcW w:w="1412" w:type="dxa"/>
            <w:shd w:val="clear" w:color="auto" w:fill="auto"/>
            <w:vAlign w:val="center"/>
          </w:tcPr>
          <w:p w14:paraId="6C690CA3"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25</w:t>
            </w:r>
          </w:p>
        </w:tc>
        <w:tc>
          <w:tcPr>
            <w:tcW w:w="283" w:type="dxa"/>
            <w:shd w:val="clear" w:color="auto" w:fill="auto"/>
            <w:vAlign w:val="center"/>
          </w:tcPr>
          <w:p w14:paraId="1516B1F8"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2B6282D"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251,203</w:t>
            </w:r>
          </w:p>
        </w:tc>
        <w:tc>
          <w:tcPr>
            <w:tcW w:w="1418" w:type="dxa"/>
            <w:shd w:val="clear" w:color="auto" w:fill="auto"/>
            <w:vAlign w:val="center"/>
          </w:tcPr>
          <w:p w14:paraId="412FF8D9"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234,849</w:t>
            </w:r>
          </w:p>
        </w:tc>
      </w:tr>
      <w:tr w:rsidR="008D4EB1" w:rsidRPr="008D4EB1" w14:paraId="42083686" w14:textId="77777777" w:rsidTr="008D4EB1">
        <w:trPr>
          <w:trHeight w:val="238"/>
        </w:trPr>
        <w:tc>
          <w:tcPr>
            <w:tcW w:w="3094" w:type="dxa"/>
            <w:tcBorders>
              <w:bottom w:val="nil"/>
            </w:tcBorders>
            <w:shd w:val="clear" w:color="auto" w:fill="auto"/>
          </w:tcPr>
          <w:p w14:paraId="59CA19F6" w14:textId="77777777" w:rsidR="008D4EB1" w:rsidRPr="008D4EB1" w:rsidRDefault="008D4EB1" w:rsidP="008D4EB1">
            <w:pPr>
              <w:keepNext/>
              <w:keepLines/>
              <w:spacing w:before="40" w:after="40" w:line="240" w:lineRule="auto"/>
              <w:ind w:left="113"/>
              <w:rPr>
                <w:rFonts w:ascii="Arial" w:eastAsia="Times New Roman" w:hAnsi="Arial" w:cs="Arial"/>
                <w:spacing w:val="-2"/>
                <w:sz w:val="14"/>
                <w:szCs w:val="14"/>
                <w:vertAlign w:val="superscript"/>
                <w:lang w:eastAsia="pt-BR"/>
              </w:rPr>
            </w:pPr>
            <w:proofErr w:type="spellStart"/>
            <w:r w:rsidRPr="008D4EB1">
              <w:rPr>
                <w:rFonts w:ascii="Arial" w:eastAsia="Times New Roman" w:hAnsi="Arial" w:cs="Arial"/>
                <w:spacing w:val="-2"/>
                <w:sz w:val="14"/>
                <w:szCs w:val="14"/>
                <w:lang w:eastAsia="pt-BR"/>
              </w:rPr>
              <w:t>Fixed</w:t>
            </w:r>
            <w:proofErr w:type="spellEnd"/>
            <w:r w:rsidRPr="008D4EB1">
              <w:rPr>
                <w:rFonts w:ascii="Arial" w:eastAsia="Times New Roman" w:hAnsi="Arial" w:cs="Arial"/>
                <w:spacing w:val="-2"/>
                <w:sz w:val="14"/>
                <w:szCs w:val="14"/>
                <w:lang w:eastAsia="pt-BR"/>
              </w:rPr>
              <w:t xml:space="preserve"> </w:t>
            </w:r>
            <w:proofErr w:type="spellStart"/>
            <w:r w:rsidRPr="008D4EB1">
              <w:rPr>
                <w:rFonts w:ascii="Arial" w:eastAsia="Times New Roman" w:hAnsi="Arial" w:cs="Arial"/>
                <w:spacing w:val="-2"/>
                <w:sz w:val="14"/>
                <w:szCs w:val="14"/>
                <w:lang w:eastAsia="pt-BR"/>
              </w:rPr>
              <w:t>asset</w:t>
            </w:r>
            <w:proofErr w:type="spellEnd"/>
            <w:r w:rsidRPr="008D4EB1">
              <w:rPr>
                <w:rFonts w:ascii="Arial" w:eastAsia="Times New Roman" w:hAnsi="Arial" w:cs="Arial"/>
                <w:spacing w:val="-2"/>
                <w:sz w:val="14"/>
                <w:szCs w:val="14"/>
                <w:lang w:eastAsia="pt-BR"/>
              </w:rPr>
              <w:t xml:space="preserve"> </w:t>
            </w:r>
          </w:p>
        </w:tc>
        <w:tc>
          <w:tcPr>
            <w:tcW w:w="604" w:type="dxa"/>
            <w:tcBorders>
              <w:bottom w:val="nil"/>
            </w:tcBorders>
            <w:shd w:val="clear" w:color="auto" w:fill="auto"/>
          </w:tcPr>
          <w:p w14:paraId="3952E216" w14:textId="77777777" w:rsidR="008D4EB1" w:rsidRPr="008D4EB1" w:rsidRDefault="008D4EB1" w:rsidP="008D4EB1">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3BB8392A"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13</w:t>
            </w:r>
          </w:p>
        </w:tc>
        <w:tc>
          <w:tcPr>
            <w:tcW w:w="1412" w:type="dxa"/>
            <w:tcBorders>
              <w:bottom w:val="nil"/>
            </w:tcBorders>
            <w:shd w:val="clear" w:color="auto" w:fill="auto"/>
            <w:vAlign w:val="center"/>
          </w:tcPr>
          <w:p w14:paraId="2575CB90"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24</w:t>
            </w:r>
          </w:p>
        </w:tc>
        <w:tc>
          <w:tcPr>
            <w:tcW w:w="283" w:type="dxa"/>
            <w:tcBorders>
              <w:bottom w:val="nil"/>
            </w:tcBorders>
            <w:shd w:val="clear" w:color="auto" w:fill="auto"/>
            <w:vAlign w:val="center"/>
          </w:tcPr>
          <w:p w14:paraId="330F1BD8"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65AC00B6"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12</w:t>
            </w:r>
          </w:p>
        </w:tc>
        <w:tc>
          <w:tcPr>
            <w:tcW w:w="1418" w:type="dxa"/>
            <w:tcBorders>
              <w:bottom w:val="nil"/>
            </w:tcBorders>
            <w:shd w:val="clear" w:color="auto" w:fill="auto"/>
            <w:vAlign w:val="center"/>
          </w:tcPr>
          <w:p w14:paraId="12A43EC1" w14:textId="77777777" w:rsidR="008D4EB1" w:rsidRPr="008D4EB1" w:rsidRDefault="008D4EB1" w:rsidP="008D4EB1">
            <w:pPr>
              <w:keepNext/>
              <w:keepLines/>
              <w:spacing w:before="40" w:after="40" w:line="240" w:lineRule="auto"/>
              <w:ind w:left="113"/>
              <w:jc w:val="right"/>
              <w:rPr>
                <w:rFonts w:ascii="Arial" w:eastAsia="Times New Roman" w:hAnsi="Arial" w:cs="Arial"/>
                <w:spacing w:val="-2"/>
                <w:sz w:val="14"/>
                <w:szCs w:val="14"/>
                <w:lang w:eastAsia="pt-BR"/>
              </w:rPr>
            </w:pPr>
            <w:r w:rsidRPr="008D4EB1">
              <w:rPr>
                <w:rFonts w:ascii="Arial" w:eastAsia="Times New Roman" w:hAnsi="Arial" w:cs="Arial"/>
                <w:spacing w:val="-2"/>
                <w:sz w:val="14"/>
                <w:szCs w:val="14"/>
                <w:lang w:eastAsia="pt-BR"/>
              </w:rPr>
              <w:t>24</w:t>
            </w:r>
          </w:p>
        </w:tc>
      </w:tr>
      <w:tr w:rsidR="008D4EB1" w:rsidRPr="008D4EB1" w14:paraId="34AFFEE7" w14:textId="77777777" w:rsidTr="008D4EB1">
        <w:trPr>
          <w:trHeight w:val="238"/>
        </w:trPr>
        <w:tc>
          <w:tcPr>
            <w:tcW w:w="3094" w:type="dxa"/>
            <w:tcBorders>
              <w:top w:val="nil"/>
              <w:bottom w:val="single" w:sz="2" w:space="0" w:color="1F4E79"/>
            </w:tcBorders>
            <w:shd w:val="clear" w:color="auto" w:fill="auto"/>
          </w:tcPr>
          <w:p w14:paraId="5020864D" w14:textId="77777777" w:rsidR="008D4EB1" w:rsidRPr="008D4EB1" w:rsidRDefault="008D4EB1" w:rsidP="008D4EB1">
            <w:pPr>
              <w:keepNext/>
              <w:keepLines/>
              <w:spacing w:before="40" w:after="40" w:line="240" w:lineRule="auto"/>
              <w:rPr>
                <w:rFonts w:ascii="Arial" w:eastAsia="Times New Roman" w:hAnsi="Arial" w:cs="Arial"/>
                <w:b/>
                <w:spacing w:val="-2"/>
                <w:sz w:val="14"/>
                <w:szCs w:val="18"/>
                <w:lang w:eastAsia="pt-BR"/>
              </w:rPr>
            </w:pPr>
            <w:r w:rsidRPr="008D4EB1">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shd w:val="clear" w:color="auto" w:fill="auto"/>
          </w:tcPr>
          <w:p w14:paraId="0ACD06BA" w14:textId="77777777" w:rsidR="008D4EB1" w:rsidRPr="008D4EB1" w:rsidRDefault="008D4EB1" w:rsidP="008D4EB1">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7687BD5F"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10,992</w:t>
            </w:r>
          </w:p>
        </w:tc>
        <w:tc>
          <w:tcPr>
            <w:tcW w:w="1412" w:type="dxa"/>
            <w:tcBorders>
              <w:top w:val="nil"/>
              <w:bottom w:val="single" w:sz="2" w:space="0" w:color="1F4E79"/>
            </w:tcBorders>
            <w:shd w:val="clear" w:color="auto" w:fill="auto"/>
            <w:vAlign w:val="center"/>
          </w:tcPr>
          <w:p w14:paraId="5078E15E"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13,575</w:t>
            </w:r>
          </w:p>
        </w:tc>
        <w:tc>
          <w:tcPr>
            <w:tcW w:w="283" w:type="dxa"/>
            <w:tcBorders>
              <w:top w:val="nil"/>
              <w:bottom w:val="single" w:sz="2" w:space="0" w:color="1F4E79"/>
            </w:tcBorders>
            <w:shd w:val="clear" w:color="auto" w:fill="auto"/>
            <w:vAlign w:val="center"/>
          </w:tcPr>
          <w:p w14:paraId="486AB6BA"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40F0E6C5"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254,473</w:t>
            </w:r>
          </w:p>
        </w:tc>
        <w:tc>
          <w:tcPr>
            <w:tcW w:w="1418" w:type="dxa"/>
            <w:tcBorders>
              <w:top w:val="nil"/>
              <w:bottom w:val="single" w:sz="2" w:space="0" w:color="1F4E79"/>
            </w:tcBorders>
            <w:shd w:val="clear" w:color="auto" w:fill="auto"/>
            <w:vAlign w:val="center"/>
          </w:tcPr>
          <w:p w14:paraId="74D1EE4D" w14:textId="77777777" w:rsidR="008D4EB1" w:rsidRPr="008D4EB1" w:rsidRDefault="008D4EB1" w:rsidP="008D4EB1">
            <w:pPr>
              <w:keepNext/>
              <w:keepLines/>
              <w:spacing w:before="40" w:after="40" w:line="240" w:lineRule="auto"/>
              <w:jc w:val="right"/>
              <w:rPr>
                <w:rFonts w:ascii="Arial" w:eastAsia="Times New Roman" w:hAnsi="Arial" w:cs="Arial"/>
                <w:b/>
                <w:spacing w:val="-2"/>
                <w:sz w:val="14"/>
                <w:szCs w:val="14"/>
                <w:lang w:eastAsia="pt-BR"/>
              </w:rPr>
            </w:pPr>
            <w:r w:rsidRPr="008D4EB1">
              <w:rPr>
                <w:rFonts w:ascii="Arial" w:eastAsia="Times New Roman" w:hAnsi="Arial" w:cs="Arial"/>
                <w:b/>
                <w:spacing w:val="-2"/>
                <w:sz w:val="14"/>
                <w:szCs w:val="14"/>
                <w:lang w:eastAsia="pt-BR"/>
              </w:rPr>
              <w:t>244,784</w:t>
            </w:r>
          </w:p>
        </w:tc>
      </w:tr>
    </w:tbl>
    <w:p w14:paraId="5ED2B25E" w14:textId="6772BF4A" w:rsidR="008D4EB1" w:rsidRPr="004C5A7A" w:rsidRDefault="008D4EB1" w:rsidP="008F4525">
      <w:pPr>
        <w:keepLines/>
        <w:numPr>
          <w:ilvl w:val="0"/>
          <w:numId w:val="40"/>
        </w:numPr>
        <w:tabs>
          <w:tab w:val="left" w:pos="284"/>
        </w:tabs>
        <w:spacing w:before="40" w:after="0" w:line="240" w:lineRule="auto"/>
        <w:ind w:left="284" w:hanging="284"/>
        <w:jc w:val="both"/>
        <w:rPr>
          <w:rFonts w:ascii="Arial" w:eastAsia="Times New Roman" w:hAnsi="Arial" w:cs="Arial"/>
          <w:spacing w:val="-2"/>
          <w:sz w:val="14"/>
          <w:szCs w:val="14"/>
          <w:lang w:val="en-US" w:eastAsia="pt-BR"/>
        </w:rPr>
      </w:pPr>
      <w:r w:rsidRPr="004C5A7A">
        <w:rPr>
          <w:rFonts w:ascii="Arial" w:eastAsia="Times New Roman" w:hAnsi="Arial" w:cs="Arial"/>
          <w:spacing w:val="-2"/>
          <w:sz w:val="14"/>
          <w:szCs w:val="14"/>
          <w:lang w:val="en-US" w:eastAsia="pt-BR"/>
        </w:rPr>
        <w:t xml:space="preserve">In the parent company, refers to the reimbursement of apportionment of administrative expenses between BB </w:t>
      </w:r>
      <w:proofErr w:type="spellStart"/>
      <w:r w:rsidRPr="004C5A7A">
        <w:rPr>
          <w:rFonts w:ascii="Arial" w:eastAsia="Times New Roman" w:hAnsi="Arial" w:cs="Arial"/>
          <w:spacing w:val="-2"/>
          <w:sz w:val="14"/>
          <w:szCs w:val="14"/>
          <w:lang w:val="en-US" w:eastAsia="pt-BR"/>
        </w:rPr>
        <w:t>Seguridade</w:t>
      </w:r>
      <w:proofErr w:type="spellEnd"/>
      <w:r w:rsidRPr="004C5A7A">
        <w:rPr>
          <w:rFonts w:ascii="Arial" w:eastAsia="Times New Roman" w:hAnsi="Arial" w:cs="Arial"/>
          <w:spacing w:val="-2"/>
          <w:sz w:val="14"/>
          <w:szCs w:val="14"/>
          <w:lang w:val="en-US" w:eastAsia="pt-BR"/>
        </w:rPr>
        <w:t xml:space="preserve"> and its subsidiaries BB </w:t>
      </w:r>
      <w:proofErr w:type="spellStart"/>
      <w:r w:rsidRPr="004C5A7A">
        <w:rPr>
          <w:rFonts w:ascii="Arial" w:eastAsia="Times New Roman" w:hAnsi="Arial" w:cs="Arial"/>
          <w:spacing w:val="-2"/>
          <w:sz w:val="14"/>
          <w:szCs w:val="14"/>
          <w:lang w:val="en-US" w:eastAsia="pt-BR"/>
        </w:rPr>
        <w:t>Seguros</w:t>
      </w:r>
      <w:proofErr w:type="spellEnd"/>
      <w:r w:rsidRPr="004C5A7A">
        <w:rPr>
          <w:rFonts w:ascii="Arial" w:eastAsia="Times New Roman" w:hAnsi="Arial" w:cs="Arial"/>
          <w:spacing w:val="-2"/>
          <w:sz w:val="14"/>
          <w:szCs w:val="14"/>
          <w:lang w:val="en-US" w:eastAsia="pt-BR"/>
        </w:rPr>
        <w:t xml:space="preserve"> and BB </w:t>
      </w:r>
      <w:proofErr w:type="spellStart"/>
      <w:r w:rsidRPr="004C5A7A">
        <w:rPr>
          <w:rFonts w:ascii="Arial" w:eastAsia="Times New Roman" w:hAnsi="Arial" w:cs="Arial"/>
          <w:spacing w:val="-2"/>
          <w:sz w:val="14"/>
          <w:szCs w:val="14"/>
          <w:lang w:val="en-US" w:eastAsia="pt-BR"/>
        </w:rPr>
        <w:t>Corretora</w:t>
      </w:r>
      <w:proofErr w:type="spellEnd"/>
      <w:r w:rsidRPr="004C5A7A">
        <w:rPr>
          <w:rFonts w:ascii="Arial" w:eastAsia="Times New Roman" w:hAnsi="Arial" w:cs="Arial"/>
          <w:spacing w:val="-2"/>
          <w:sz w:val="14"/>
          <w:szCs w:val="14"/>
          <w:lang w:val="en-US" w:eastAsia="pt-BR"/>
        </w:rPr>
        <w:t xml:space="preserve">. In the consolidated, it includes </w:t>
      </w:r>
      <w:r w:rsidR="00734892" w:rsidRPr="00734892">
        <w:rPr>
          <w:rFonts w:ascii="Arial" w:eastAsia="Times New Roman" w:hAnsi="Arial" w:cs="Arial"/>
          <w:spacing w:val="-2"/>
          <w:sz w:val="14"/>
          <w:szCs w:val="14"/>
          <w:lang w:val="en-US" w:eastAsia="pt-BR"/>
        </w:rPr>
        <w:t xml:space="preserve">the </w:t>
      </w:r>
      <w:r w:rsidRPr="004C5A7A">
        <w:rPr>
          <w:rFonts w:ascii="Arial" w:eastAsia="Times New Roman" w:hAnsi="Arial" w:cs="Arial"/>
          <w:spacing w:val="-2"/>
          <w:sz w:val="14"/>
          <w:szCs w:val="14"/>
          <w:lang w:val="en-US" w:eastAsia="pt-BR"/>
        </w:rPr>
        <w:t xml:space="preserve">amounts receivable </w:t>
      </w:r>
      <w:r w:rsidR="00734892" w:rsidRPr="00734892">
        <w:rPr>
          <w:rFonts w:ascii="Arial" w:eastAsia="Times New Roman" w:hAnsi="Arial" w:cs="Arial"/>
          <w:spacing w:val="-2"/>
          <w:sz w:val="14"/>
          <w:szCs w:val="14"/>
          <w:lang w:val="en-US" w:eastAsia="pt-BR"/>
        </w:rPr>
        <w:t>relating</w:t>
      </w:r>
      <w:r w:rsidRPr="004C5A7A">
        <w:rPr>
          <w:rFonts w:ascii="Arial" w:eastAsia="Times New Roman" w:hAnsi="Arial" w:cs="Arial"/>
          <w:spacing w:val="-2"/>
          <w:sz w:val="14"/>
          <w:szCs w:val="14"/>
          <w:lang w:val="en-US" w:eastAsia="pt-BR"/>
        </w:rPr>
        <w:t xml:space="preserve"> to the </w:t>
      </w:r>
      <w:r w:rsidR="00734892" w:rsidRPr="00734892">
        <w:rPr>
          <w:rFonts w:ascii="Arial" w:eastAsia="Times New Roman" w:hAnsi="Arial" w:cs="Arial"/>
          <w:spacing w:val="-2"/>
          <w:sz w:val="14"/>
          <w:szCs w:val="14"/>
          <w:lang w:val="en-US" w:eastAsia="pt-BR"/>
        </w:rPr>
        <w:t xml:space="preserve">agreement for </w:t>
      </w:r>
      <w:r w:rsidRPr="004C5A7A">
        <w:rPr>
          <w:rFonts w:ascii="Arial" w:eastAsia="Times New Roman" w:hAnsi="Arial" w:cs="Arial"/>
          <w:spacing w:val="-2"/>
          <w:sz w:val="14"/>
          <w:szCs w:val="14"/>
          <w:lang w:val="en-US" w:eastAsia="pt-BR"/>
        </w:rPr>
        <w:t xml:space="preserve">reimbursement </w:t>
      </w:r>
      <w:r w:rsidR="00734892" w:rsidRPr="00734892">
        <w:rPr>
          <w:rFonts w:ascii="Arial" w:eastAsia="Times New Roman" w:hAnsi="Arial" w:cs="Arial"/>
          <w:spacing w:val="-2"/>
          <w:sz w:val="14"/>
          <w:szCs w:val="14"/>
          <w:lang w:val="en-US" w:eastAsia="pt-BR"/>
        </w:rPr>
        <w:t xml:space="preserve">of expenses with commercial campaigns </w:t>
      </w:r>
      <w:r w:rsidRPr="004C5A7A">
        <w:rPr>
          <w:rFonts w:ascii="Arial" w:eastAsia="Times New Roman" w:hAnsi="Arial" w:cs="Arial"/>
          <w:spacing w:val="-2"/>
          <w:sz w:val="14"/>
          <w:szCs w:val="14"/>
          <w:lang w:val="en-US" w:eastAsia="pt-BR"/>
        </w:rPr>
        <w:t xml:space="preserve">entered between BB </w:t>
      </w:r>
      <w:proofErr w:type="spellStart"/>
      <w:r w:rsidRPr="004C5A7A">
        <w:rPr>
          <w:rFonts w:ascii="Arial" w:eastAsia="Times New Roman" w:hAnsi="Arial" w:cs="Arial"/>
          <w:spacing w:val="-2"/>
          <w:sz w:val="14"/>
          <w:szCs w:val="14"/>
          <w:lang w:val="en-US" w:eastAsia="pt-BR"/>
        </w:rPr>
        <w:t>Corretora</w:t>
      </w:r>
      <w:proofErr w:type="spellEnd"/>
      <w:r w:rsidRPr="004C5A7A">
        <w:rPr>
          <w:rFonts w:ascii="Arial" w:eastAsia="Times New Roman" w:hAnsi="Arial" w:cs="Arial"/>
          <w:spacing w:val="-2"/>
          <w:sz w:val="14"/>
          <w:szCs w:val="14"/>
          <w:lang w:val="en-US" w:eastAsia="pt-BR"/>
        </w:rPr>
        <w:t xml:space="preserve">, </w:t>
      </w:r>
      <w:proofErr w:type="spellStart"/>
      <w:r w:rsidRPr="004C5A7A">
        <w:rPr>
          <w:rFonts w:ascii="Arial" w:eastAsia="Times New Roman" w:hAnsi="Arial" w:cs="Arial"/>
          <w:spacing w:val="-2"/>
          <w:sz w:val="14"/>
          <w:szCs w:val="14"/>
          <w:lang w:val="en-US" w:eastAsia="pt-BR"/>
        </w:rPr>
        <w:t>Brasilseg</w:t>
      </w:r>
      <w:proofErr w:type="spellEnd"/>
      <w:r w:rsidRPr="004C5A7A">
        <w:rPr>
          <w:rFonts w:ascii="Arial" w:eastAsia="Times New Roman" w:hAnsi="Arial" w:cs="Arial"/>
          <w:spacing w:val="-2"/>
          <w:sz w:val="14"/>
          <w:szCs w:val="14"/>
          <w:lang w:val="en-US" w:eastAsia="pt-BR"/>
        </w:rPr>
        <w:t xml:space="preserve"> and </w:t>
      </w:r>
      <w:proofErr w:type="spellStart"/>
      <w:r w:rsidRPr="004C5A7A">
        <w:rPr>
          <w:rFonts w:ascii="Arial" w:eastAsia="Times New Roman" w:hAnsi="Arial" w:cs="Arial"/>
          <w:spacing w:val="-2"/>
          <w:sz w:val="14"/>
          <w:szCs w:val="14"/>
          <w:lang w:val="en-US" w:eastAsia="pt-BR"/>
        </w:rPr>
        <w:t>Aliança</w:t>
      </w:r>
      <w:proofErr w:type="spellEnd"/>
      <w:r w:rsidRPr="004C5A7A">
        <w:rPr>
          <w:rFonts w:ascii="Arial" w:eastAsia="Times New Roman" w:hAnsi="Arial" w:cs="Arial"/>
          <w:spacing w:val="-2"/>
          <w:sz w:val="14"/>
          <w:szCs w:val="14"/>
          <w:lang w:val="en-US" w:eastAsia="pt-BR"/>
        </w:rPr>
        <w:t xml:space="preserve"> do </w:t>
      </w:r>
      <w:proofErr w:type="spellStart"/>
      <w:r w:rsidRPr="004C5A7A">
        <w:rPr>
          <w:rFonts w:ascii="Arial" w:eastAsia="Times New Roman" w:hAnsi="Arial" w:cs="Arial"/>
          <w:spacing w:val="-2"/>
          <w:sz w:val="14"/>
          <w:szCs w:val="14"/>
          <w:lang w:val="en-US" w:eastAsia="pt-BR"/>
        </w:rPr>
        <w:t>Brasil</w:t>
      </w:r>
      <w:proofErr w:type="spellEnd"/>
      <w:r w:rsidRPr="004C5A7A">
        <w:rPr>
          <w:rFonts w:ascii="Arial" w:eastAsia="Times New Roman" w:hAnsi="Arial" w:cs="Arial"/>
          <w:spacing w:val="-2"/>
          <w:sz w:val="14"/>
          <w:szCs w:val="14"/>
          <w:lang w:val="en-US" w:eastAsia="pt-BR"/>
        </w:rPr>
        <w:t xml:space="preserve"> </w:t>
      </w:r>
      <w:proofErr w:type="spellStart"/>
      <w:r w:rsidRPr="004C5A7A">
        <w:rPr>
          <w:rFonts w:ascii="Arial" w:eastAsia="Times New Roman" w:hAnsi="Arial" w:cs="Arial"/>
          <w:spacing w:val="-2"/>
          <w:sz w:val="14"/>
          <w:szCs w:val="14"/>
          <w:lang w:val="en-US" w:eastAsia="pt-BR"/>
        </w:rPr>
        <w:t>Seguros</w:t>
      </w:r>
      <w:proofErr w:type="spellEnd"/>
      <w:r w:rsidRPr="004C5A7A">
        <w:rPr>
          <w:rFonts w:ascii="Arial" w:eastAsia="Times New Roman" w:hAnsi="Arial" w:cs="Arial"/>
          <w:spacing w:val="-2"/>
          <w:sz w:val="14"/>
          <w:szCs w:val="14"/>
          <w:lang w:val="en-US" w:eastAsia="pt-BR"/>
        </w:rPr>
        <w:t>.</w:t>
      </w:r>
    </w:p>
    <w:p w14:paraId="5411A0CE" w14:textId="77777777" w:rsidR="008D4EB1" w:rsidRPr="004C5A7A" w:rsidRDefault="008D4EB1" w:rsidP="00443D0C">
      <w:pPr>
        <w:keepLines/>
        <w:numPr>
          <w:ilvl w:val="0"/>
          <w:numId w:val="40"/>
        </w:numPr>
        <w:tabs>
          <w:tab w:val="left" w:pos="284"/>
        </w:tabs>
        <w:spacing w:before="40" w:after="0" w:line="240" w:lineRule="auto"/>
        <w:ind w:left="284" w:hanging="284"/>
        <w:jc w:val="both"/>
        <w:rPr>
          <w:rFonts w:ascii="Arial" w:eastAsia="Times New Roman" w:hAnsi="Arial" w:cs="Arial"/>
          <w:spacing w:val="-2"/>
          <w:sz w:val="14"/>
          <w:szCs w:val="14"/>
          <w:lang w:val="en-US" w:eastAsia="pt-BR"/>
        </w:rPr>
      </w:pPr>
      <w:r w:rsidRPr="004C5A7A">
        <w:rPr>
          <w:rFonts w:ascii="Arial" w:eastAsia="Times New Roman" w:hAnsi="Arial" w:cs="Arial"/>
          <w:spacing w:val="-2"/>
          <w:sz w:val="14"/>
          <w:szCs w:val="14"/>
          <w:lang w:val="en-US" w:eastAsia="pt-BR"/>
        </w:rPr>
        <w:t>It refers, mainly, to a lawsuit of a fiscal nature, with the purpose of annulling an administrative decision that did not ratify declarations of compensation of negative balances of IRPJ with several taxes of its own. The updated value of the referred judicial deposit is R$ 184,132 thousand (R$ 175,555 thousand on December 31, 2023), monetary restatement using the SELIC rate.</w:t>
      </w:r>
    </w:p>
    <w:p w14:paraId="233FC229" w14:textId="77777777" w:rsidR="008D4EB1" w:rsidRPr="004C5A7A" w:rsidRDefault="008D4EB1" w:rsidP="008D4EB1">
      <w:pPr>
        <w:rPr>
          <w:rFonts w:ascii="Arial" w:hAnsi="Arial" w:cs="Arial"/>
          <w:lang w:val="en-US"/>
        </w:rPr>
      </w:pPr>
    </w:p>
    <w:p w14:paraId="192D05D1" w14:textId="2AD64F5D" w:rsidR="006E7795" w:rsidRPr="00432934" w:rsidRDefault="004725AE" w:rsidP="008E63BC">
      <w:pPr>
        <w:pStyle w:val="Ttulo1"/>
        <w:spacing w:line="259" w:lineRule="auto"/>
        <w:jc w:val="both"/>
        <w:rPr>
          <w:rFonts w:ascii="Arial" w:hAnsi="Arial" w:cs="Arial"/>
          <w:b/>
          <w:color w:val="1F3864" w:themeColor="accent1" w:themeShade="80"/>
          <w:sz w:val="20"/>
          <w:lang w:val="en-US"/>
        </w:rPr>
      </w:pPr>
      <w:bookmarkStart w:id="98" w:name="_Toc149573406"/>
      <w:bookmarkStart w:id="99" w:name="_Toc157446734"/>
      <w:bookmarkStart w:id="100" w:name="_Toc190680642"/>
      <w:r w:rsidRPr="00432934">
        <w:rPr>
          <w:rFonts w:ascii="Arial" w:hAnsi="Arial" w:cs="Arial"/>
          <w:b/>
          <w:color w:val="1F3864" w:themeColor="accent1" w:themeShade="80"/>
          <w:sz w:val="20"/>
          <w:lang w:val="en-US"/>
        </w:rPr>
        <w:lastRenderedPageBreak/>
        <w:t>21 – CORPORATE AND STATUTORY OBLIGATIONS</w:t>
      </w:r>
      <w:bookmarkEnd w:id="98"/>
      <w:bookmarkEnd w:id="99"/>
      <w:bookmarkEnd w:id="100"/>
    </w:p>
    <w:p w14:paraId="4A96F5F6" w14:textId="77777777" w:rsidR="00E93352" w:rsidRPr="00FE52CA" w:rsidRDefault="00E93352" w:rsidP="00D31339">
      <w:pPr>
        <w:pStyle w:val="01-TtulodeNota"/>
        <w:keepNext/>
        <w:spacing w:before="0" w:after="0"/>
        <w:jc w:val="right"/>
        <w:rPr>
          <w:rFonts w:cs="Arial"/>
          <w:sz w:val="14"/>
          <w:szCs w:val="14"/>
          <w:lang w:val="en-US"/>
        </w:rPr>
      </w:pPr>
      <w:r w:rsidRPr="00FE52CA">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E93352" w:rsidRPr="00334399" w14:paraId="5839E0B6" w14:textId="77777777" w:rsidTr="008B6E8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FFFFFF" w:themeFill="background1"/>
          </w:tcPr>
          <w:p w14:paraId="1C66CA1E" w14:textId="77777777" w:rsidR="00E93352" w:rsidRPr="00FE52CA" w:rsidRDefault="00E93352">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FFFFFF" w:themeFill="background1"/>
          </w:tcPr>
          <w:p w14:paraId="2E649C05" w14:textId="77777777" w:rsidR="00E93352" w:rsidRPr="00FE52CA" w:rsidRDefault="00E93352">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FFFFFF" w:themeFill="background1"/>
          </w:tcPr>
          <w:p w14:paraId="64C22B5B" w14:textId="77777777" w:rsidR="00E93352" w:rsidRPr="00334399" w:rsidRDefault="00E93352">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tcBorders>
              <w:top w:val="single" w:sz="4" w:space="0" w:color="auto"/>
              <w:bottom w:val="nil"/>
            </w:tcBorders>
            <w:shd w:val="clear" w:color="auto" w:fill="FFFFFF" w:themeFill="background1"/>
          </w:tcPr>
          <w:p w14:paraId="08061D1A" w14:textId="77777777" w:rsidR="00E93352" w:rsidRPr="00334399" w:rsidRDefault="00E93352">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FFFFFF" w:themeFill="background1"/>
          </w:tcPr>
          <w:p w14:paraId="6D971628" w14:textId="77777777" w:rsidR="00E93352" w:rsidRPr="00334399" w:rsidRDefault="00E93352">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E93352" w:rsidRPr="00334399" w14:paraId="2C754B45" w14:textId="77777777" w:rsidTr="008B6E84">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3F6E7A69" w14:textId="77777777" w:rsidR="00E93352" w:rsidRPr="00334399" w:rsidRDefault="00E93352">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shd w:val="clear" w:color="auto" w:fill="FFFFFF" w:themeFill="background1"/>
          </w:tcPr>
          <w:p w14:paraId="0C5AF540" w14:textId="77777777" w:rsidR="00E93352" w:rsidRPr="00334399" w:rsidRDefault="00E93352">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shd w:val="clear" w:color="auto" w:fill="FFFFFF" w:themeFill="background1"/>
            <w:vAlign w:val="center"/>
          </w:tcPr>
          <w:p w14:paraId="187F4955" w14:textId="208B1C7C" w:rsidR="00E93352" w:rsidRPr="0050132B" w:rsidRDefault="00814A9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w:t>
            </w:r>
            <w:r w:rsidR="00E93352" w:rsidRPr="008D4EB1">
              <w:rPr>
                <w:rFonts w:ascii="Arial" w:eastAsia="Times New Roman" w:hAnsi="Arial" w:cs="Arial"/>
                <w:b/>
                <w:spacing w:val="-2"/>
                <w:sz w:val="14"/>
                <w:szCs w:val="18"/>
                <w:lang w:eastAsia="pt-BR"/>
              </w:rPr>
              <w:t>2024</w:t>
            </w:r>
          </w:p>
        </w:tc>
        <w:tc>
          <w:tcPr>
            <w:tcW w:w="1412" w:type="dxa"/>
            <w:tcBorders>
              <w:bottom w:val="single" w:sz="2" w:space="0" w:color="1F3864" w:themeColor="accent1" w:themeShade="80"/>
            </w:tcBorders>
            <w:shd w:val="clear" w:color="auto" w:fill="FFFFFF" w:themeFill="background1"/>
            <w:vAlign w:val="center"/>
          </w:tcPr>
          <w:p w14:paraId="662CF461" w14:textId="44209028" w:rsidR="00E93352" w:rsidRPr="0050132B" w:rsidRDefault="00814A9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w:t>
            </w:r>
            <w:r w:rsidR="00E93352" w:rsidRPr="008D4EB1">
              <w:rPr>
                <w:rFonts w:ascii="Arial" w:eastAsia="Times New Roman" w:hAnsi="Arial" w:cs="Arial"/>
                <w:b/>
                <w:spacing w:val="-2"/>
                <w:sz w:val="14"/>
                <w:szCs w:val="18"/>
                <w:lang w:eastAsia="pt-BR"/>
              </w:rPr>
              <w:t>2023</w:t>
            </w:r>
          </w:p>
        </w:tc>
        <w:tc>
          <w:tcPr>
            <w:tcW w:w="283" w:type="dxa"/>
            <w:tcBorders>
              <w:top w:val="nil"/>
              <w:bottom w:val="single" w:sz="2" w:space="0" w:color="1F3864" w:themeColor="accent1" w:themeShade="80"/>
            </w:tcBorders>
            <w:shd w:val="clear" w:color="auto" w:fill="FFFFFF" w:themeFill="background1"/>
            <w:vAlign w:val="center"/>
          </w:tcPr>
          <w:p w14:paraId="65A81769" w14:textId="77777777" w:rsidR="00E93352" w:rsidRPr="00334399" w:rsidRDefault="00E9335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shd w:val="clear" w:color="auto" w:fill="FFFFFF" w:themeFill="background1"/>
            <w:vAlign w:val="center"/>
          </w:tcPr>
          <w:p w14:paraId="7C96FFBE" w14:textId="7DB29EFE" w:rsidR="00E93352" w:rsidRPr="00334399" w:rsidRDefault="00814A9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w:t>
            </w:r>
            <w:r w:rsidR="00E93352" w:rsidRPr="008D4EB1">
              <w:rPr>
                <w:rFonts w:ascii="Arial" w:eastAsia="Times New Roman" w:hAnsi="Arial" w:cs="Arial"/>
                <w:b/>
                <w:spacing w:val="-2"/>
                <w:sz w:val="14"/>
                <w:szCs w:val="18"/>
                <w:lang w:eastAsia="pt-BR"/>
              </w:rPr>
              <w:t>2024</w:t>
            </w:r>
          </w:p>
        </w:tc>
        <w:tc>
          <w:tcPr>
            <w:tcW w:w="1418" w:type="dxa"/>
            <w:tcBorders>
              <w:bottom w:val="single" w:sz="2" w:space="0" w:color="1F3864" w:themeColor="accent1" w:themeShade="80"/>
            </w:tcBorders>
            <w:shd w:val="clear" w:color="auto" w:fill="FFFFFF" w:themeFill="background1"/>
            <w:vAlign w:val="center"/>
          </w:tcPr>
          <w:p w14:paraId="47DE0BBE" w14:textId="0188A850" w:rsidR="00E93352" w:rsidRPr="00334399" w:rsidRDefault="00814A9D">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8D4EB1">
              <w:rPr>
                <w:rFonts w:ascii="Arial" w:eastAsia="Times New Roman" w:hAnsi="Arial" w:cs="Arial"/>
                <w:b/>
                <w:spacing w:val="-2"/>
                <w:sz w:val="14"/>
                <w:szCs w:val="18"/>
                <w:lang w:eastAsia="pt-BR"/>
              </w:rPr>
              <w:t>Dec</w:t>
            </w:r>
            <w:proofErr w:type="spellEnd"/>
            <w:r w:rsidRPr="008D4EB1">
              <w:rPr>
                <w:rFonts w:ascii="Arial" w:eastAsia="Times New Roman" w:hAnsi="Arial" w:cs="Arial"/>
                <w:b/>
                <w:spacing w:val="-2"/>
                <w:sz w:val="14"/>
                <w:szCs w:val="18"/>
                <w:lang w:eastAsia="pt-BR"/>
              </w:rPr>
              <w:t xml:space="preserve"> 31, </w:t>
            </w:r>
            <w:r w:rsidR="00E93352" w:rsidRPr="008D4EB1">
              <w:rPr>
                <w:rFonts w:ascii="Arial" w:eastAsia="Times New Roman" w:hAnsi="Arial" w:cs="Arial"/>
                <w:b/>
                <w:spacing w:val="-2"/>
                <w:sz w:val="14"/>
                <w:szCs w:val="18"/>
                <w:lang w:eastAsia="pt-BR"/>
              </w:rPr>
              <w:t>2023</w:t>
            </w:r>
          </w:p>
        </w:tc>
      </w:tr>
      <w:tr w:rsidR="00E93352" w:rsidRPr="00334399" w14:paraId="39CBBA34" w14:textId="77777777" w:rsidTr="008B6E84">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FFFFFF" w:themeFill="background1"/>
          </w:tcPr>
          <w:p w14:paraId="2AD56857" w14:textId="77777777" w:rsidR="00E93352" w:rsidRPr="00DA6411" w:rsidRDefault="00E93352">
            <w:pPr>
              <w:pStyle w:val="08-Tabelageral"/>
              <w:jc w:val="left"/>
              <w:rPr>
                <w:rFonts w:cs="Arial"/>
                <w:b w:val="0"/>
                <w:szCs w:val="14"/>
                <w:vertAlign w:val="superscript"/>
              </w:rPr>
            </w:pPr>
            <w:proofErr w:type="spellStart"/>
            <w:r w:rsidRPr="00334399">
              <w:rPr>
                <w:rFonts w:cs="Arial"/>
                <w:b w:val="0"/>
                <w:szCs w:val="14"/>
              </w:rPr>
              <w:t>Dividend</w:t>
            </w:r>
            <w:r>
              <w:rPr>
                <w:rFonts w:cs="Arial"/>
                <w:b w:val="0"/>
                <w:szCs w:val="14"/>
              </w:rPr>
              <w:t>s</w:t>
            </w:r>
            <w:proofErr w:type="spellEnd"/>
            <w:r w:rsidRPr="00334399">
              <w:rPr>
                <w:rFonts w:cs="Arial"/>
                <w:b w:val="0"/>
                <w:szCs w:val="14"/>
              </w:rPr>
              <w:t xml:space="preserve"> </w:t>
            </w:r>
            <w:proofErr w:type="spellStart"/>
            <w:r w:rsidRPr="00334399">
              <w:rPr>
                <w:rFonts w:cs="Arial"/>
                <w:b w:val="0"/>
                <w:szCs w:val="14"/>
              </w:rPr>
              <w:t>p</w:t>
            </w:r>
            <w:r>
              <w:rPr>
                <w:rFonts w:cs="Arial"/>
                <w:b w:val="0"/>
                <w:szCs w:val="14"/>
              </w:rPr>
              <w:t>ayable</w:t>
            </w:r>
            <w:proofErr w:type="spellEnd"/>
            <w:r>
              <w:rPr>
                <w:rFonts w:cs="Arial"/>
                <w:b w:val="0"/>
                <w:szCs w:val="14"/>
              </w:rPr>
              <w:t xml:space="preserve"> </w:t>
            </w:r>
            <w:r>
              <w:rPr>
                <w:rFonts w:cs="Arial"/>
                <w:b w:val="0"/>
                <w:szCs w:val="14"/>
                <w:vertAlign w:val="superscript"/>
              </w:rPr>
              <w:t>(1)</w:t>
            </w:r>
          </w:p>
        </w:tc>
        <w:tc>
          <w:tcPr>
            <w:tcW w:w="604" w:type="dxa"/>
            <w:tcBorders>
              <w:bottom w:val="nil"/>
            </w:tcBorders>
            <w:shd w:val="clear" w:color="auto" w:fill="FFFFFF" w:themeFill="background1"/>
            <w:vAlign w:val="center"/>
          </w:tcPr>
          <w:p w14:paraId="58109604" w14:textId="77777777" w:rsidR="00E93352" w:rsidRPr="00334399"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FFFFFF" w:themeFill="background1"/>
          </w:tcPr>
          <w:p w14:paraId="0F57EB14" w14:textId="77777777" w:rsidR="00E93352" w:rsidRPr="00334399"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4,411,271</w:t>
            </w:r>
          </w:p>
        </w:tc>
        <w:tc>
          <w:tcPr>
            <w:tcW w:w="1412" w:type="dxa"/>
            <w:tcBorders>
              <w:bottom w:val="nil"/>
            </w:tcBorders>
            <w:shd w:val="clear" w:color="auto" w:fill="FFFFFF" w:themeFill="background1"/>
          </w:tcPr>
          <w:p w14:paraId="3AE206A7" w14:textId="77777777" w:rsidR="00E93352" w:rsidRPr="00334399"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2,455,234</w:t>
            </w:r>
          </w:p>
        </w:tc>
        <w:tc>
          <w:tcPr>
            <w:tcW w:w="283" w:type="dxa"/>
            <w:tcBorders>
              <w:bottom w:val="nil"/>
            </w:tcBorders>
            <w:shd w:val="clear" w:color="auto" w:fill="FFFFFF" w:themeFill="background1"/>
          </w:tcPr>
          <w:p w14:paraId="0C260AD7" w14:textId="77777777" w:rsidR="00E93352" w:rsidRPr="00334399"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FFFFFF" w:themeFill="background1"/>
          </w:tcPr>
          <w:p w14:paraId="2A7A893D" w14:textId="77777777" w:rsidR="00E93352" w:rsidRPr="00334399"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4,411,271</w:t>
            </w:r>
          </w:p>
        </w:tc>
        <w:tc>
          <w:tcPr>
            <w:tcW w:w="1418" w:type="dxa"/>
            <w:tcBorders>
              <w:bottom w:val="nil"/>
            </w:tcBorders>
            <w:shd w:val="clear" w:color="auto" w:fill="FFFFFF" w:themeFill="background1"/>
          </w:tcPr>
          <w:p w14:paraId="39EFA64D" w14:textId="77777777" w:rsidR="00E93352" w:rsidRPr="00334399"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2,455,234</w:t>
            </w:r>
          </w:p>
        </w:tc>
      </w:tr>
      <w:tr w:rsidR="00E93352" w:rsidRPr="00DA6411" w14:paraId="4F21A198" w14:textId="77777777" w:rsidTr="008B6E84">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tcPr>
          <w:p w14:paraId="57B33BC0" w14:textId="77777777" w:rsidR="00E93352" w:rsidRPr="00DA6411" w:rsidRDefault="00E93352">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shd w:val="clear" w:color="auto" w:fill="FFFFFF" w:themeFill="background1"/>
            <w:vAlign w:val="center"/>
          </w:tcPr>
          <w:p w14:paraId="12080CF2" w14:textId="77777777" w:rsidR="00E93352" w:rsidRPr="00DA6411" w:rsidRDefault="00E9335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tcPr>
          <w:p w14:paraId="59E54B5F" w14:textId="77777777" w:rsidR="00E93352" w:rsidRPr="00DA6411" w:rsidRDefault="00E9335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2" w:type="dxa"/>
            <w:tcBorders>
              <w:top w:val="nil"/>
              <w:bottom w:val="nil"/>
            </w:tcBorders>
            <w:shd w:val="clear" w:color="auto" w:fill="FFFFFF" w:themeFill="background1"/>
          </w:tcPr>
          <w:p w14:paraId="4C8962D6" w14:textId="77777777" w:rsidR="00E93352" w:rsidRPr="00DA6411" w:rsidRDefault="00E9335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shd w:val="clear" w:color="auto" w:fill="FFFFFF" w:themeFill="background1"/>
          </w:tcPr>
          <w:p w14:paraId="4DA19817" w14:textId="77777777" w:rsidR="00E93352" w:rsidRPr="00DA6411" w:rsidRDefault="00E9335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tcPr>
          <w:p w14:paraId="4B5476DB" w14:textId="77777777" w:rsidR="00E93352" w:rsidRPr="00DA6411" w:rsidRDefault="00E9335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8" w:type="dxa"/>
            <w:tcBorders>
              <w:top w:val="nil"/>
              <w:bottom w:val="nil"/>
            </w:tcBorders>
            <w:shd w:val="clear" w:color="auto" w:fill="FFFFFF" w:themeFill="background1"/>
          </w:tcPr>
          <w:p w14:paraId="02609ADC" w14:textId="77777777" w:rsidR="00E93352" w:rsidRPr="00DA6411" w:rsidRDefault="00E9335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E93352" w:rsidRPr="00DA6411" w14:paraId="0FA785AC" w14:textId="77777777" w:rsidTr="008B6E84">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FFFFFF" w:themeFill="background1"/>
          </w:tcPr>
          <w:p w14:paraId="58411C7C" w14:textId="77777777" w:rsidR="00E93352" w:rsidRPr="00DA6411" w:rsidRDefault="00E93352">
            <w:pPr>
              <w:pStyle w:val="08-Tabelageral"/>
              <w:ind w:left="-107"/>
              <w:jc w:val="left"/>
              <w:rPr>
                <w:rFonts w:cs="Arial"/>
                <w:szCs w:val="14"/>
              </w:rPr>
            </w:pPr>
            <w:r w:rsidRPr="00DA6411">
              <w:rPr>
                <w:rFonts w:cs="Arial"/>
                <w:szCs w:val="14"/>
              </w:rPr>
              <w:t>Total</w:t>
            </w:r>
          </w:p>
        </w:tc>
        <w:tc>
          <w:tcPr>
            <w:tcW w:w="604" w:type="dxa"/>
            <w:tcBorders>
              <w:top w:val="nil"/>
            </w:tcBorders>
            <w:shd w:val="clear" w:color="auto" w:fill="FFFFFF" w:themeFill="background1"/>
            <w:vAlign w:val="center"/>
          </w:tcPr>
          <w:p w14:paraId="54EEB0D7" w14:textId="77777777" w:rsidR="00E93352" w:rsidRPr="00DA6411"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FFFFFF" w:themeFill="background1"/>
          </w:tcPr>
          <w:p w14:paraId="6403023E" w14:textId="77777777" w:rsidR="00E93352" w:rsidRPr="00DA6411"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c>
          <w:tcPr>
            <w:tcW w:w="1412" w:type="dxa"/>
            <w:tcBorders>
              <w:top w:val="nil"/>
            </w:tcBorders>
            <w:shd w:val="clear" w:color="auto" w:fill="FFFFFF" w:themeFill="background1"/>
          </w:tcPr>
          <w:p w14:paraId="6279F211" w14:textId="77777777" w:rsidR="00E93352" w:rsidRPr="00DA6411"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2,455,309</w:t>
            </w:r>
          </w:p>
        </w:tc>
        <w:tc>
          <w:tcPr>
            <w:tcW w:w="283" w:type="dxa"/>
            <w:tcBorders>
              <w:top w:val="nil"/>
            </w:tcBorders>
            <w:shd w:val="clear" w:color="auto" w:fill="FFFFFF" w:themeFill="background1"/>
          </w:tcPr>
          <w:p w14:paraId="7B486571" w14:textId="77777777" w:rsidR="00E93352" w:rsidRPr="00DA6411"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FFFFFF" w:themeFill="background1"/>
          </w:tcPr>
          <w:p w14:paraId="23689624" w14:textId="77777777" w:rsidR="00E93352" w:rsidRPr="00DA6411"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c>
          <w:tcPr>
            <w:tcW w:w="1418" w:type="dxa"/>
            <w:tcBorders>
              <w:top w:val="nil"/>
            </w:tcBorders>
            <w:shd w:val="clear" w:color="auto" w:fill="FFFFFF" w:themeFill="background1"/>
          </w:tcPr>
          <w:p w14:paraId="7E54A0BE" w14:textId="77777777" w:rsidR="00E93352" w:rsidRPr="00DA6411" w:rsidRDefault="00E93352">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2,455,309</w:t>
            </w:r>
          </w:p>
        </w:tc>
      </w:tr>
    </w:tbl>
    <w:p w14:paraId="28BFD9A6" w14:textId="77777777" w:rsidR="00E93352" w:rsidRPr="00471B01" w:rsidRDefault="00E93352" w:rsidP="005F2CF4">
      <w:pPr>
        <w:pStyle w:val="07-Legenda"/>
        <w:keepNext/>
        <w:numPr>
          <w:ilvl w:val="0"/>
          <w:numId w:val="47"/>
        </w:numPr>
        <w:rPr>
          <w:lang w:val="en-US"/>
        </w:rPr>
      </w:pPr>
      <w:r w:rsidRPr="00471B01">
        <w:rPr>
          <w:lang w:val="en-US"/>
        </w:rPr>
        <w:t>The dividends distributed on Dec 31</w:t>
      </w:r>
      <w:r>
        <w:rPr>
          <w:lang w:val="en-US"/>
        </w:rPr>
        <w:t xml:space="preserve">, </w:t>
      </w:r>
      <w:r w:rsidRPr="00471B01">
        <w:rPr>
          <w:lang w:val="en-US"/>
        </w:rPr>
        <w:t>202</w:t>
      </w:r>
      <w:r>
        <w:rPr>
          <w:lang w:val="en-US"/>
        </w:rPr>
        <w:t>3,</w:t>
      </w:r>
      <w:r w:rsidRPr="00471B01">
        <w:rPr>
          <w:lang w:val="en-US"/>
        </w:rPr>
        <w:t xml:space="preserve"> were paid to the shareholders on </w:t>
      </w:r>
      <w:r>
        <w:rPr>
          <w:lang w:val="en-US"/>
        </w:rPr>
        <w:t>Feb</w:t>
      </w:r>
      <w:r w:rsidRPr="00471B01">
        <w:rPr>
          <w:lang w:val="en-US"/>
        </w:rPr>
        <w:t xml:space="preserve"> </w:t>
      </w:r>
      <w:r>
        <w:rPr>
          <w:lang w:val="en-US"/>
        </w:rPr>
        <w:t xml:space="preserve">22, </w:t>
      </w:r>
      <w:r w:rsidRPr="00471B01">
        <w:rPr>
          <w:lang w:val="en-US"/>
        </w:rPr>
        <w:t>202</w:t>
      </w:r>
      <w:r>
        <w:rPr>
          <w:lang w:val="en-US"/>
        </w:rPr>
        <w:t>4</w:t>
      </w:r>
      <w:r w:rsidRPr="00471B01">
        <w:rPr>
          <w:lang w:val="en-US"/>
        </w:rPr>
        <w:t>.</w:t>
      </w:r>
    </w:p>
    <w:p w14:paraId="630D77B0" w14:textId="77777777" w:rsidR="00E93352" w:rsidRDefault="00E93352" w:rsidP="00E93352">
      <w:pPr>
        <w:pStyle w:val="07-Legenda"/>
        <w:keepNext/>
        <w:rPr>
          <w:lang w:val="en-US"/>
        </w:rPr>
      </w:pPr>
    </w:p>
    <w:p w14:paraId="16B59898" w14:textId="77777777" w:rsidR="00E93352" w:rsidRPr="00EA0521" w:rsidRDefault="00E93352" w:rsidP="00E93352">
      <w:pPr>
        <w:pStyle w:val="05-Textonormal"/>
        <w:rPr>
          <w:b/>
          <w:bCs/>
          <w:lang w:val="en-US"/>
        </w:rPr>
      </w:pPr>
      <w:r w:rsidRPr="00EA0521">
        <w:rPr>
          <w:b/>
          <w:bCs/>
          <w:lang w:val="en-US"/>
        </w:rPr>
        <w:t>Dividends Paid in the Period</w:t>
      </w:r>
    </w:p>
    <w:p w14:paraId="4FABCA25" w14:textId="77777777" w:rsidR="00E93352" w:rsidRPr="00EA0521" w:rsidRDefault="00E93352" w:rsidP="00E93352">
      <w:pPr>
        <w:pStyle w:val="05-Textonormal"/>
        <w:rPr>
          <w:rFonts w:cs="Arial"/>
          <w:lang w:val="en-US"/>
        </w:rPr>
      </w:pPr>
      <w:r w:rsidRPr="00EA0521">
        <w:rPr>
          <w:rFonts w:cs="Arial"/>
          <w:lang w:val="en-US"/>
        </w:rPr>
        <w:t xml:space="preserve">In the period from 01.01 to 09.30.2024, BB </w:t>
      </w:r>
      <w:proofErr w:type="spellStart"/>
      <w:r w:rsidRPr="00EA0521">
        <w:rPr>
          <w:rFonts w:cs="Arial"/>
          <w:lang w:val="en-US"/>
        </w:rPr>
        <w:t>Seguridade</w:t>
      </w:r>
      <w:proofErr w:type="spellEnd"/>
      <w:r w:rsidRPr="00EA0521">
        <w:rPr>
          <w:rFonts w:cs="Arial"/>
          <w:lang w:val="en-US"/>
        </w:rPr>
        <w:t xml:space="preserve"> paid R$ 2,493,350 thousand in dividends related to the 2023 fiscal year (corresponding to profit, discounted from interim dividend advances), plus the respective monetary adjustment, R$ 2,699,970 thousand in interim dividends related to the profit of the 1st half of 2024 and R$ </w:t>
      </w:r>
      <w:r>
        <w:rPr>
          <w:rFonts w:cs="Arial"/>
          <w:lang w:val="en-US"/>
        </w:rPr>
        <w:t>20</w:t>
      </w:r>
      <w:r w:rsidRPr="00EA0521">
        <w:rPr>
          <w:rFonts w:cs="Arial"/>
          <w:lang w:val="en-US"/>
        </w:rPr>
        <w:t xml:space="preserve"> thousand referring to dividends from previous years.</w:t>
      </w:r>
    </w:p>
    <w:p w14:paraId="1A5477FB" w14:textId="396F563F" w:rsidR="008E63BC" w:rsidRDefault="008E63BC" w:rsidP="008E63BC">
      <w:pPr>
        <w:pStyle w:val="Ttulo1"/>
        <w:spacing w:line="259" w:lineRule="auto"/>
        <w:jc w:val="both"/>
        <w:rPr>
          <w:rFonts w:ascii="Arial" w:hAnsi="Arial" w:cs="Arial"/>
          <w:b/>
          <w:color w:val="1F3864" w:themeColor="accent1" w:themeShade="80"/>
          <w:sz w:val="20"/>
          <w:lang w:val="en-US"/>
        </w:rPr>
      </w:pPr>
      <w:bookmarkStart w:id="101" w:name="_Toc149573407"/>
      <w:bookmarkStart w:id="102" w:name="_Toc157446735"/>
      <w:bookmarkStart w:id="103" w:name="_Toc190680643"/>
      <w:r w:rsidRPr="00432934">
        <w:rPr>
          <w:rFonts w:ascii="Arial" w:hAnsi="Arial" w:cs="Arial"/>
          <w:b/>
          <w:color w:val="1F3864" w:themeColor="accent1" w:themeShade="80"/>
          <w:sz w:val="20"/>
          <w:lang w:val="en-US"/>
        </w:rPr>
        <w:t>22 – PROVISIONS AND CONTINGENT LIABILITIES</w:t>
      </w:r>
      <w:bookmarkEnd w:id="101"/>
      <w:bookmarkEnd w:id="102"/>
      <w:bookmarkEnd w:id="103"/>
    </w:p>
    <w:p w14:paraId="11E9C873" w14:textId="5F8F8587" w:rsidR="00136834" w:rsidRPr="00134726" w:rsidRDefault="00136834" w:rsidP="00136834">
      <w:pPr>
        <w:pStyle w:val="05-Textonormal"/>
        <w:rPr>
          <w:b/>
          <w:color w:val="1F3864" w:themeColor="accent1" w:themeShade="80"/>
          <w:lang w:val="en-US"/>
        </w:rPr>
      </w:pPr>
      <w:r>
        <w:rPr>
          <w:b/>
          <w:color w:val="1F3864" w:themeColor="accent1" w:themeShade="80"/>
          <w:lang w:val="en-US"/>
        </w:rPr>
        <w:t>a</w:t>
      </w:r>
      <w:r w:rsidRPr="00134726">
        <w:rPr>
          <w:b/>
          <w:color w:val="1F3864" w:themeColor="accent1" w:themeShade="80"/>
          <w:lang w:val="en-US"/>
        </w:rPr>
        <w:t xml:space="preserve">) </w:t>
      </w:r>
      <w:r w:rsidR="00FA5D01">
        <w:rPr>
          <w:b/>
          <w:color w:val="1F3864" w:themeColor="accent1" w:themeShade="80"/>
          <w:lang w:val="en-US"/>
        </w:rPr>
        <w:t>Provisio</w:t>
      </w:r>
      <w:r w:rsidR="006E752B">
        <w:rPr>
          <w:b/>
          <w:color w:val="1F3864" w:themeColor="accent1" w:themeShade="80"/>
          <w:lang w:val="en-US"/>
        </w:rPr>
        <w:t xml:space="preserve">ns for </w:t>
      </w:r>
      <w:r w:rsidR="00531E3F">
        <w:rPr>
          <w:b/>
          <w:color w:val="1F3864" w:themeColor="accent1" w:themeShade="80"/>
          <w:lang w:val="en-US"/>
        </w:rPr>
        <w:t>c</w:t>
      </w:r>
      <w:r w:rsidRPr="00134726">
        <w:rPr>
          <w:b/>
          <w:color w:val="1F3864" w:themeColor="accent1" w:themeShade="80"/>
          <w:lang w:val="en-US"/>
        </w:rPr>
        <w:t xml:space="preserve">ontingent </w:t>
      </w:r>
      <w:r w:rsidR="00224184">
        <w:rPr>
          <w:b/>
          <w:color w:val="1F3864" w:themeColor="accent1" w:themeShade="80"/>
          <w:lang w:val="en-US"/>
        </w:rPr>
        <w:t>l</w:t>
      </w:r>
      <w:r w:rsidRPr="00134726">
        <w:rPr>
          <w:b/>
          <w:color w:val="1F3864" w:themeColor="accent1" w:themeShade="80"/>
          <w:lang w:val="en-US"/>
        </w:rPr>
        <w:t xml:space="preserve">iabilities </w:t>
      </w:r>
      <w:r w:rsidR="00C30186">
        <w:rPr>
          <w:b/>
          <w:color w:val="1F3864" w:themeColor="accent1" w:themeShade="80"/>
          <w:lang w:val="en-US"/>
        </w:rPr>
        <w:t>–</w:t>
      </w:r>
      <w:r w:rsidRPr="00134726">
        <w:rPr>
          <w:b/>
          <w:color w:val="1F3864" w:themeColor="accent1" w:themeShade="80"/>
          <w:lang w:val="en-US"/>
        </w:rPr>
        <w:t xml:space="preserve"> </w:t>
      </w:r>
      <w:r w:rsidR="00ED231B">
        <w:rPr>
          <w:b/>
          <w:color w:val="1F3864" w:themeColor="accent1" w:themeShade="80"/>
          <w:lang w:val="en-US"/>
        </w:rPr>
        <w:t>p</w:t>
      </w:r>
      <w:r w:rsidRPr="00134726">
        <w:rPr>
          <w:b/>
          <w:color w:val="1F3864" w:themeColor="accent1" w:themeShade="80"/>
          <w:lang w:val="en-US"/>
        </w:rPr>
        <w:t>robable</w:t>
      </w:r>
      <w:r w:rsidR="00C30186">
        <w:rPr>
          <w:b/>
          <w:color w:val="1F3864" w:themeColor="accent1" w:themeShade="80"/>
          <w:lang w:val="en-US"/>
        </w:rPr>
        <w:t xml:space="preserve"> losses</w:t>
      </w:r>
    </w:p>
    <w:p w14:paraId="047C18AC" w14:textId="77777777" w:rsidR="00136834" w:rsidRPr="00134726" w:rsidRDefault="00136834" w:rsidP="00136834">
      <w:pPr>
        <w:pStyle w:val="05-Textonormal"/>
        <w:rPr>
          <w:rFonts w:cs="Arial"/>
          <w:lang w:val="en-US"/>
        </w:rPr>
      </w:pPr>
      <w:bookmarkStart w:id="104"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104"/>
      <w:r w:rsidRPr="00134726">
        <w:rPr>
          <w:rFonts w:cs="Arial"/>
          <w:lang w:val="en-US"/>
        </w:rPr>
        <w:t>.</w:t>
      </w:r>
    </w:p>
    <w:p w14:paraId="27CB3688" w14:textId="77777777" w:rsidR="00136834" w:rsidRPr="00134726" w:rsidRDefault="00136834" w:rsidP="00136834">
      <w:pPr>
        <w:pStyle w:val="05-Textonormal"/>
        <w:rPr>
          <w:rFonts w:cs="Arial"/>
          <w:lang w:val="en-US"/>
        </w:rPr>
      </w:pPr>
      <w:r w:rsidRPr="00134726">
        <w:rPr>
          <w:rFonts w:cs="Arial"/>
          <w:lang w:val="en-US"/>
        </w:rPr>
        <w:t xml:space="preserve">These provisions refer, mainly, to the contingencies recorded in BB </w:t>
      </w:r>
      <w:proofErr w:type="spellStart"/>
      <w:r w:rsidRPr="00134726">
        <w:rPr>
          <w:rFonts w:cs="Arial"/>
          <w:lang w:val="en-US"/>
        </w:rPr>
        <w:t>Corretora</w:t>
      </w:r>
      <w:proofErr w:type="spellEnd"/>
      <w:r w:rsidRPr="00134726">
        <w:rPr>
          <w:rFonts w:cs="Arial"/>
          <w:lang w:val="en-US"/>
        </w:rPr>
        <w:t>.</w:t>
      </w:r>
    </w:p>
    <w:p w14:paraId="39F7D427" w14:textId="77777777" w:rsidR="00136834" w:rsidRPr="004C6ED9" w:rsidRDefault="00136834" w:rsidP="00136834">
      <w:pPr>
        <w:pStyle w:val="06-Rmil"/>
        <w:rPr>
          <w:szCs w:val="14"/>
        </w:rPr>
      </w:pPr>
      <w:r w:rsidRPr="003F32BB">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136834" w:rsidRPr="00127991" w14:paraId="6648FC94" w14:textId="77777777">
        <w:trPr>
          <w:trHeight w:hRule="exact" w:val="238"/>
          <w:jc w:val="center"/>
        </w:trPr>
        <w:tc>
          <w:tcPr>
            <w:tcW w:w="1560" w:type="dxa"/>
            <w:tcBorders>
              <w:bottom w:val="nil"/>
            </w:tcBorders>
            <w:shd w:val="clear" w:color="auto" w:fill="auto"/>
            <w:vAlign w:val="center"/>
          </w:tcPr>
          <w:p w14:paraId="7392A05A" w14:textId="77777777" w:rsidR="00136834" w:rsidRPr="00127991" w:rsidRDefault="00136834">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5B1E81C6" w14:textId="77777777" w:rsidR="00136834" w:rsidRPr="00127991" w:rsidRDefault="00136834">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3C65641E" w14:textId="7AF2CE5D" w:rsidR="00136834" w:rsidRDefault="00136834">
            <w:pPr>
              <w:keepNext/>
              <w:keepLines/>
              <w:spacing w:before="40" w:after="40" w:line="240" w:lineRule="auto"/>
              <w:jc w:val="center"/>
              <w:rPr>
                <w:rFonts w:ascii="Arial" w:hAnsi="Arial" w:cs="Arial"/>
                <w:b/>
                <w:spacing w:val="-2"/>
                <w:sz w:val="14"/>
                <w:szCs w:val="14"/>
              </w:rPr>
            </w:pPr>
            <w:r w:rsidRPr="001D7F95">
              <w:rPr>
                <w:rFonts w:ascii="Arial" w:hAnsi="Arial" w:cs="Arial"/>
                <w:b/>
                <w:spacing w:val="-2"/>
                <w:sz w:val="14"/>
                <w:szCs w:val="14"/>
              </w:rPr>
              <w:t>202</w:t>
            </w:r>
            <w:r>
              <w:rPr>
                <w:rFonts w:ascii="Arial" w:hAnsi="Arial" w:cs="Arial"/>
                <w:b/>
                <w:spacing w:val="-2"/>
                <w:sz w:val="14"/>
                <w:szCs w:val="14"/>
              </w:rPr>
              <w:t xml:space="preserve">4 - </w:t>
            </w:r>
            <w:proofErr w:type="spellStart"/>
            <w:r>
              <w:rPr>
                <w:rFonts w:ascii="Arial" w:hAnsi="Arial" w:cs="Arial"/>
                <w:b/>
                <w:spacing w:val="-2"/>
                <w:sz w:val="14"/>
                <w:szCs w:val="14"/>
              </w:rPr>
              <w:t>Consolidated</w:t>
            </w:r>
            <w:proofErr w:type="spellEnd"/>
          </w:p>
          <w:p w14:paraId="18BEAEEA" w14:textId="77777777" w:rsidR="00136834" w:rsidRPr="00127991" w:rsidRDefault="00136834">
            <w:pPr>
              <w:keepNext/>
              <w:keepLines/>
              <w:spacing w:before="40" w:after="40" w:line="240" w:lineRule="auto"/>
              <w:jc w:val="center"/>
              <w:rPr>
                <w:rFonts w:ascii="Arial" w:hAnsi="Arial" w:cs="Arial"/>
                <w:b/>
                <w:spacing w:val="-2"/>
                <w:sz w:val="14"/>
                <w:szCs w:val="14"/>
              </w:rPr>
            </w:pPr>
          </w:p>
        </w:tc>
      </w:tr>
      <w:tr w:rsidR="00136834" w:rsidRPr="00127991" w14:paraId="1BDA5EF4"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190EB51A" w14:textId="77777777" w:rsidR="00136834" w:rsidRPr="00127991" w:rsidRDefault="00136834">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6446592B" w14:textId="77777777" w:rsidR="00136834" w:rsidRPr="00127991" w:rsidRDefault="001368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79D7C5B2"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shd w:val="clear" w:color="auto" w:fill="auto"/>
            <w:vAlign w:val="center"/>
          </w:tcPr>
          <w:p w14:paraId="65C84043"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shd w:val="clear" w:color="auto" w:fill="auto"/>
            <w:vAlign w:val="center"/>
          </w:tcPr>
          <w:p w14:paraId="4E563B42" w14:textId="77777777" w:rsidR="00136834" w:rsidRPr="00127991" w:rsidRDefault="001368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5D2C228D"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shd w:val="clear" w:color="auto" w:fill="auto"/>
            <w:vAlign w:val="center"/>
          </w:tcPr>
          <w:p w14:paraId="01365152"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603294" w:rsidRPr="0039218A" w14:paraId="16347D54" w14:textId="77777777">
        <w:trPr>
          <w:trHeight w:hRule="exact" w:val="238"/>
          <w:jc w:val="center"/>
        </w:trPr>
        <w:tc>
          <w:tcPr>
            <w:tcW w:w="1560" w:type="dxa"/>
            <w:tcBorders>
              <w:bottom w:val="nil"/>
            </w:tcBorders>
            <w:shd w:val="clear" w:color="auto" w:fill="auto"/>
            <w:vAlign w:val="center"/>
          </w:tcPr>
          <w:p w14:paraId="237977E8" w14:textId="2118BD9D" w:rsidR="00603294" w:rsidRPr="0039218A" w:rsidRDefault="00603294" w:rsidP="00603294">
            <w:pPr>
              <w:pStyle w:val="08-Tabelageral"/>
              <w:jc w:val="left"/>
              <w:rPr>
                <w:rFonts w:cs="Arial"/>
                <w:szCs w:val="14"/>
              </w:rPr>
            </w:pPr>
            <w:r w:rsidRPr="0039218A">
              <w:rPr>
                <w:rFonts w:cs="Arial"/>
                <w:szCs w:val="14"/>
              </w:rPr>
              <w:t xml:space="preserve">Civil </w:t>
            </w:r>
            <w:proofErr w:type="spellStart"/>
            <w:r w:rsidRPr="0039218A">
              <w:rPr>
                <w:rFonts w:cs="Arial"/>
                <w:szCs w:val="14"/>
              </w:rPr>
              <w:t>Lawsuits</w:t>
            </w:r>
            <w:proofErr w:type="spellEnd"/>
          </w:p>
        </w:tc>
        <w:tc>
          <w:tcPr>
            <w:tcW w:w="425" w:type="dxa"/>
            <w:tcBorders>
              <w:bottom w:val="nil"/>
            </w:tcBorders>
            <w:shd w:val="clear" w:color="auto" w:fill="auto"/>
            <w:vAlign w:val="center"/>
          </w:tcPr>
          <w:p w14:paraId="05F9C648" w14:textId="77777777" w:rsidR="00603294" w:rsidRPr="0039218A" w:rsidRDefault="00603294" w:rsidP="00603294">
            <w:pPr>
              <w:pStyle w:val="08-Tabelageral"/>
              <w:rPr>
                <w:rFonts w:cs="Arial"/>
                <w:szCs w:val="14"/>
              </w:rPr>
            </w:pPr>
          </w:p>
        </w:tc>
        <w:tc>
          <w:tcPr>
            <w:tcW w:w="1843" w:type="dxa"/>
            <w:tcBorders>
              <w:bottom w:val="nil"/>
            </w:tcBorders>
            <w:shd w:val="clear" w:color="auto" w:fill="auto"/>
            <w:vAlign w:val="center"/>
          </w:tcPr>
          <w:p w14:paraId="5A385C75" w14:textId="021421D7" w:rsidR="00603294" w:rsidRPr="0039218A" w:rsidRDefault="00603294" w:rsidP="00603294">
            <w:pPr>
              <w:pStyle w:val="08-Tabelageral"/>
              <w:rPr>
                <w:rFonts w:cs="Arial"/>
                <w:szCs w:val="14"/>
              </w:rPr>
            </w:pPr>
            <w:r w:rsidRPr="004122BA">
              <w:rPr>
                <w:rFonts w:cs="Arial"/>
                <w:szCs w:val="14"/>
              </w:rPr>
              <w:t>29</w:t>
            </w:r>
            <w:r w:rsidR="00891BF5">
              <w:rPr>
                <w:rFonts w:cs="Arial"/>
                <w:szCs w:val="14"/>
              </w:rPr>
              <w:t>,</w:t>
            </w:r>
            <w:r w:rsidRPr="004122BA">
              <w:rPr>
                <w:rFonts w:cs="Arial"/>
                <w:szCs w:val="14"/>
              </w:rPr>
              <w:t>894</w:t>
            </w:r>
          </w:p>
        </w:tc>
        <w:tc>
          <w:tcPr>
            <w:tcW w:w="1842" w:type="dxa"/>
            <w:tcBorders>
              <w:bottom w:val="nil"/>
            </w:tcBorders>
            <w:shd w:val="clear" w:color="auto" w:fill="auto"/>
            <w:vAlign w:val="center"/>
          </w:tcPr>
          <w:p w14:paraId="3F3FE1B6" w14:textId="41481BE6" w:rsidR="00603294" w:rsidRPr="0039218A" w:rsidRDefault="00603294" w:rsidP="00603294">
            <w:pPr>
              <w:pStyle w:val="08-Tabelageral"/>
              <w:rPr>
                <w:rFonts w:cs="Arial"/>
                <w:szCs w:val="14"/>
              </w:rPr>
            </w:pPr>
            <w:r w:rsidRPr="00FF59AF">
              <w:rPr>
                <w:rFonts w:cs="Arial"/>
                <w:szCs w:val="14"/>
              </w:rPr>
              <w:t>37</w:t>
            </w:r>
            <w:r w:rsidR="00891BF5">
              <w:rPr>
                <w:rFonts w:cs="Arial"/>
                <w:szCs w:val="14"/>
              </w:rPr>
              <w:t>,</w:t>
            </w:r>
            <w:r w:rsidRPr="00FF59AF">
              <w:rPr>
                <w:rFonts w:cs="Arial"/>
                <w:szCs w:val="14"/>
              </w:rPr>
              <w:t>575</w:t>
            </w:r>
          </w:p>
        </w:tc>
        <w:tc>
          <w:tcPr>
            <w:tcW w:w="284" w:type="dxa"/>
            <w:tcBorders>
              <w:bottom w:val="nil"/>
            </w:tcBorders>
            <w:shd w:val="clear" w:color="auto" w:fill="auto"/>
            <w:vAlign w:val="center"/>
          </w:tcPr>
          <w:p w14:paraId="10C2E62D" w14:textId="77777777" w:rsidR="00603294" w:rsidRPr="0039218A" w:rsidRDefault="00603294" w:rsidP="00603294">
            <w:pPr>
              <w:pStyle w:val="08-Tabelageral"/>
              <w:rPr>
                <w:rFonts w:cs="Arial"/>
                <w:szCs w:val="14"/>
              </w:rPr>
            </w:pPr>
          </w:p>
        </w:tc>
        <w:tc>
          <w:tcPr>
            <w:tcW w:w="1843" w:type="dxa"/>
            <w:tcBorders>
              <w:bottom w:val="nil"/>
            </w:tcBorders>
            <w:shd w:val="clear" w:color="auto" w:fill="auto"/>
            <w:vAlign w:val="center"/>
          </w:tcPr>
          <w:p w14:paraId="200504C5" w14:textId="259380B5" w:rsidR="00603294" w:rsidRPr="0039218A" w:rsidRDefault="00603294" w:rsidP="00603294">
            <w:pPr>
              <w:pStyle w:val="08-Tabelageral"/>
              <w:rPr>
                <w:rFonts w:cs="Arial"/>
                <w:szCs w:val="14"/>
              </w:rPr>
            </w:pPr>
            <w:r w:rsidRPr="00F85E46">
              <w:t>(</w:t>
            </w:r>
            <w:r w:rsidRPr="004B1643">
              <w:t>17</w:t>
            </w:r>
            <w:r w:rsidR="00891BF5">
              <w:t>,</w:t>
            </w:r>
            <w:r w:rsidRPr="004B1643">
              <w:t>562</w:t>
            </w:r>
            <w:r w:rsidRPr="00F85E46">
              <w:t>)</w:t>
            </w:r>
          </w:p>
        </w:tc>
        <w:tc>
          <w:tcPr>
            <w:tcW w:w="1842" w:type="dxa"/>
            <w:tcBorders>
              <w:bottom w:val="nil"/>
            </w:tcBorders>
            <w:shd w:val="clear" w:color="auto" w:fill="auto"/>
            <w:vAlign w:val="center"/>
          </w:tcPr>
          <w:p w14:paraId="7B94CAC9" w14:textId="4BFA6465" w:rsidR="00603294" w:rsidRPr="0039218A" w:rsidRDefault="00603294" w:rsidP="00603294">
            <w:pPr>
              <w:pStyle w:val="08-Tabelageral"/>
              <w:rPr>
                <w:rFonts w:cs="Arial"/>
                <w:bCs/>
                <w:szCs w:val="14"/>
              </w:rPr>
            </w:pPr>
            <w:r w:rsidRPr="00B349C5">
              <w:rPr>
                <w:rFonts w:cs="Arial"/>
                <w:b/>
                <w:bCs/>
                <w:szCs w:val="14"/>
              </w:rPr>
              <w:t>49</w:t>
            </w:r>
            <w:r w:rsidR="00891BF5">
              <w:rPr>
                <w:rFonts w:cs="Arial"/>
                <w:b/>
                <w:bCs/>
                <w:szCs w:val="14"/>
              </w:rPr>
              <w:t>,</w:t>
            </w:r>
            <w:r w:rsidRPr="00B349C5">
              <w:rPr>
                <w:rFonts w:cs="Arial"/>
                <w:b/>
                <w:bCs/>
                <w:szCs w:val="14"/>
              </w:rPr>
              <w:t>907</w:t>
            </w:r>
          </w:p>
        </w:tc>
      </w:tr>
      <w:tr w:rsidR="00603294" w:rsidRPr="0039218A" w14:paraId="6EE6A685" w14:textId="77777777">
        <w:trPr>
          <w:trHeight w:hRule="exact" w:val="238"/>
          <w:jc w:val="center"/>
        </w:trPr>
        <w:tc>
          <w:tcPr>
            <w:tcW w:w="1560" w:type="dxa"/>
            <w:tcBorders>
              <w:top w:val="nil"/>
              <w:bottom w:val="nil"/>
            </w:tcBorders>
            <w:shd w:val="clear" w:color="auto" w:fill="auto"/>
            <w:vAlign w:val="center"/>
          </w:tcPr>
          <w:p w14:paraId="76B8C02D" w14:textId="2716F507" w:rsidR="00603294" w:rsidRPr="0039218A" w:rsidRDefault="00603294" w:rsidP="00603294">
            <w:pPr>
              <w:pStyle w:val="08-Tabelageral"/>
              <w:jc w:val="left"/>
              <w:rPr>
                <w:rFonts w:cs="Arial"/>
                <w:szCs w:val="14"/>
              </w:rPr>
            </w:pPr>
            <w:r w:rsidRPr="0039218A">
              <w:rPr>
                <w:rFonts w:cs="Arial"/>
                <w:bCs/>
                <w:szCs w:val="14"/>
              </w:rPr>
              <w:t xml:space="preserve">Labor </w:t>
            </w:r>
            <w:proofErr w:type="spellStart"/>
            <w:r w:rsidRPr="0039218A">
              <w:rPr>
                <w:rFonts w:cs="Arial"/>
                <w:bCs/>
                <w:szCs w:val="14"/>
              </w:rPr>
              <w:t>Lawsuits</w:t>
            </w:r>
            <w:proofErr w:type="spellEnd"/>
          </w:p>
        </w:tc>
        <w:tc>
          <w:tcPr>
            <w:tcW w:w="425" w:type="dxa"/>
            <w:tcBorders>
              <w:top w:val="nil"/>
              <w:bottom w:val="nil"/>
            </w:tcBorders>
            <w:shd w:val="clear" w:color="auto" w:fill="auto"/>
            <w:vAlign w:val="center"/>
          </w:tcPr>
          <w:p w14:paraId="28B17530" w14:textId="77777777" w:rsidR="00603294" w:rsidRPr="0039218A" w:rsidRDefault="00603294" w:rsidP="00603294">
            <w:pPr>
              <w:pStyle w:val="08-Tabelageral"/>
              <w:rPr>
                <w:rFonts w:cs="Arial"/>
                <w:szCs w:val="14"/>
              </w:rPr>
            </w:pPr>
          </w:p>
        </w:tc>
        <w:tc>
          <w:tcPr>
            <w:tcW w:w="1843" w:type="dxa"/>
            <w:tcBorders>
              <w:top w:val="nil"/>
              <w:bottom w:val="nil"/>
            </w:tcBorders>
            <w:shd w:val="clear" w:color="auto" w:fill="auto"/>
            <w:vAlign w:val="center"/>
          </w:tcPr>
          <w:p w14:paraId="3AE96936" w14:textId="68F6C7F4" w:rsidR="00603294" w:rsidRPr="0039218A" w:rsidRDefault="00603294" w:rsidP="00603294">
            <w:pPr>
              <w:pStyle w:val="08-Tabelageral"/>
              <w:rPr>
                <w:rFonts w:cs="Arial"/>
                <w:szCs w:val="14"/>
              </w:rPr>
            </w:pPr>
            <w:r w:rsidRPr="004122BA">
              <w:rPr>
                <w:rFonts w:cs="Arial"/>
                <w:szCs w:val="14"/>
              </w:rPr>
              <w:t>71</w:t>
            </w:r>
          </w:p>
        </w:tc>
        <w:tc>
          <w:tcPr>
            <w:tcW w:w="1842" w:type="dxa"/>
            <w:tcBorders>
              <w:top w:val="nil"/>
              <w:bottom w:val="nil"/>
            </w:tcBorders>
            <w:shd w:val="clear" w:color="auto" w:fill="auto"/>
            <w:vAlign w:val="center"/>
          </w:tcPr>
          <w:p w14:paraId="27760DFE" w14:textId="6986D2CC" w:rsidR="00603294" w:rsidRPr="0039218A" w:rsidRDefault="00603294" w:rsidP="00603294">
            <w:pPr>
              <w:pStyle w:val="08-Tabelageral"/>
              <w:rPr>
                <w:rFonts w:cs="Arial"/>
                <w:szCs w:val="14"/>
              </w:rPr>
            </w:pPr>
            <w:r>
              <w:rPr>
                <w:rFonts w:cs="Arial"/>
                <w:szCs w:val="14"/>
              </w:rPr>
              <w:t>480</w:t>
            </w:r>
          </w:p>
        </w:tc>
        <w:tc>
          <w:tcPr>
            <w:tcW w:w="284" w:type="dxa"/>
            <w:tcBorders>
              <w:top w:val="nil"/>
              <w:bottom w:val="nil"/>
            </w:tcBorders>
            <w:shd w:val="clear" w:color="auto" w:fill="auto"/>
            <w:vAlign w:val="center"/>
          </w:tcPr>
          <w:p w14:paraId="770386C9" w14:textId="77777777" w:rsidR="00603294" w:rsidRPr="0039218A" w:rsidRDefault="00603294" w:rsidP="00603294">
            <w:pPr>
              <w:pStyle w:val="08-Tabelageral"/>
              <w:rPr>
                <w:rFonts w:cs="Arial"/>
                <w:szCs w:val="14"/>
              </w:rPr>
            </w:pPr>
          </w:p>
        </w:tc>
        <w:tc>
          <w:tcPr>
            <w:tcW w:w="1843" w:type="dxa"/>
            <w:tcBorders>
              <w:top w:val="nil"/>
              <w:bottom w:val="nil"/>
            </w:tcBorders>
            <w:shd w:val="clear" w:color="auto" w:fill="auto"/>
            <w:vAlign w:val="center"/>
          </w:tcPr>
          <w:p w14:paraId="5D56D217" w14:textId="7F8FA7FF" w:rsidR="00603294" w:rsidRPr="0039218A" w:rsidRDefault="00603294" w:rsidP="00603294">
            <w:pPr>
              <w:pStyle w:val="08-Tabelageral"/>
              <w:rPr>
                <w:rFonts w:cs="Arial"/>
                <w:szCs w:val="14"/>
              </w:rPr>
            </w:pPr>
            <w:r>
              <w:t>(97)</w:t>
            </w:r>
          </w:p>
        </w:tc>
        <w:tc>
          <w:tcPr>
            <w:tcW w:w="1842" w:type="dxa"/>
            <w:tcBorders>
              <w:top w:val="nil"/>
              <w:bottom w:val="nil"/>
            </w:tcBorders>
            <w:shd w:val="clear" w:color="auto" w:fill="auto"/>
            <w:vAlign w:val="center"/>
          </w:tcPr>
          <w:p w14:paraId="66C6ACF8" w14:textId="637F6244" w:rsidR="00603294" w:rsidRPr="0039218A" w:rsidRDefault="00603294" w:rsidP="00603294">
            <w:pPr>
              <w:pStyle w:val="08-Tabelageral"/>
              <w:rPr>
                <w:rFonts w:cs="Arial"/>
                <w:bCs/>
                <w:szCs w:val="14"/>
              </w:rPr>
            </w:pPr>
            <w:r>
              <w:rPr>
                <w:rFonts w:cs="Arial"/>
                <w:b/>
                <w:bCs/>
                <w:szCs w:val="14"/>
              </w:rPr>
              <w:t>454</w:t>
            </w:r>
          </w:p>
        </w:tc>
      </w:tr>
      <w:tr w:rsidR="00603294" w:rsidRPr="0039218A" w14:paraId="682E94D3" w14:textId="77777777">
        <w:trPr>
          <w:trHeight w:hRule="exact" w:val="238"/>
          <w:jc w:val="center"/>
        </w:trPr>
        <w:tc>
          <w:tcPr>
            <w:tcW w:w="1560" w:type="dxa"/>
            <w:tcBorders>
              <w:top w:val="nil"/>
              <w:bottom w:val="nil"/>
            </w:tcBorders>
            <w:shd w:val="clear" w:color="auto" w:fill="auto"/>
            <w:vAlign w:val="center"/>
          </w:tcPr>
          <w:p w14:paraId="218F22E5" w14:textId="68CFAA59" w:rsidR="00603294" w:rsidRPr="0039218A" w:rsidRDefault="00603294" w:rsidP="00603294">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roofErr w:type="spellStart"/>
            <w:r w:rsidRPr="0039218A">
              <w:rPr>
                <w:rFonts w:cs="Arial"/>
                <w:bCs/>
                <w:szCs w:val="14"/>
              </w:rPr>
              <w:t>Lawsuits</w:t>
            </w:r>
            <w:proofErr w:type="spellEnd"/>
          </w:p>
        </w:tc>
        <w:tc>
          <w:tcPr>
            <w:tcW w:w="425" w:type="dxa"/>
            <w:tcBorders>
              <w:top w:val="nil"/>
              <w:bottom w:val="nil"/>
            </w:tcBorders>
            <w:shd w:val="clear" w:color="auto" w:fill="auto"/>
            <w:vAlign w:val="center"/>
          </w:tcPr>
          <w:p w14:paraId="0B3A784C" w14:textId="77777777" w:rsidR="00603294" w:rsidRPr="0039218A" w:rsidRDefault="00603294" w:rsidP="00603294">
            <w:pPr>
              <w:pStyle w:val="08-Tabelageral"/>
              <w:rPr>
                <w:rFonts w:cs="Arial"/>
                <w:szCs w:val="14"/>
              </w:rPr>
            </w:pPr>
          </w:p>
        </w:tc>
        <w:tc>
          <w:tcPr>
            <w:tcW w:w="1843" w:type="dxa"/>
            <w:tcBorders>
              <w:top w:val="nil"/>
              <w:bottom w:val="nil"/>
            </w:tcBorders>
            <w:shd w:val="clear" w:color="auto" w:fill="auto"/>
            <w:vAlign w:val="center"/>
          </w:tcPr>
          <w:p w14:paraId="5D25AB90" w14:textId="2BC69BB5" w:rsidR="00603294" w:rsidRPr="0039218A" w:rsidRDefault="00603294" w:rsidP="00603294">
            <w:pPr>
              <w:pStyle w:val="08-Tabelageral"/>
              <w:rPr>
                <w:rFonts w:cs="Arial"/>
                <w:szCs w:val="14"/>
              </w:rPr>
            </w:pPr>
            <w:r w:rsidRPr="004122BA">
              <w:rPr>
                <w:rFonts w:cs="Arial"/>
                <w:szCs w:val="14"/>
              </w:rPr>
              <w:t>34</w:t>
            </w:r>
          </w:p>
        </w:tc>
        <w:tc>
          <w:tcPr>
            <w:tcW w:w="1842" w:type="dxa"/>
            <w:tcBorders>
              <w:top w:val="nil"/>
              <w:bottom w:val="nil"/>
            </w:tcBorders>
            <w:shd w:val="clear" w:color="auto" w:fill="auto"/>
            <w:vAlign w:val="center"/>
          </w:tcPr>
          <w:p w14:paraId="1B2AD24A" w14:textId="7D502633" w:rsidR="00603294" w:rsidRPr="0039218A" w:rsidRDefault="00603294" w:rsidP="00603294">
            <w:pPr>
              <w:pStyle w:val="08-Tabelageral"/>
              <w:rPr>
                <w:rFonts w:cs="Arial"/>
                <w:szCs w:val="14"/>
              </w:rPr>
            </w:pPr>
            <w:r>
              <w:rPr>
                <w:rFonts w:cs="Arial"/>
                <w:szCs w:val="14"/>
              </w:rPr>
              <w:t>34</w:t>
            </w:r>
          </w:p>
        </w:tc>
        <w:tc>
          <w:tcPr>
            <w:tcW w:w="284" w:type="dxa"/>
            <w:tcBorders>
              <w:top w:val="nil"/>
              <w:bottom w:val="nil"/>
            </w:tcBorders>
            <w:shd w:val="clear" w:color="auto" w:fill="auto"/>
            <w:vAlign w:val="center"/>
          </w:tcPr>
          <w:p w14:paraId="54D21D80" w14:textId="77777777" w:rsidR="00603294" w:rsidRPr="0039218A" w:rsidRDefault="00603294" w:rsidP="00603294">
            <w:pPr>
              <w:pStyle w:val="08-Tabelageral"/>
              <w:rPr>
                <w:rFonts w:cs="Arial"/>
                <w:szCs w:val="14"/>
              </w:rPr>
            </w:pPr>
          </w:p>
        </w:tc>
        <w:tc>
          <w:tcPr>
            <w:tcW w:w="1843" w:type="dxa"/>
            <w:tcBorders>
              <w:top w:val="nil"/>
              <w:bottom w:val="nil"/>
            </w:tcBorders>
            <w:shd w:val="clear" w:color="auto" w:fill="auto"/>
            <w:vAlign w:val="center"/>
          </w:tcPr>
          <w:p w14:paraId="1200EBC6" w14:textId="06D65C41" w:rsidR="00603294" w:rsidRPr="0039218A" w:rsidRDefault="00603294" w:rsidP="00603294">
            <w:pPr>
              <w:pStyle w:val="08-Tabelageral"/>
            </w:pPr>
            <w:r>
              <w:rPr>
                <w:rFonts w:cs="Arial"/>
                <w:szCs w:val="14"/>
              </w:rPr>
              <w:t>--</w:t>
            </w:r>
          </w:p>
        </w:tc>
        <w:tc>
          <w:tcPr>
            <w:tcW w:w="1842" w:type="dxa"/>
            <w:tcBorders>
              <w:top w:val="nil"/>
              <w:bottom w:val="nil"/>
            </w:tcBorders>
            <w:shd w:val="clear" w:color="auto" w:fill="auto"/>
            <w:vAlign w:val="center"/>
          </w:tcPr>
          <w:p w14:paraId="4861BA22" w14:textId="0CEC7960" w:rsidR="00603294" w:rsidRPr="0039218A" w:rsidRDefault="00603294" w:rsidP="00603294">
            <w:pPr>
              <w:pStyle w:val="08-Tabelageral"/>
              <w:rPr>
                <w:bCs/>
              </w:rPr>
            </w:pPr>
            <w:r>
              <w:rPr>
                <w:rFonts w:cs="Arial"/>
                <w:b/>
                <w:szCs w:val="14"/>
              </w:rPr>
              <w:t>68</w:t>
            </w:r>
          </w:p>
        </w:tc>
      </w:tr>
      <w:tr w:rsidR="00603294" w:rsidRPr="0039218A" w14:paraId="11F685F2"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5E1040C3" w14:textId="77777777" w:rsidR="00603294" w:rsidRPr="0039218A" w:rsidRDefault="00603294" w:rsidP="00603294">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shd w:val="clear" w:color="auto" w:fill="auto"/>
            <w:vAlign w:val="center"/>
          </w:tcPr>
          <w:p w14:paraId="30915813" w14:textId="77777777" w:rsidR="00603294" w:rsidRPr="0039218A" w:rsidRDefault="00603294" w:rsidP="00603294">
            <w:pPr>
              <w:pStyle w:val="08-Tabelageral"/>
              <w:rPr>
                <w:rFonts w:cs="Arial"/>
                <w:b/>
                <w:szCs w:val="14"/>
              </w:rPr>
            </w:pPr>
          </w:p>
        </w:tc>
        <w:tc>
          <w:tcPr>
            <w:tcW w:w="1843" w:type="dxa"/>
            <w:tcBorders>
              <w:top w:val="nil"/>
              <w:bottom w:val="single" w:sz="2" w:space="0" w:color="1F3864" w:themeColor="accent1" w:themeShade="80"/>
            </w:tcBorders>
            <w:shd w:val="clear" w:color="auto" w:fill="auto"/>
            <w:vAlign w:val="bottom"/>
          </w:tcPr>
          <w:p w14:paraId="52ECA592" w14:textId="3948D84A" w:rsidR="00603294" w:rsidRPr="0039218A" w:rsidRDefault="00603294" w:rsidP="00603294">
            <w:pPr>
              <w:pStyle w:val="08-Tabelageral"/>
              <w:rPr>
                <w:rFonts w:cs="Arial"/>
                <w:b/>
                <w:szCs w:val="14"/>
              </w:rPr>
            </w:pPr>
            <w:r w:rsidRPr="004122BA">
              <w:rPr>
                <w:b/>
                <w:bCs/>
              </w:rPr>
              <w:t xml:space="preserve">   29</w:t>
            </w:r>
            <w:r w:rsidR="00891BF5">
              <w:rPr>
                <w:b/>
                <w:bCs/>
              </w:rPr>
              <w:t>,</w:t>
            </w:r>
            <w:r w:rsidRPr="004122BA">
              <w:rPr>
                <w:b/>
                <w:bCs/>
              </w:rPr>
              <w:t xml:space="preserve">999 </w:t>
            </w:r>
          </w:p>
        </w:tc>
        <w:tc>
          <w:tcPr>
            <w:tcW w:w="1842" w:type="dxa"/>
            <w:tcBorders>
              <w:top w:val="nil"/>
              <w:bottom w:val="single" w:sz="2" w:space="0" w:color="1F3864" w:themeColor="accent1" w:themeShade="80"/>
            </w:tcBorders>
            <w:shd w:val="clear" w:color="auto" w:fill="auto"/>
            <w:vAlign w:val="center"/>
          </w:tcPr>
          <w:p w14:paraId="0C7C579A" w14:textId="67DFAD00" w:rsidR="00603294" w:rsidRPr="0039218A" w:rsidRDefault="00603294" w:rsidP="00603294">
            <w:pPr>
              <w:pStyle w:val="08-Tabelageral"/>
              <w:rPr>
                <w:rFonts w:cs="Arial"/>
                <w:b/>
                <w:szCs w:val="14"/>
              </w:rPr>
            </w:pPr>
            <w:r w:rsidRPr="00F85E46">
              <w:rPr>
                <w:b/>
              </w:rPr>
              <w:t>30</w:t>
            </w:r>
            <w:r w:rsidR="00891BF5">
              <w:rPr>
                <w:b/>
              </w:rPr>
              <w:t>,</w:t>
            </w:r>
            <w:r w:rsidRPr="00F85E46">
              <w:rPr>
                <w:b/>
              </w:rPr>
              <w:t>417</w:t>
            </w:r>
          </w:p>
        </w:tc>
        <w:tc>
          <w:tcPr>
            <w:tcW w:w="284" w:type="dxa"/>
            <w:tcBorders>
              <w:top w:val="nil"/>
              <w:bottom w:val="single" w:sz="2" w:space="0" w:color="1F3864" w:themeColor="accent1" w:themeShade="80"/>
            </w:tcBorders>
            <w:shd w:val="clear" w:color="auto" w:fill="auto"/>
            <w:vAlign w:val="center"/>
          </w:tcPr>
          <w:p w14:paraId="19396353" w14:textId="77777777" w:rsidR="00603294" w:rsidRPr="0039218A" w:rsidRDefault="00603294" w:rsidP="00603294">
            <w:pPr>
              <w:pStyle w:val="08-Tabelageral"/>
              <w:rPr>
                <w:rFonts w:cs="Arial"/>
                <w:b/>
                <w:szCs w:val="14"/>
              </w:rPr>
            </w:pPr>
          </w:p>
        </w:tc>
        <w:tc>
          <w:tcPr>
            <w:tcW w:w="1843" w:type="dxa"/>
            <w:tcBorders>
              <w:top w:val="nil"/>
              <w:bottom w:val="single" w:sz="2" w:space="0" w:color="1F3864" w:themeColor="accent1" w:themeShade="80"/>
            </w:tcBorders>
            <w:shd w:val="clear" w:color="auto" w:fill="auto"/>
            <w:vAlign w:val="center"/>
          </w:tcPr>
          <w:p w14:paraId="376D865C" w14:textId="1F598642" w:rsidR="00603294" w:rsidRPr="0039218A" w:rsidRDefault="00603294" w:rsidP="00603294">
            <w:pPr>
              <w:pStyle w:val="08-Tabelageral"/>
              <w:rPr>
                <w:rFonts w:cs="Arial"/>
                <w:b/>
                <w:bCs/>
                <w:szCs w:val="14"/>
              </w:rPr>
            </w:pPr>
            <w:r w:rsidRPr="00F85E46">
              <w:rPr>
                <w:b/>
              </w:rPr>
              <w:t>(12</w:t>
            </w:r>
            <w:r w:rsidR="00891BF5">
              <w:rPr>
                <w:b/>
              </w:rPr>
              <w:t>,</w:t>
            </w:r>
            <w:r w:rsidRPr="00F85E46">
              <w:rPr>
                <w:b/>
              </w:rPr>
              <w:t>719)</w:t>
            </w:r>
          </w:p>
        </w:tc>
        <w:tc>
          <w:tcPr>
            <w:tcW w:w="1842" w:type="dxa"/>
            <w:tcBorders>
              <w:top w:val="nil"/>
              <w:bottom w:val="single" w:sz="2" w:space="0" w:color="1F3864" w:themeColor="accent1" w:themeShade="80"/>
            </w:tcBorders>
            <w:shd w:val="clear" w:color="auto" w:fill="auto"/>
            <w:vAlign w:val="center"/>
          </w:tcPr>
          <w:p w14:paraId="41D1354C" w14:textId="7CF7F92B" w:rsidR="00603294" w:rsidRPr="0039218A" w:rsidRDefault="00603294" w:rsidP="00603294">
            <w:pPr>
              <w:pStyle w:val="08-Tabelageral"/>
              <w:rPr>
                <w:rFonts w:cs="Arial"/>
                <w:b/>
                <w:bCs/>
                <w:szCs w:val="14"/>
              </w:rPr>
            </w:pPr>
            <w:r w:rsidRPr="00E51345">
              <w:rPr>
                <w:b/>
              </w:rPr>
              <w:t>50</w:t>
            </w:r>
            <w:r w:rsidR="00891BF5">
              <w:rPr>
                <w:b/>
              </w:rPr>
              <w:t>,</w:t>
            </w:r>
            <w:r w:rsidRPr="00E51345">
              <w:rPr>
                <w:b/>
              </w:rPr>
              <w:t>429</w:t>
            </w:r>
          </w:p>
        </w:tc>
      </w:tr>
    </w:tbl>
    <w:p w14:paraId="397D4684" w14:textId="77777777" w:rsidR="00136834" w:rsidRDefault="00136834" w:rsidP="00136834">
      <w:pPr>
        <w:pStyle w:val="05-Textonormal"/>
        <w:rPr>
          <w:lang w:val="en-US"/>
        </w:rPr>
      </w:pPr>
    </w:p>
    <w:p w14:paraId="1607193C" w14:textId="77777777" w:rsidR="00136834" w:rsidRDefault="00136834" w:rsidP="00136834">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136834" w:rsidRPr="00127991" w14:paraId="1D7CE0ED" w14:textId="77777777">
        <w:trPr>
          <w:trHeight w:hRule="exact" w:val="238"/>
          <w:jc w:val="center"/>
        </w:trPr>
        <w:tc>
          <w:tcPr>
            <w:tcW w:w="1560" w:type="dxa"/>
            <w:tcBorders>
              <w:bottom w:val="nil"/>
            </w:tcBorders>
            <w:shd w:val="clear" w:color="auto" w:fill="auto"/>
            <w:vAlign w:val="center"/>
          </w:tcPr>
          <w:p w14:paraId="295FE020" w14:textId="77777777" w:rsidR="00136834" w:rsidRPr="00127991" w:rsidRDefault="00136834">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5E25F07C" w14:textId="77777777" w:rsidR="00136834" w:rsidRPr="00127991" w:rsidRDefault="00136834">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70879C1C" w14:textId="02B7F54E" w:rsidR="00136834" w:rsidRPr="00127991" w:rsidRDefault="00136834">
            <w:pPr>
              <w:keepNext/>
              <w:keepLines/>
              <w:spacing w:before="40" w:after="40" w:line="240" w:lineRule="auto"/>
              <w:jc w:val="center"/>
              <w:rPr>
                <w:rFonts w:ascii="Arial" w:hAnsi="Arial" w:cs="Arial"/>
                <w:b/>
                <w:spacing w:val="-2"/>
                <w:sz w:val="14"/>
                <w:szCs w:val="14"/>
              </w:rPr>
            </w:pPr>
            <w:r w:rsidRPr="001D7F95">
              <w:rPr>
                <w:rFonts w:ascii="Arial" w:hAnsi="Arial" w:cs="Arial"/>
                <w:b/>
                <w:spacing w:val="-2"/>
                <w:sz w:val="14"/>
                <w:szCs w:val="14"/>
              </w:rPr>
              <w:t>202</w:t>
            </w:r>
            <w:r>
              <w:rPr>
                <w:rFonts w:ascii="Arial" w:hAnsi="Arial" w:cs="Arial"/>
                <w:b/>
                <w:spacing w:val="-2"/>
                <w:sz w:val="14"/>
                <w:szCs w:val="14"/>
              </w:rPr>
              <w:t>3</w:t>
            </w:r>
            <w:r w:rsidRPr="001D7F95">
              <w:rPr>
                <w:rFonts w:ascii="Arial" w:hAnsi="Arial" w:cs="Arial"/>
                <w:b/>
                <w:spacing w:val="-2"/>
                <w:sz w:val="14"/>
                <w:szCs w:val="14"/>
              </w:rPr>
              <w:t xml:space="preserve"> - </w:t>
            </w:r>
            <w:proofErr w:type="spellStart"/>
            <w:r w:rsidRPr="001D7F95">
              <w:rPr>
                <w:rFonts w:ascii="Arial" w:hAnsi="Arial" w:cs="Arial"/>
                <w:b/>
                <w:spacing w:val="-2"/>
                <w:sz w:val="14"/>
                <w:szCs w:val="14"/>
              </w:rPr>
              <w:t>Consolidated</w:t>
            </w:r>
            <w:proofErr w:type="spellEnd"/>
          </w:p>
        </w:tc>
      </w:tr>
      <w:tr w:rsidR="00136834" w:rsidRPr="00127991" w14:paraId="4BF9D0D9"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5ACD9639" w14:textId="77777777" w:rsidR="00136834" w:rsidRPr="00127991" w:rsidRDefault="00136834">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1C08F668" w14:textId="77777777" w:rsidR="00136834" w:rsidRPr="00127991" w:rsidRDefault="001368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1EE1A443"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shd w:val="clear" w:color="auto" w:fill="auto"/>
            <w:vAlign w:val="center"/>
          </w:tcPr>
          <w:p w14:paraId="516765D2"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shd w:val="clear" w:color="auto" w:fill="auto"/>
            <w:vAlign w:val="center"/>
          </w:tcPr>
          <w:p w14:paraId="06BA0E12" w14:textId="77777777" w:rsidR="00136834" w:rsidRPr="00127991" w:rsidRDefault="00136834">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2ABA87C8"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shd w:val="clear" w:color="auto" w:fill="auto"/>
            <w:vAlign w:val="center"/>
          </w:tcPr>
          <w:p w14:paraId="50F7C2D2" w14:textId="77777777" w:rsidR="00136834" w:rsidRPr="00127991" w:rsidRDefault="00136834">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805216" w:rsidRPr="0039218A" w14:paraId="52E33597" w14:textId="77777777">
        <w:trPr>
          <w:trHeight w:hRule="exact" w:val="238"/>
          <w:jc w:val="center"/>
        </w:trPr>
        <w:tc>
          <w:tcPr>
            <w:tcW w:w="1560" w:type="dxa"/>
            <w:tcBorders>
              <w:bottom w:val="nil"/>
            </w:tcBorders>
            <w:shd w:val="clear" w:color="auto" w:fill="auto"/>
            <w:vAlign w:val="center"/>
          </w:tcPr>
          <w:p w14:paraId="49CDF783" w14:textId="56C2B753" w:rsidR="00805216" w:rsidRPr="0039218A" w:rsidRDefault="00805216" w:rsidP="00805216">
            <w:pPr>
              <w:pStyle w:val="08-Tabelageral"/>
              <w:jc w:val="left"/>
              <w:rPr>
                <w:rFonts w:cs="Arial"/>
                <w:szCs w:val="14"/>
              </w:rPr>
            </w:pPr>
            <w:r w:rsidRPr="0039218A">
              <w:rPr>
                <w:rFonts w:cs="Arial"/>
                <w:szCs w:val="14"/>
              </w:rPr>
              <w:t xml:space="preserve">Civil </w:t>
            </w:r>
            <w:proofErr w:type="spellStart"/>
            <w:r w:rsidRPr="0039218A">
              <w:rPr>
                <w:rFonts w:cs="Arial"/>
                <w:szCs w:val="14"/>
              </w:rPr>
              <w:t>Lawsuits</w:t>
            </w:r>
            <w:proofErr w:type="spellEnd"/>
          </w:p>
        </w:tc>
        <w:tc>
          <w:tcPr>
            <w:tcW w:w="425" w:type="dxa"/>
            <w:tcBorders>
              <w:bottom w:val="nil"/>
            </w:tcBorders>
            <w:shd w:val="clear" w:color="auto" w:fill="auto"/>
            <w:vAlign w:val="center"/>
          </w:tcPr>
          <w:p w14:paraId="7D9D3EE4" w14:textId="77777777" w:rsidR="00805216" w:rsidRPr="0039218A" w:rsidRDefault="00805216" w:rsidP="00805216">
            <w:pPr>
              <w:pStyle w:val="08-Tabelageral"/>
              <w:rPr>
                <w:rFonts w:cs="Arial"/>
                <w:szCs w:val="14"/>
              </w:rPr>
            </w:pPr>
          </w:p>
        </w:tc>
        <w:tc>
          <w:tcPr>
            <w:tcW w:w="1843" w:type="dxa"/>
            <w:tcBorders>
              <w:bottom w:val="nil"/>
            </w:tcBorders>
            <w:shd w:val="clear" w:color="auto" w:fill="auto"/>
            <w:vAlign w:val="center"/>
          </w:tcPr>
          <w:p w14:paraId="1482BD06" w14:textId="2A87F5B2" w:rsidR="00805216" w:rsidRPr="0039218A" w:rsidRDefault="00805216" w:rsidP="00805216">
            <w:pPr>
              <w:pStyle w:val="08-Tabelageral"/>
              <w:rPr>
                <w:rFonts w:cs="Arial"/>
                <w:szCs w:val="14"/>
              </w:rPr>
            </w:pPr>
            <w:r w:rsidRPr="00B00719">
              <w:rPr>
                <w:rFonts w:cs="Arial"/>
                <w:bCs/>
                <w:szCs w:val="14"/>
              </w:rPr>
              <w:t>13</w:t>
            </w:r>
            <w:r>
              <w:rPr>
                <w:rFonts w:cs="Arial"/>
                <w:bCs/>
                <w:szCs w:val="14"/>
              </w:rPr>
              <w:t>,</w:t>
            </w:r>
            <w:r w:rsidRPr="00B00719">
              <w:rPr>
                <w:rFonts w:cs="Arial"/>
                <w:bCs/>
                <w:szCs w:val="14"/>
              </w:rPr>
              <w:t>847</w:t>
            </w:r>
          </w:p>
        </w:tc>
        <w:tc>
          <w:tcPr>
            <w:tcW w:w="1842" w:type="dxa"/>
            <w:tcBorders>
              <w:bottom w:val="nil"/>
            </w:tcBorders>
            <w:shd w:val="clear" w:color="auto" w:fill="auto"/>
            <w:vAlign w:val="center"/>
          </w:tcPr>
          <w:p w14:paraId="769A3CF5" w14:textId="65707800" w:rsidR="00805216" w:rsidRPr="0039218A" w:rsidRDefault="00805216" w:rsidP="00805216">
            <w:pPr>
              <w:pStyle w:val="08-Tabelageral"/>
              <w:rPr>
                <w:rFonts w:cs="Arial"/>
                <w:szCs w:val="14"/>
              </w:rPr>
            </w:pPr>
            <w:r w:rsidRPr="006F556B">
              <w:rPr>
                <w:rFonts w:cs="Arial"/>
                <w:szCs w:val="14"/>
              </w:rPr>
              <w:t>24</w:t>
            </w:r>
            <w:r>
              <w:rPr>
                <w:rFonts w:cs="Arial"/>
                <w:szCs w:val="14"/>
              </w:rPr>
              <w:t>,</w:t>
            </w:r>
            <w:r w:rsidRPr="006F556B">
              <w:rPr>
                <w:rFonts w:cs="Arial"/>
                <w:szCs w:val="14"/>
              </w:rPr>
              <w:t>297</w:t>
            </w:r>
          </w:p>
        </w:tc>
        <w:tc>
          <w:tcPr>
            <w:tcW w:w="284" w:type="dxa"/>
            <w:tcBorders>
              <w:bottom w:val="nil"/>
            </w:tcBorders>
            <w:shd w:val="clear" w:color="auto" w:fill="auto"/>
            <w:vAlign w:val="center"/>
          </w:tcPr>
          <w:p w14:paraId="16218289" w14:textId="77777777" w:rsidR="00805216" w:rsidRPr="0039218A" w:rsidRDefault="00805216" w:rsidP="00805216">
            <w:pPr>
              <w:pStyle w:val="08-Tabelageral"/>
              <w:rPr>
                <w:rFonts w:cs="Arial"/>
                <w:szCs w:val="14"/>
              </w:rPr>
            </w:pPr>
          </w:p>
        </w:tc>
        <w:tc>
          <w:tcPr>
            <w:tcW w:w="1843" w:type="dxa"/>
            <w:tcBorders>
              <w:bottom w:val="nil"/>
            </w:tcBorders>
            <w:shd w:val="clear" w:color="auto" w:fill="auto"/>
            <w:vAlign w:val="center"/>
          </w:tcPr>
          <w:p w14:paraId="1E997B3E" w14:textId="0F04FEFC" w:rsidR="00805216" w:rsidRPr="0039218A" w:rsidRDefault="00805216" w:rsidP="00805216">
            <w:pPr>
              <w:pStyle w:val="08-Tabelageral"/>
              <w:rPr>
                <w:rFonts w:cs="Arial"/>
                <w:szCs w:val="14"/>
              </w:rPr>
            </w:pPr>
            <w:r w:rsidRPr="00A13493">
              <w:t>(8</w:t>
            </w:r>
            <w:r>
              <w:t>,</w:t>
            </w:r>
            <w:r w:rsidRPr="00A13493">
              <w:t>250)</w:t>
            </w:r>
          </w:p>
        </w:tc>
        <w:tc>
          <w:tcPr>
            <w:tcW w:w="1842" w:type="dxa"/>
            <w:tcBorders>
              <w:bottom w:val="nil"/>
            </w:tcBorders>
            <w:shd w:val="clear" w:color="auto" w:fill="auto"/>
            <w:vAlign w:val="center"/>
          </w:tcPr>
          <w:p w14:paraId="0119B937" w14:textId="77C6121B" w:rsidR="00805216" w:rsidRPr="0039218A" w:rsidRDefault="00805216" w:rsidP="00805216">
            <w:pPr>
              <w:pStyle w:val="08-Tabelageral"/>
              <w:rPr>
                <w:rFonts w:cs="Arial"/>
                <w:bCs/>
                <w:szCs w:val="14"/>
              </w:rPr>
            </w:pPr>
            <w:r w:rsidRPr="00866587">
              <w:rPr>
                <w:rFonts w:cs="Arial"/>
                <w:b/>
                <w:bCs/>
                <w:szCs w:val="14"/>
              </w:rPr>
              <w:t>29</w:t>
            </w:r>
            <w:r>
              <w:rPr>
                <w:rFonts w:cs="Arial"/>
                <w:b/>
                <w:bCs/>
                <w:szCs w:val="14"/>
              </w:rPr>
              <w:t>,</w:t>
            </w:r>
            <w:r w:rsidRPr="00866587">
              <w:rPr>
                <w:rFonts w:cs="Arial"/>
                <w:b/>
                <w:bCs/>
                <w:szCs w:val="14"/>
              </w:rPr>
              <w:t>894</w:t>
            </w:r>
          </w:p>
        </w:tc>
      </w:tr>
      <w:tr w:rsidR="00805216" w:rsidRPr="0039218A" w14:paraId="09B9D6CE" w14:textId="77777777">
        <w:trPr>
          <w:trHeight w:hRule="exact" w:val="238"/>
          <w:jc w:val="center"/>
        </w:trPr>
        <w:tc>
          <w:tcPr>
            <w:tcW w:w="1560" w:type="dxa"/>
            <w:tcBorders>
              <w:top w:val="nil"/>
              <w:bottom w:val="nil"/>
            </w:tcBorders>
            <w:shd w:val="clear" w:color="auto" w:fill="auto"/>
            <w:vAlign w:val="center"/>
          </w:tcPr>
          <w:p w14:paraId="718BCE0D" w14:textId="1F431E48" w:rsidR="00805216" w:rsidRPr="0039218A" w:rsidRDefault="00805216" w:rsidP="00805216">
            <w:pPr>
              <w:pStyle w:val="08-Tabelageral"/>
              <w:jc w:val="left"/>
              <w:rPr>
                <w:rFonts w:cs="Arial"/>
                <w:szCs w:val="14"/>
              </w:rPr>
            </w:pPr>
            <w:r w:rsidRPr="0039218A">
              <w:rPr>
                <w:rFonts w:cs="Arial"/>
                <w:bCs/>
                <w:szCs w:val="14"/>
              </w:rPr>
              <w:t xml:space="preserve">Labor </w:t>
            </w:r>
            <w:proofErr w:type="spellStart"/>
            <w:r w:rsidRPr="0039218A">
              <w:rPr>
                <w:rFonts w:cs="Arial"/>
                <w:bCs/>
                <w:szCs w:val="14"/>
              </w:rPr>
              <w:t>Lawsuits</w:t>
            </w:r>
            <w:proofErr w:type="spellEnd"/>
          </w:p>
        </w:tc>
        <w:tc>
          <w:tcPr>
            <w:tcW w:w="425" w:type="dxa"/>
            <w:tcBorders>
              <w:top w:val="nil"/>
              <w:bottom w:val="nil"/>
            </w:tcBorders>
            <w:shd w:val="clear" w:color="auto" w:fill="auto"/>
            <w:vAlign w:val="center"/>
          </w:tcPr>
          <w:p w14:paraId="1B6CB91E" w14:textId="77777777" w:rsidR="00805216" w:rsidRPr="0039218A" w:rsidRDefault="00805216" w:rsidP="00805216">
            <w:pPr>
              <w:pStyle w:val="08-Tabelageral"/>
              <w:rPr>
                <w:rFonts w:cs="Arial"/>
                <w:szCs w:val="14"/>
              </w:rPr>
            </w:pPr>
          </w:p>
        </w:tc>
        <w:tc>
          <w:tcPr>
            <w:tcW w:w="1843" w:type="dxa"/>
            <w:tcBorders>
              <w:top w:val="nil"/>
              <w:bottom w:val="nil"/>
            </w:tcBorders>
            <w:shd w:val="clear" w:color="auto" w:fill="auto"/>
            <w:vAlign w:val="center"/>
          </w:tcPr>
          <w:p w14:paraId="3506790F" w14:textId="6DE9F748" w:rsidR="00805216" w:rsidRPr="0039218A" w:rsidRDefault="00805216" w:rsidP="00805216">
            <w:pPr>
              <w:pStyle w:val="08-Tabelageral"/>
              <w:rPr>
                <w:rFonts w:cs="Arial"/>
                <w:szCs w:val="14"/>
              </w:rPr>
            </w:pPr>
            <w:r>
              <w:rPr>
                <w:rFonts w:cs="Arial"/>
                <w:szCs w:val="14"/>
              </w:rPr>
              <w:t>28</w:t>
            </w:r>
          </w:p>
        </w:tc>
        <w:tc>
          <w:tcPr>
            <w:tcW w:w="1842" w:type="dxa"/>
            <w:tcBorders>
              <w:top w:val="nil"/>
              <w:bottom w:val="nil"/>
            </w:tcBorders>
            <w:shd w:val="clear" w:color="auto" w:fill="auto"/>
            <w:vAlign w:val="center"/>
          </w:tcPr>
          <w:p w14:paraId="545F0106" w14:textId="482E35C2" w:rsidR="00805216" w:rsidRPr="0039218A" w:rsidRDefault="00805216" w:rsidP="00805216">
            <w:pPr>
              <w:pStyle w:val="08-Tabelageral"/>
              <w:rPr>
                <w:rFonts w:cs="Arial"/>
                <w:szCs w:val="14"/>
              </w:rPr>
            </w:pPr>
            <w:r>
              <w:rPr>
                <w:rFonts w:cs="Arial"/>
                <w:szCs w:val="14"/>
              </w:rPr>
              <w:t>43</w:t>
            </w:r>
          </w:p>
        </w:tc>
        <w:tc>
          <w:tcPr>
            <w:tcW w:w="284" w:type="dxa"/>
            <w:tcBorders>
              <w:top w:val="nil"/>
              <w:bottom w:val="nil"/>
            </w:tcBorders>
            <w:shd w:val="clear" w:color="auto" w:fill="auto"/>
            <w:vAlign w:val="center"/>
          </w:tcPr>
          <w:p w14:paraId="5BB73572" w14:textId="77777777" w:rsidR="00805216" w:rsidRPr="0039218A" w:rsidRDefault="00805216" w:rsidP="00805216">
            <w:pPr>
              <w:pStyle w:val="08-Tabelageral"/>
              <w:rPr>
                <w:rFonts w:cs="Arial"/>
                <w:szCs w:val="14"/>
              </w:rPr>
            </w:pPr>
          </w:p>
        </w:tc>
        <w:tc>
          <w:tcPr>
            <w:tcW w:w="1843" w:type="dxa"/>
            <w:tcBorders>
              <w:top w:val="nil"/>
              <w:bottom w:val="nil"/>
            </w:tcBorders>
            <w:shd w:val="clear" w:color="auto" w:fill="auto"/>
            <w:vAlign w:val="center"/>
          </w:tcPr>
          <w:p w14:paraId="1E8A3055" w14:textId="05CFF918" w:rsidR="00805216" w:rsidRPr="0039218A" w:rsidRDefault="00805216" w:rsidP="00805216">
            <w:pPr>
              <w:pStyle w:val="08-Tabelageral"/>
              <w:rPr>
                <w:rFonts w:cs="Arial"/>
                <w:szCs w:val="14"/>
              </w:rPr>
            </w:pPr>
            <w:r w:rsidRPr="00F85E46">
              <w:t>--</w:t>
            </w:r>
          </w:p>
        </w:tc>
        <w:tc>
          <w:tcPr>
            <w:tcW w:w="1842" w:type="dxa"/>
            <w:tcBorders>
              <w:top w:val="nil"/>
              <w:bottom w:val="nil"/>
            </w:tcBorders>
            <w:shd w:val="clear" w:color="auto" w:fill="auto"/>
            <w:vAlign w:val="center"/>
          </w:tcPr>
          <w:p w14:paraId="366CDF28" w14:textId="3E16C4F3" w:rsidR="00805216" w:rsidRPr="0039218A" w:rsidRDefault="00805216" w:rsidP="00805216">
            <w:pPr>
              <w:pStyle w:val="08-Tabelageral"/>
              <w:rPr>
                <w:rFonts w:cs="Arial"/>
                <w:bCs/>
                <w:szCs w:val="14"/>
              </w:rPr>
            </w:pPr>
            <w:r>
              <w:rPr>
                <w:rFonts w:cs="Arial"/>
                <w:b/>
                <w:bCs/>
                <w:szCs w:val="14"/>
              </w:rPr>
              <w:t>71</w:t>
            </w:r>
          </w:p>
        </w:tc>
      </w:tr>
      <w:tr w:rsidR="00805216" w:rsidRPr="0039218A" w14:paraId="5A8AF8DF" w14:textId="77777777">
        <w:trPr>
          <w:trHeight w:hRule="exact" w:val="238"/>
          <w:jc w:val="center"/>
        </w:trPr>
        <w:tc>
          <w:tcPr>
            <w:tcW w:w="1560" w:type="dxa"/>
            <w:tcBorders>
              <w:top w:val="nil"/>
              <w:bottom w:val="nil"/>
            </w:tcBorders>
            <w:shd w:val="clear" w:color="auto" w:fill="auto"/>
            <w:vAlign w:val="center"/>
          </w:tcPr>
          <w:p w14:paraId="39724513" w14:textId="6BF9D9AA" w:rsidR="00805216" w:rsidRPr="0039218A" w:rsidRDefault="00805216" w:rsidP="00805216">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roofErr w:type="spellStart"/>
            <w:r w:rsidRPr="0039218A">
              <w:rPr>
                <w:rFonts w:cs="Arial"/>
                <w:bCs/>
                <w:szCs w:val="14"/>
              </w:rPr>
              <w:t>Lawsuits</w:t>
            </w:r>
            <w:proofErr w:type="spellEnd"/>
          </w:p>
        </w:tc>
        <w:tc>
          <w:tcPr>
            <w:tcW w:w="425" w:type="dxa"/>
            <w:tcBorders>
              <w:top w:val="nil"/>
              <w:bottom w:val="nil"/>
            </w:tcBorders>
            <w:shd w:val="clear" w:color="auto" w:fill="auto"/>
            <w:vAlign w:val="center"/>
          </w:tcPr>
          <w:p w14:paraId="6FD0B221" w14:textId="77777777" w:rsidR="00805216" w:rsidRPr="0039218A" w:rsidRDefault="00805216" w:rsidP="00805216">
            <w:pPr>
              <w:pStyle w:val="08-Tabelageral"/>
              <w:rPr>
                <w:rFonts w:cs="Arial"/>
                <w:szCs w:val="14"/>
              </w:rPr>
            </w:pPr>
          </w:p>
        </w:tc>
        <w:tc>
          <w:tcPr>
            <w:tcW w:w="1843" w:type="dxa"/>
            <w:tcBorders>
              <w:top w:val="nil"/>
              <w:bottom w:val="nil"/>
            </w:tcBorders>
            <w:shd w:val="clear" w:color="auto" w:fill="auto"/>
            <w:vAlign w:val="center"/>
          </w:tcPr>
          <w:p w14:paraId="344EA017" w14:textId="13642DF3" w:rsidR="00805216" w:rsidRPr="0039218A" w:rsidRDefault="00805216" w:rsidP="00805216">
            <w:pPr>
              <w:pStyle w:val="08-Tabelageral"/>
              <w:rPr>
                <w:rFonts w:cs="Arial"/>
                <w:szCs w:val="14"/>
              </w:rPr>
            </w:pPr>
            <w:r>
              <w:rPr>
                <w:rFonts w:cs="Arial"/>
                <w:bCs/>
                <w:szCs w:val="14"/>
              </w:rPr>
              <w:t>7</w:t>
            </w:r>
          </w:p>
        </w:tc>
        <w:tc>
          <w:tcPr>
            <w:tcW w:w="1842" w:type="dxa"/>
            <w:tcBorders>
              <w:top w:val="nil"/>
              <w:bottom w:val="nil"/>
            </w:tcBorders>
            <w:shd w:val="clear" w:color="auto" w:fill="auto"/>
            <w:vAlign w:val="center"/>
          </w:tcPr>
          <w:p w14:paraId="47604ED3" w14:textId="08607997" w:rsidR="00805216" w:rsidRPr="0039218A" w:rsidRDefault="00805216" w:rsidP="00805216">
            <w:pPr>
              <w:pStyle w:val="08-Tabelageral"/>
              <w:rPr>
                <w:rFonts w:cs="Arial"/>
                <w:szCs w:val="14"/>
              </w:rPr>
            </w:pPr>
            <w:r>
              <w:rPr>
                <w:rFonts w:cs="Arial"/>
                <w:szCs w:val="14"/>
              </w:rPr>
              <w:t>29</w:t>
            </w:r>
          </w:p>
        </w:tc>
        <w:tc>
          <w:tcPr>
            <w:tcW w:w="284" w:type="dxa"/>
            <w:tcBorders>
              <w:top w:val="nil"/>
              <w:bottom w:val="nil"/>
            </w:tcBorders>
            <w:shd w:val="clear" w:color="auto" w:fill="auto"/>
            <w:vAlign w:val="center"/>
          </w:tcPr>
          <w:p w14:paraId="54BCBE88" w14:textId="77777777" w:rsidR="00805216" w:rsidRPr="0039218A" w:rsidRDefault="00805216" w:rsidP="00805216">
            <w:pPr>
              <w:pStyle w:val="08-Tabelageral"/>
              <w:rPr>
                <w:rFonts w:cs="Arial"/>
                <w:szCs w:val="14"/>
              </w:rPr>
            </w:pPr>
          </w:p>
        </w:tc>
        <w:tc>
          <w:tcPr>
            <w:tcW w:w="1843" w:type="dxa"/>
            <w:tcBorders>
              <w:top w:val="nil"/>
              <w:bottom w:val="nil"/>
            </w:tcBorders>
            <w:shd w:val="clear" w:color="auto" w:fill="auto"/>
            <w:vAlign w:val="center"/>
          </w:tcPr>
          <w:p w14:paraId="67E644FD" w14:textId="4A69A8D1" w:rsidR="00805216" w:rsidRPr="0039218A" w:rsidRDefault="00805216" w:rsidP="00805216">
            <w:pPr>
              <w:pStyle w:val="08-Tabelageral"/>
            </w:pPr>
            <w:r>
              <w:rPr>
                <w:rFonts w:cs="Arial"/>
                <w:szCs w:val="14"/>
              </w:rPr>
              <w:t>(2)</w:t>
            </w:r>
          </w:p>
        </w:tc>
        <w:tc>
          <w:tcPr>
            <w:tcW w:w="1842" w:type="dxa"/>
            <w:tcBorders>
              <w:top w:val="nil"/>
              <w:bottom w:val="nil"/>
            </w:tcBorders>
            <w:shd w:val="clear" w:color="auto" w:fill="auto"/>
            <w:vAlign w:val="center"/>
          </w:tcPr>
          <w:p w14:paraId="07F19919" w14:textId="4F01F2F6" w:rsidR="00805216" w:rsidRPr="0039218A" w:rsidRDefault="00805216" w:rsidP="00805216">
            <w:pPr>
              <w:pStyle w:val="08-Tabelageral"/>
              <w:rPr>
                <w:bCs/>
              </w:rPr>
            </w:pPr>
            <w:r>
              <w:rPr>
                <w:rFonts w:cs="Arial"/>
                <w:b/>
                <w:bCs/>
                <w:szCs w:val="14"/>
              </w:rPr>
              <w:t>34</w:t>
            </w:r>
          </w:p>
        </w:tc>
      </w:tr>
      <w:tr w:rsidR="00805216" w:rsidRPr="0039218A" w14:paraId="78723CFB" w14:textId="77777777">
        <w:trPr>
          <w:trHeight w:hRule="exact" w:val="238"/>
          <w:jc w:val="center"/>
        </w:trPr>
        <w:tc>
          <w:tcPr>
            <w:tcW w:w="1560" w:type="dxa"/>
            <w:tcBorders>
              <w:top w:val="nil"/>
              <w:bottom w:val="single" w:sz="2" w:space="0" w:color="1F3864" w:themeColor="accent1" w:themeShade="80"/>
            </w:tcBorders>
            <w:shd w:val="clear" w:color="auto" w:fill="auto"/>
            <w:vAlign w:val="center"/>
          </w:tcPr>
          <w:p w14:paraId="207A63F9" w14:textId="77777777" w:rsidR="00805216" w:rsidRPr="0039218A" w:rsidRDefault="00805216" w:rsidP="00805216">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shd w:val="clear" w:color="auto" w:fill="auto"/>
            <w:vAlign w:val="center"/>
          </w:tcPr>
          <w:p w14:paraId="1259FC96" w14:textId="77777777" w:rsidR="00805216" w:rsidRPr="0039218A" w:rsidRDefault="00805216" w:rsidP="00805216">
            <w:pPr>
              <w:pStyle w:val="08-Tabelageral"/>
              <w:rPr>
                <w:rFonts w:cs="Arial"/>
                <w:b/>
                <w:szCs w:val="14"/>
              </w:rPr>
            </w:pPr>
          </w:p>
        </w:tc>
        <w:tc>
          <w:tcPr>
            <w:tcW w:w="1843" w:type="dxa"/>
            <w:tcBorders>
              <w:top w:val="nil"/>
              <w:bottom w:val="single" w:sz="2" w:space="0" w:color="1F3864" w:themeColor="accent1" w:themeShade="80"/>
            </w:tcBorders>
            <w:shd w:val="clear" w:color="auto" w:fill="auto"/>
          </w:tcPr>
          <w:p w14:paraId="213BB1A7" w14:textId="2A5953E9" w:rsidR="00805216" w:rsidRPr="0039218A" w:rsidRDefault="00805216" w:rsidP="00805216">
            <w:pPr>
              <w:pStyle w:val="08-Tabelageral"/>
              <w:rPr>
                <w:rFonts w:cs="Arial"/>
                <w:b/>
                <w:szCs w:val="14"/>
              </w:rPr>
            </w:pPr>
            <w:r w:rsidRPr="00F85E46">
              <w:rPr>
                <w:b/>
              </w:rPr>
              <w:t>13</w:t>
            </w:r>
            <w:r>
              <w:rPr>
                <w:b/>
              </w:rPr>
              <w:t>,</w:t>
            </w:r>
            <w:r w:rsidRPr="00F85E46">
              <w:rPr>
                <w:b/>
              </w:rPr>
              <w:t>88</w:t>
            </w:r>
            <w:r>
              <w:rPr>
                <w:b/>
              </w:rPr>
              <w:t>2</w:t>
            </w:r>
          </w:p>
        </w:tc>
        <w:tc>
          <w:tcPr>
            <w:tcW w:w="1842" w:type="dxa"/>
            <w:tcBorders>
              <w:top w:val="nil"/>
              <w:bottom w:val="single" w:sz="2" w:space="0" w:color="1F3864" w:themeColor="accent1" w:themeShade="80"/>
            </w:tcBorders>
            <w:shd w:val="clear" w:color="auto" w:fill="auto"/>
            <w:vAlign w:val="bottom"/>
          </w:tcPr>
          <w:p w14:paraId="0A1B1F20" w14:textId="2E3D90C9" w:rsidR="00805216" w:rsidRPr="0039218A" w:rsidRDefault="00805216" w:rsidP="00805216">
            <w:pPr>
              <w:pStyle w:val="08-Tabelageral"/>
              <w:rPr>
                <w:rFonts w:cs="Arial"/>
                <w:b/>
                <w:szCs w:val="14"/>
              </w:rPr>
            </w:pPr>
            <w:r w:rsidRPr="00E65C52">
              <w:rPr>
                <w:b/>
              </w:rPr>
              <w:t>24</w:t>
            </w:r>
            <w:r>
              <w:rPr>
                <w:b/>
              </w:rPr>
              <w:t>,</w:t>
            </w:r>
            <w:r w:rsidRPr="00E65C52">
              <w:rPr>
                <w:b/>
              </w:rPr>
              <w:t>369</w:t>
            </w:r>
          </w:p>
        </w:tc>
        <w:tc>
          <w:tcPr>
            <w:tcW w:w="284" w:type="dxa"/>
            <w:tcBorders>
              <w:top w:val="nil"/>
              <w:bottom w:val="single" w:sz="2" w:space="0" w:color="1F3864" w:themeColor="accent1" w:themeShade="80"/>
            </w:tcBorders>
            <w:shd w:val="clear" w:color="auto" w:fill="auto"/>
            <w:vAlign w:val="bottom"/>
          </w:tcPr>
          <w:p w14:paraId="4D85BEBA" w14:textId="77777777" w:rsidR="00805216" w:rsidRPr="0039218A" w:rsidRDefault="00805216" w:rsidP="00805216">
            <w:pPr>
              <w:pStyle w:val="08-Tabelageral"/>
              <w:rPr>
                <w:rFonts w:cs="Arial"/>
                <w:b/>
                <w:szCs w:val="14"/>
              </w:rPr>
            </w:pPr>
          </w:p>
        </w:tc>
        <w:tc>
          <w:tcPr>
            <w:tcW w:w="1843" w:type="dxa"/>
            <w:tcBorders>
              <w:top w:val="nil"/>
              <w:bottom w:val="single" w:sz="2" w:space="0" w:color="1F3864" w:themeColor="accent1" w:themeShade="80"/>
            </w:tcBorders>
            <w:shd w:val="clear" w:color="auto" w:fill="auto"/>
            <w:vAlign w:val="bottom"/>
          </w:tcPr>
          <w:p w14:paraId="1EF2D6F0" w14:textId="0ADE6181" w:rsidR="00805216" w:rsidRPr="0039218A" w:rsidRDefault="00805216" w:rsidP="00805216">
            <w:pPr>
              <w:pStyle w:val="08-Tabelageral"/>
              <w:rPr>
                <w:rFonts w:cs="Arial"/>
                <w:b/>
                <w:bCs/>
                <w:szCs w:val="14"/>
              </w:rPr>
            </w:pPr>
            <w:r>
              <w:rPr>
                <w:b/>
              </w:rPr>
              <w:t>(</w:t>
            </w:r>
            <w:r w:rsidRPr="00E65C52">
              <w:rPr>
                <w:b/>
              </w:rPr>
              <w:t>8</w:t>
            </w:r>
            <w:r>
              <w:rPr>
                <w:b/>
              </w:rPr>
              <w:t>,</w:t>
            </w:r>
            <w:r w:rsidRPr="00E65C52">
              <w:rPr>
                <w:b/>
              </w:rPr>
              <w:t>252</w:t>
            </w:r>
            <w:r>
              <w:rPr>
                <w:b/>
              </w:rPr>
              <w:t>)</w:t>
            </w:r>
          </w:p>
        </w:tc>
        <w:tc>
          <w:tcPr>
            <w:tcW w:w="1842" w:type="dxa"/>
            <w:tcBorders>
              <w:top w:val="nil"/>
              <w:bottom w:val="single" w:sz="2" w:space="0" w:color="1F3864" w:themeColor="accent1" w:themeShade="80"/>
            </w:tcBorders>
            <w:shd w:val="clear" w:color="auto" w:fill="auto"/>
            <w:vAlign w:val="bottom"/>
          </w:tcPr>
          <w:p w14:paraId="652C8835" w14:textId="4D4BFEF5" w:rsidR="00805216" w:rsidRPr="0039218A" w:rsidRDefault="00805216" w:rsidP="00805216">
            <w:pPr>
              <w:pStyle w:val="08-Tabelageral"/>
              <w:rPr>
                <w:rFonts w:cs="Arial"/>
                <w:b/>
                <w:bCs/>
                <w:szCs w:val="14"/>
              </w:rPr>
            </w:pPr>
            <w:r w:rsidRPr="00E65C52">
              <w:rPr>
                <w:b/>
              </w:rPr>
              <w:t xml:space="preserve">   29</w:t>
            </w:r>
            <w:r>
              <w:rPr>
                <w:b/>
              </w:rPr>
              <w:t>,</w:t>
            </w:r>
            <w:r w:rsidRPr="00E65C52">
              <w:rPr>
                <w:b/>
              </w:rPr>
              <w:t xml:space="preserve">999 </w:t>
            </w:r>
          </w:p>
        </w:tc>
      </w:tr>
    </w:tbl>
    <w:p w14:paraId="519A6052" w14:textId="77777777" w:rsidR="00136834" w:rsidRPr="00F156BA" w:rsidRDefault="00136834" w:rsidP="00136834">
      <w:pPr>
        <w:pStyle w:val="07-Legenda"/>
        <w:spacing w:line="23" w:lineRule="atLeast"/>
        <w:ind w:firstLine="0"/>
        <w:rPr>
          <w:rFonts w:cs="Arial"/>
          <w:szCs w:val="14"/>
          <w:lang w:val="en-US"/>
        </w:rPr>
      </w:pPr>
    </w:p>
    <w:p w14:paraId="2A6DFC70" w14:textId="59E73662" w:rsidR="00136834" w:rsidRDefault="00136834" w:rsidP="00136834">
      <w:pPr>
        <w:pStyle w:val="05-Textonormal"/>
        <w:rPr>
          <w:lang w:val="en-US"/>
        </w:rPr>
      </w:pPr>
      <w:r w:rsidRPr="00365D43">
        <w:rPr>
          <w:lang w:val="en-US"/>
        </w:rPr>
        <w:t xml:space="preserve">In the period ending on </w:t>
      </w:r>
      <w:r w:rsidR="003E1601">
        <w:rPr>
          <w:lang w:val="en-US"/>
        </w:rPr>
        <w:t>D</w:t>
      </w:r>
      <w:r w:rsidRPr="009708A8">
        <w:rPr>
          <w:lang w:val="en-US"/>
        </w:rPr>
        <w:t>e</w:t>
      </w:r>
      <w:r w:rsidR="00BE1B08">
        <w:rPr>
          <w:lang w:val="en-US"/>
        </w:rPr>
        <w:t>c</w:t>
      </w:r>
      <w:r w:rsidRPr="009708A8">
        <w:rPr>
          <w:lang w:val="en-US"/>
        </w:rPr>
        <w:t xml:space="preserve"> </w:t>
      </w:r>
      <w:r w:rsidRPr="00365D43">
        <w:rPr>
          <w:lang w:val="en-US"/>
        </w:rPr>
        <w:t>3</w:t>
      </w:r>
      <w:r w:rsidR="00BE1B08">
        <w:rPr>
          <w:lang w:val="en-US"/>
        </w:rPr>
        <w:t>1</w:t>
      </w:r>
      <w:r w:rsidRPr="009708A8">
        <w:rPr>
          <w:lang w:val="en-US"/>
        </w:rPr>
        <w:t xml:space="preserve">, </w:t>
      </w:r>
      <w:r w:rsidRPr="00365D43">
        <w:rPr>
          <w:lang w:val="en-US"/>
        </w:rPr>
        <w:t>202</w:t>
      </w:r>
      <w:r>
        <w:rPr>
          <w:lang w:val="en-US"/>
        </w:rPr>
        <w:t>4</w:t>
      </w:r>
      <w:r w:rsidRPr="00365D43">
        <w:rPr>
          <w:lang w:val="en-US"/>
        </w:rPr>
        <w:t xml:space="preserve">, the amounts of R$ </w:t>
      </w:r>
      <w:r>
        <w:rPr>
          <w:lang w:val="en-US"/>
        </w:rPr>
        <w:t>369</w:t>
      </w:r>
      <w:r w:rsidRPr="00365D43">
        <w:rPr>
          <w:lang w:val="en-US"/>
        </w:rPr>
        <w:t xml:space="preserve"> thousand related to Labor claims and R$ </w:t>
      </w:r>
      <w:r>
        <w:rPr>
          <w:lang w:val="en-US"/>
        </w:rPr>
        <w:t>1,47</w:t>
      </w:r>
      <w:r w:rsidR="00577279">
        <w:rPr>
          <w:lang w:val="en-US"/>
        </w:rPr>
        <w:t>2</w:t>
      </w:r>
      <w:r w:rsidRPr="00365D43">
        <w:rPr>
          <w:lang w:val="en-US"/>
        </w:rPr>
        <w:t xml:space="preserve"> thousand related to Civil claims were provisioned in the BB </w:t>
      </w:r>
      <w:proofErr w:type="spellStart"/>
      <w:r w:rsidRPr="00365D43">
        <w:rPr>
          <w:lang w:val="en-US"/>
        </w:rPr>
        <w:t>Seguridade</w:t>
      </w:r>
      <w:proofErr w:type="spellEnd"/>
      <w:r w:rsidRPr="00365D43">
        <w:rPr>
          <w:lang w:val="en-US"/>
        </w:rPr>
        <w:t>. To the Tax claims there are no provisions.</w:t>
      </w:r>
    </w:p>
    <w:p w14:paraId="50234EB8" w14:textId="67989399" w:rsidR="00107B84" w:rsidRPr="00502C02" w:rsidRDefault="00107B84" w:rsidP="00107B84">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1</w:t>
      </w:r>
      <w:r w:rsidRPr="00502C02">
        <w:rPr>
          <w:b/>
          <w:color w:val="1F3864" w:themeColor="accent1" w:themeShade="80"/>
          <w:lang w:val="en-US"/>
        </w:rPr>
        <w:t>) Civil Lawsuits</w:t>
      </w:r>
    </w:p>
    <w:p w14:paraId="5C632ADA" w14:textId="758FC693" w:rsidR="007905F6" w:rsidRDefault="00107B84" w:rsidP="003B4045">
      <w:pPr>
        <w:pStyle w:val="05-Textonormal"/>
        <w:spacing w:line="288" w:lineRule="auto"/>
        <w:rPr>
          <w:lang w:val="en-US"/>
        </w:rPr>
      </w:pPr>
      <w:r w:rsidRPr="00502C02">
        <w:rPr>
          <w:lang w:val="en-US"/>
        </w:rPr>
        <w:t xml:space="preserve">In civil lawsuits involving BB </w:t>
      </w:r>
      <w:proofErr w:type="spellStart"/>
      <w:r w:rsidRPr="00502C02">
        <w:rPr>
          <w:lang w:val="en-US"/>
        </w:rPr>
        <w:t>Seguridade</w:t>
      </w:r>
      <w:proofErr w:type="spellEnd"/>
      <w:r w:rsidRPr="00502C02">
        <w:rPr>
          <w:lang w:val="en-US"/>
        </w:rPr>
        <w:t xml:space="preserve">, BB </w:t>
      </w:r>
      <w:proofErr w:type="spellStart"/>
      <w:r w:rsidRPr="00502C02">
        <w:rPr>
          <w:lang w:val="en-US"/>
        </w:rPr>
        <w:t>Seguros</w:t>
      </w:r>
      <w:proofErr w:type="spellEnd"/>
      <w:r w:rsidRPr="00502C02">
        <w:rPr>
          <w:lang w:val="en-US"/>
        </w:rPr>
        <w:t xml:space="preserve"> and BB </w:t>
      </w:r>
      <w:proofErr w:type="spellStart"/>
      <w:r w:rsidRPr="00502C02">
        <w:rPr>
          <w:lang w:val="en-US"/>
        </w:rPr>
        <w:t>Corretora</w:t>
      </w:r>
      <w:proofErr w:type="spellEnd"/>
      <w:r w:rsidRPr="00502C02">
        <w:rPr>
          <w:lang w:val="en-US"/>
        </w:rPr>
        <w:t xml:space="preserve">, we </w:t>
      </w:r>
      <w:proofErr w:type="spellStart"/>
      <w:r w:rsidRPr="00502C02">
        <w:rPr>
          <w:lang w:val="en-US"/>
        </w:rPr>
        <w:t>highlignt</w:t>
      </w:r>
      <w:proofErr w:type="spellEnd"/>
      <w:r w:rsidRPr="00502C02">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3C0ACFD4" w14:textId="2A9F93B5" w:rsidR="00DE53B6" w:rsidRPr="00502C02" w:rsidRDefault="00DE53B6" w:rsidP="00DE53B6">
      <w:pPr>
        <w:pStyle w:val="05-Textonormal"/>
        <w:rPr>
          <w:b/>
          <w:color w:val="1F3864" w:themeColor="accent1" w:themeShade="80"/>
          <w:lang w:val="en-US"/>
        </w:rPr>
      </w:pPr>
      <w:r w:rsidRPr="00502C02">
        <w:rPr>
          <w:b/>
          <w:color w:val="1F3864" w:themeColor="accent1" w:themeShade="80"/>
          <w:lang w:val="en-US"/>
        </w:rPr>
        <w:t>a.</w:t>
      </w:r>
      <w:r w:rsidR="004C018F">
        <w:rPr>
          <w:b/>
          <w:color w:val="1F3864" w:themeColor="accent1" w:themeShade="80"/>
          <w:lang w:val="en-US"/>
        </w:rPr>
        <w:t>2</w:t>
      </w:r>
      <w:r w:rsidRPr="00502C02">
        <w:rPr>
          <w:b/>
          <w:color w:val="1F3864" w:themeColor="accent1" w:themeShade="80"/>
          <w:lang w:val="en-US"/>
        </w:rPr>
        <w:t>) Labor Lawsuits</w:t>
      </w:r>
    </w:p>
    <w:p w14:paraId="30BFD59D" w14:textId="77777777" w:rsidR="00A620E1" w:rsidRDefault="00DE53B6" w:rsidP="00DE5280">
      <w:pPr>
        <w:pStyle w:val="05-Textonormal"/>
        <w:spacing w:line="288" w:lineRule="auto"/>
        <w:rPr>
          <w:rStyle w:val="tlid-translation"/>
          <w:rFonts w:eastAsia="MS Mincho"/>
          <w:lang w:val="en-US"/>
        </w:rPr>
      </w:pPr>
      <w:r w:rsidRPr="00502C02">
        <w:rPr>
          <w:rStyle w:val="tlid-translation"/>
          <w:rFonts w:eastAsia="MS Mincho"/>
          <w:lang w:val="en-US"/>
        </w:rPr>
        <w:t xml:space="preserve">The labor claims involving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502C02">
        <w:rPr>
          <w:rStyle w:val="tlid-translation"/>
          <w:rFonts w:eastAsia="MS Mincho"/>
          <w:lang w:val="en-US"/>
        </w:rPr>
        <w:t>Seguros</w:t>
      </w:r>
      <w:proofErr w:type="spellEnd"/>
      <w:r w:rsidRPr="00502C02">
        <w:rPr>
          <w:rStyle w:val="tlid-translation"/>
          <w:rFonts w:eastAsia="MS Mincho"/>
          <w:lang w:val="en-US"/>
        </w:rPr>
        <w:t xml:space="preserve"> and its investees and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as a member of the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Group, especially, requiring any subordinate of the Companies. </w:t>
      </w:r>
    </w:p>
    <w:p w14:paraId="3FF24FBF" w14:textId="5B6B0184" w:rsidR="003C3D37" w:rsidRDefault="00A071FD" w:rsidP="00DE5280">
      <w:pPr>
        <w:pStyle w:val="05-Textonormal"/>
        <w:spacing w:line="288" w:lineRule="auto"/>
        <w:rPr>
          <w:rStyle w:val="tlid-translation"/>
          <w:rFonts w:eastAsia="MS Mincho"/>
          <w:lang w:val="en-US"/>
        </w:rPr>
      </w:pPr>
      <w:r>
        <w:rPr>
          <w:rStyle w:val="tlid-translation"/>
          <w:rFonts w:eastAsia="MS Mincho"/>
          <w:lang w:val="en-US"/>
        </w:rPr>
        <w:t>The</w:t>
      </w:r>
      <w:r w:rsidR="00DE53B6" w:rsidRPr="00502C02">
        <w:rPr>
          <w:rStyle w:val="tlid-translation"/>
          <w:rFonts w:eastAsia="MS Mincho"/>
          <w:lang w:val="en-US"/>
        </w:rPr>
        <w:t xml:space="preserve"> labor lawsuits involving BB </w:t>
      </w:r>
      <w:proofErr w:type="spellStart"/>
      <w:r w:rsidR="00DE53B6" w:rsidRPr="00502C02">
        <w:rPr>
          <w:rStyle w:val="tlid-translation"/>
          <w:rFonts w:eastAsia="MS Mincho"/>
          <w:lang w:val="en-US"/>
        </w:rPr>
        <w:t>Seguridade</w:t>
      </w:r>
      <w:proofErr w:type="spellEnd"/>
      <w:r w:rsidR="00DE53B6" w:rsidRPr="00502C02">
        <w:rPr>
          <w:rStyle w:val="tlid-translation"/>
          <w:rFonts w:eastAsia="MS Mincho"/>
          <w:lang w:val="en-US"/>
        </w:rPr>
        <w:t xml:space="preserve"> are filed by former employees (assigned by Banco do </w:t>
      </w:r>
      <w:proofErr w:type="spellStart"/>
      <w:r w:rsidR="00DE53B6" w:rsidRPr="00502C02">
        <w:rPr>
          <w:rStyle w:val="tlid-translation"/>
          <w:rFonts w:eastAsia="MS Mincho"/>
          <w:lang w:val="en-US"/>
        </w:rPr>
        <w:t>Brasil</w:t>
      </w:r>
      <w:proofErr w:type="spellEnd"/>
      <w:r w:rsidR="00DE53B6" w:rsidRPr="00502C02">
        <w:rPr>
          <w:rStyle w:val="tlid-translation"/>
          <w:rFonts w:eastAsia="MS Mincho"/>
          <w:lang w:val="en-US"/>
        </w:rPr>
        <w:t>), discussing rights arising from the 7</w:t>
      </w:r>
      <w:r w:rsidR="00DE53B6" w:rsidRPr="00502C02">
        <w:rPr>
          <w:rStyle w:val="tlid-translation"/>
          <w:rFonts w:eastAsia="MS Mincho"/>
          <w:vertAlign w:val="superscript"/>
          <w:lang w:val="en-US"/>
        </w:rPr>
        <w:t>th</w:t>
      </w:r>
      <w:r w:rsidR="00DE53B6" w:rsidRPr="00502C02">
        <w:rPr>
          <w:rStyle w:val="tlid-translation"/>
          <w:rFonts w:eastAsia="MS Mincho"/>
          <w:lang w:val="en-US"/>
        </w:rPr>
        <w:t xml:space="preserve"> and 8</w:t>
      </w:r>
      <w:r w:rsidR="00DE53B6" w:rsidRPr="00502C02">
        <w:rPr>
          <w:rStyle w:val="tlid-translation"/>
          <w:rFonts w:eastAsia="MS Mincho"/>
          <w:vertAlign w:val="superscript"/>
          <w:lang w:val="en-US"/>
        </w:rPr>
        <w:t>th</w:t>
      </w:r>
      <w:r w:rsidR="00DE53B6" w:rsidRPr="00502C02">
        <w:rPr>
          <w:rStyle w:val="tlid-translation"/>
          <w:rFonts w:eastAsia="MS Mincho"/>
          <w:lang w:val="en-US"/>
        </w:rPr>
        <w:t xml:space="preserve"> bank overtime and the respective </w:t>
      </w:r>
      <w:proofErr w:type="gramStart"/>
      <w:r w:rsidR="00DE53B6" w:rsidRPr="00502C02">
        <w:rPr>
          <w:rStyle w:val="tlid-translation"/>
          <w:rFonts w:eastAsia="MS Mincho"/>
          <w:lang w:val="en-US"/>
        </w:rPr>
        <w:t>effects</w:t>
      </w:r>
      <w:proofErr w:type="gramEnd"/>
      <w:r w:rsidR="00DE53B6" w:rsidRPr="00502C02">
        <w:rPr>
          <w:rStyle w:val="tlid-translation"/>
          <w:rFonts w:eastAsia="MS Mincho"/>
          <w:lang w:val="en-US"/>
        </w:rPr>
        <w:t xml:space="preserve"> on other salary amounts.</w:t>
      </w:r>
    </w:p>
    <w:p w14:paraId="158348A7" w14:textId="41F0C756" w:rsidR="0008541E" w:rsidRPr="00502C02" w:rsidRDefault="0008541E" w:rsidP="0004098E">
      <w:pPr>
        <w:pStyle w:val="05-Textonormal"/>
        <w:keepNext/>
        <w:rPr>
          <w:b/>
          <w:color w:val="1F3864" w:themeColor="accent1" w:themeShade="80"/>
          <w:lang w:val="en-US"/>
        </w:rPr>
      </w:pPr>
      <w:r w:rsidRPr="00502C02">
        <w:rPr>
          <w:b/>
          <w:color w:val="1F3864" w:themeColor="accent1" w:themeShade="80"/>
          <w:lang w:val="en-US"/>
        </w:rPr>
        <w:lastRenderedPageBreak/>
        <w:t>a.</w:t>
      </w:r>
      <w:r>
        <w:rPr>
          <w:b/>
          <w:color w:val="1F3864" w:themeColor="accent1" w:themeShade="80"/>
          <w:lang w:val="en-US"/>
        </w:rPr>
        <w:t>3</w:t>
      </w:r>
      <w:r w:rsidRPr="00502C02">
        <w:rPr>
          <w:b/>
          <w:color w:val="1F3864" w:themeColor="accent1" w:themeShade="80"/>
          <w:lang w:val="en-US"/>
        </w:rPr>
        <w:t>) Tax Lawsuits</w:t>
      </w:r>
    </w:p>
    <w:p w14:paraId="6886DB66" w14:textId="77777777" w:rsidR="0008541E" w:rsidRPr="00502C02" w:rsidRDefault="0008541E" w:rsidP="0008541E">
      <w:pPr>
        <w:pStyle w:val="05-Textonormal"/>
        <w:rPr>
          <w:b/>
          <w:lang w:val="en-US"/>
        </w:rPr>
      </w:pPr>
      <w:r w:rsidRPr="00502C02">
        <w:rPr>
          <w:lang w:val="en-US"/>
        </w:rPr>
        <w:t xml:space="preserve">Tax lawsuits related to BB </w:t>
      </w:r>
      <w:proofErr w:type="spellStart"/>
      <w:r w:rsidRPr="00502C02">
        <w:rPr>
          <w:lang w:val="en-US"/>
        </w:rPr>
        <w:t>Corretora</w:t>
      </w:r>
      <w:proofErr w:type="spellEnd"/>
      <w:r w:rsidRPr="00502C02">
        <w:rPr>
          <w:lang w:val="en-US"/>
        </w:rPr>
        <w:t xml:space="preserve">,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189BC2C1" w14:textId="0AB68038" w:rsidR="0008541E" w:rsidRPr="00502C02" w:rsidRDefault="0008541E" w:rsidP="0008541E">
      <w:pPr>
        <w:pStyle w:val="05-Textonormal"/>
        <w:rPr>
          <w:b/>
          <w:lang w:val="en-US"/>
        </w:rPr>
      </w:pPr>
      <w:r w:rsidRPr="00502C02">
        <w:rPr>
          <w:lang w:val="en-US"/>
        </w:rPr>
        <w:t xml:space="preserve">On </w:t>
      </w:r>
      <w:r w:rsidR="00C1696A">
        <w:rPr>
          <w:lang w:val="en-US"/>
        </w:rPr>
        <w:t>D</w:t>
      </w:r>
      <w:r w:rsidRPr="00502C02">
        <w:rPr>
          <w:lang w:val="en-US"/>
        </w:rPr>
        <w:t>e</w:t>
      </w:r>
      <w:r w:rsidR="00502E02">
        <w:rPr>
          <w:lang w:val="en-US"/>
        </w:rPr>
        <w:t>c</w:t>
      </w:r>
      <w:r w:rsidRPr="00502C02">
        <w:rPr>
          <w:lang w:val="en-US"/>
        </w:rPr>
        <w:t>ember 3</w:t>
      </w:r>
      <w:r w:rsidR="00502E02">
        <w:rPr>
          <w:lang w:val="en-US"/>
        </w:rPr>
        <w:t>1</w:t>
      </w:r>
      <w:r w:rsidRPr="00502C02">
        <w:rPr>
          <w:lang w:val="en-US"/>
        </w:rPr>
        <w:t xml:space="preserve">, 2024, BB </w:t>
      </w:r>
      <w:proofErr w:type="spellStart"/>
      <w:r w:rsidRPr="00502C02">
        <w:rPr>
          <w:lang w:val="en-US"/>
        </w:rPr>
        <w:t>Corretora</w:t>
      </w:r>
      <w:proofErr w:type="spellEnd"/>
      <w:r w:rsidRPr="00502C02">
        <w:rPr>
          <w:lang w:val="en-US"/>
        </w:rPr>
        <w:t xml:space="preserve"> had a total of 3</w:t>
      </w:r>
      <w:r w:rsidR="00614CF9">
        <w:rPr>
          <w:lang w:val="en-US"/>
        </w:rPr>
        <w:t>7</w:t>
      </w:r>
      <w:r w:rsidRPr="00502C02">
        <w:rPr>
          <w:lang w:val="en-US"/>
        </w:rPr>
        <w:t xml:space="preserve"> active tax lawsuits discussing tax matters, classified as remote, possible or probable, depending on the phase of the lawsuit and specific situation related to each case. These lawsuits are distributed as follows: (</w:t>
      </w:r>
      <w:proofErr w:type="spellStart"/>
      <w:r w:rsidRPr="00502C02">
        <w:rPr>
          <w:lang w:val="en-US"/>
        </w:rPr>
        <w:t>i</w:t>
      </w:r>
      <w:proofErr w:type="spellEnd"/>
      <w:r w:rsidRPr="00502C02">
        <w:rPr>
          <w:lang w:val="en-US"/>
        </w:rPr>
        <w:t>) 25 of them in the administrative sphere, exclusively, with the Federal Revenue of Brazil (RFB); and (ii) 1</w:t>
      </w:r>
      <w:r w:rsidR="00470D9A">
        <w:rPr>
          <w:lang w:val="en-US"/>
        </w:rPr>
        <w:t>2</w:t>
      </w:r>
      <w:r w:rsidRPr="00502C02">
        <w:rPr>
          <w:lang w:val="en-US"/>
        </w:rPr>
        <w:t xml:space="preserve"> of them filed in the Brazilian courts, </w:t>
      </w:r>
      <w:r w:rsidR="000D1904">
        <w:rPr>
          <w:lang w:val="en-US"/>
        </w:rPr>
        <w:t>8</w:t>
      </w:r>
      <w:r w:rsidRPr="00502C02">
        <w:rPr>
          <w:lang w:val="en-US"/>
        </w:rPr>
        <w:t xml:space="preserve"> of them in the State courts and 4 in the Federal courts.</w:t>
      </w:r>
    </w:p>
    <w:p w14:paraId="5BDB79B4" w14:textId="5A0BF261" w:rsidR="004109E0" w:rsidRPr="006E36EF" w:rsidRDefault="0008541E" w:rsidP="004109E0">
      <w:pPr>
        <w:pStyle w:val="05-Textonormal"/>
        <w:rPr>
          <w:lang w:val="en-US"/>
        </w:rPr>
      </w:pPr>
      <w:r w:rsidRPr="00502C02">
        <w:rPr>
          <w:lang w:val="en-US"/>
        </w:rPr>
        <w:t xml:space="preserve">In the main lawsuit classified as probable, BB </w:t>
      </w:r>
      <w:proofErr w:type="spellStart"/>
      <w:r w:rsidRPr="00502C02">
        <w:rPr>
          <w:lang w:val="en-US"/>
        </w:rPr>
        <w:t>Corretora</w:t>
      </w:r>
      <w:proofErr w:type="spellEnd"/>
      <w:r w:rsidRPr="00502C02">
        <w:rPr>
          <w:lang w:val="en-US"/>
        </w:rPr>
        <w:t xml:space="preserve"> is a party in a lawsuit whose cause of action is related to the collection of ISSQN, in progress with the TJ/MG, to which the initial cause value of R$ 8.3 million was attributed and filed on June 29, 1998. This action was judged by the competent court, which recognized the right of the Municipality to receive </w:t>
      </w:r>
      <w:r w:rsidR="00191EAA">
        <w:rPr>
          <w:lang w:val="en-US"/>
        </w:rPr>
        <w:t>onl</w:t>
      </w:r>
      <w:r w:rsidR="00F25581">
        <w:rPr>
          <w:lang w:val="en-US"/>
        </w:rPr>
        <w:t xml:space="preserve">y part of </w:t>
      </w:r>
      <w:r w:rsidRPr="00502C02">
        <w:rPr>
          <w:lang w:val="en-US"/>
        </w:rPr>
        <w:t xml:space="preserve">the ISSQN required. </w:t>
      </w:r>
      <w:r w:rsidR="004109E0" w:rsidRPr="004109E0">
        <w:rPr>
          <w:lang w:val="en"/>
        </w:rPr>
        <w:t>In the decision</w:t>
      </w:r>
      <w:r w:rsidR="006901E3">
        <w:rPr>
          <w:lang w:val="en"/>
        </w:rPr>
        <w:t xml:space="preserve"> </w:t>
      </w:r>
      <w:r w:rsidR="004109E0" w:rsidRPr="004109E0">
        <w:rPr>
          <w:lang w:val="en"/>
        </w:rPr>
        <w:t>favorable to the plaintiff</w:t>
      </w:r>
      <w:r w:rsidR="006901E3">
        <w:rPr>
          <w:lang w:val="en"/>
        </w:rPr>
        <w:t>,</w:t>
      </w:r>
      <w:r w:rsidR="004109E0" w:rsidRPr="004109E0">
        <w:rPr>
          <w:lang w:val="en"/>
        </w:rPr>
        <w:t xml:space="preserve"> in </w:t>
      </w:r>
      <w:r w:rsidR="006F4C74">
        <w:rPr>
          <w:lang w:val="en"/>
        </w:rPr>
        <w:t xml:space="preserve">the </w:t>
      </w:r>
      <w:r w:rsidR="004109E0" w:rsidRPr="004109E0">
        <w:rPr>
          <w:lang w:val="en"/>
        </w:rPr>
        <w:t>settl</w:t>
      </w:r>
      <w:r w:rsidR="003908CA">
        <w:rPr>
          <w:lang w:val="en"/>
        </w:rPr>
        <w:t>ement</w:t>
      </w:r>
      <w:r w:rsidR="004109E0" w:rsidRPr="004109E0">
        <w:rPr>
          <w:lang w:val="en"/>
        </w:rPr>
        <w:t xml:space="preserve"> </w:t>
      </w:r>
      <w:r w:rsidR="009D2948">
        <w:rPr>
          <w:lang w:val="en"/>
        </w:rPr>
        <w:t xml:space="preserve">of </w:t>
      </w:r>
      <w:r w:rsidR="004109E0" w:rsidRPr="004109E0">
        <w:rPr>
          <w:lang w:val="en"/>
        </w:rPr>
        <w:t xml:space="preserve">the sentence, the court ordered the payment of R$ 528 thousand, on </w:t>
      </w:r>
      <w:r w:rsidR="006339E8">
        <w:rPr>
          <w:lang w:val="en"/>
        </w:rPr>
        <w:t>A</w:t>
      </w:r>
      <w:r w:rsidR="00235EAB">
        <w:rPr>
          <w:lang w:val="en"/>
        </w:rPr>
        <w:t xml:space="preserve">ugust </w:t>
      </w:r>
      <w:r w:rsidR="004109E0" w:rsidRPr="004109E0">
        <w:rPr>
          <w:lang w:val="en"/>
        </w:rPr>
        <w:t>16</w:t>
      </w:r>
      <w:r w:rsidR="006339E8">
        <w:rPr>
          <w:lang w:val="en"/>
        </w:rPr>
        <w:t xml:space="preserve">, </w:t>
      </w:r>
      <w:r w:rsidR="004109E0" w:rsidRPr="004109E0">
        <w:rPr>
          <w:lang w:val="en"/>
        </w:rPr>
        <w:t>2021, relating to the undisputed</w:t>
      </w:r>
      <w:r w:rsidR="006E36EF">
        <w:rPr>
          <w:lang w:val="en"/>
        </w:rPr>
        <w:t xml:space="preserve"> case.</w:t>
      </w:r>
    </w:p>
    <w:p w14:paraId="517DBC3F" w14:textId="39275C13" w:rsidR="0015601C" w:rsidRPr="00365D43" w:rsidRDefault="0008541E" w:rsidP="0008541E">
      <w:pPr>
        <w:pStyle w:val="05-Textonormal"/>
        <w:spacing w:line="288" w:lineRule="auto"/>
        <w:rPr>
          <w:lang w:val="en-US"/>
        </w:rPr>
      </w:pPr>
      <w:r w:rsidRPr="00502C02">
        <w:rPr>
          <w:lang w:val="en-US"/>
        </w:rPr>
        <w:t xml:space="preserve">As for BB </w:t>
      </w:r>
      <w:proofErr w:type="spellStart"/>
      <w:r w:rsidRPr="00502C02">
        <w:rPr>
          <w:lang w:val="en-US"/>
        </w:rPr>
        <w:t>Seguridade</w:t>
      </w:r>
      <w:proofErr w:type="spellEnd"/>
      <w:r w:rsidRPr="00502C02">
        <w:rPr>
          <w:lang w:val="en-US"/>
        </w:rPr>
        <w:t xml:space="preserve"> and BB </w:t>
      </w:r>
      <w:proofErr w:type="spellStart"/>
      <w:r w:rsidRPr="00502C02">
        <w:rPr>
          <w:lang w:val="en-US"/>
        </w:rPr>
        <w:t>Seguros</w:t>
      </w:r>
      <w:proofErr w:type="spellEnd"/>
      <w:r w:rsidRPr="00502C02">
        <w:rPr>
          <w:lang w:val="en-US"/>
        </w:rPr>
        <w:t>, they do not have tax lawsuits with significant amounts.</w:t>
      </w:r>
    </w:p>
    <w:p w14:paraId="587A1593" w14:textId="7C0B2329" w:rsidR="00136834" w:rsidRPr="00134726" w:rsidRDefault="00F97AA9" w:rsidP="00136834">
      <w:pPr>
        <w:pStyle w:val="05-Textonormal"/>
        <w:rPr>
          <w:b/>
          <w:color w:val="1F3864" w:themeColor="accent1" w:themeShade="80"/>
          <w:lang w:val="en-US"/>
        </w:rPr>
      </w:pPr>
      <w:r>
        <w:rPr>
          <w:b/>
          <w:color w:val="1F3864" w:themeColor="accent1" w:themeShade="80"/>
          <w:lang w:val="en-US"/>
        </w:rPr>
        <w:t>b</w:t>
      </w:r>
      <w:r w:rsidR="00136834">
        <w:rPr>
          <w:b/>
          <w:color w:val="1F3864" w:themeColor="accent1" w:themeShade="80"/>
          <w:lang w:val="en-US"/>
        </w:rPr>
        <w:t xml:space="preserve">) </w:t>
      </w:r>
      <w:r w:rsidR="00136834" w:rsidRPr="00134726">
        <w:rPr>
          <w:b/>
          <w:color w:val="1F3864" w:themeColor="accent1" w:themeShade="80"/>
          <w:lang w:val="en-US"/>
        </w:rPr>
        <w:t>Expected outflows of economic benefits</w:t>
      </w:r>
    </w:p>
    <w:p w14:paraId="5E9A8DC7" w14:textId="77777777" w:rsidR="00136834" w:rsidRPr="00EA4AAC" w:rsidRDefault="00136834" w:rsidP="00136834">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136834" w:rsidRPr="00225994" w14:paraId="3C8B3A48" w14:textId="77777777" w:rsidTr="00C423A2">
        <w:trPr>
          <w:trHeight w:val="238"/>
          <w:jc w:val="center"/>
        </w:trPr>
        <w:tc>
          <w:tcPr>
            <w:tcW w:w="3018" w:type="dxa"/>
            <w:tcBorders>
              <w:bottom w:val="single" w:sz="2" w:space="0" w:color="1F3864" w:themeColor="accent1" w:themeShade="80"/>
            </w:tcBorders>
            <w:shd w:val="clear" w:color="auto" w:fill="auto"/>
            <w:vAlign w:val="center"/>
          </w:tcPr>
          <w:p w14:paraId="6A3E0247" w14:textId="77777777" w:rsidR="00136834" w:rsidRPr="00EA4AAC" w:rsidRDefault="00136834">
            <w:pPr>
              <w:keepNext/>
              <w:keepLines/>
              <w:spacing w:before="40" w:after="40"/>
              <w:rPr>
                <w:rFonts w:ascii="Arial" w:hAnsi="Arial" w:cs="Arial"/>
                <w:b/>
                <w:spacing w:val="-2"/>
                <w:sz w:val="14"/>
                <w:szCs w:val="14"/>
                <w:lang w:val="en-US"/>
              </w:rPr>
            </w:pPr>
          </w:p>
        </w:tc>
        <w:tc>
          <w:tcPr>
            <w:tcW w:w="595" w:type="dxa"/>
            <w:tcBorders>
              <w:bottom w:val="single" w:sz="2" w:space="0" w:color="1F3864" w:themeColor="accent1" w:themeShade="80"/>
            </w:tcBorders>
            <w:shd w:val="clear" w:color="auto" w:fill="auto"/>
            <w:vAlign w:val="center"/>
          </w:tcPr>
          <w:p w14:paraId="67EA48B7" w14:textId="77777777" w:rsidR="00136834" w:rsidRPr="00EA4AAC" w:rsidRDefault="00136834">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shd w:val="clear" w:color="auto" w:fill="auto"/>
            <w:vAlign w:val="center"/>
          </w:tcPr>
          <w:p w14:paraId="21F4760A" w14:textId="77777777" w:rsidR="00136834" w:rsidRPr="00225994" w:rsidRDefault="00136834" w:rsidP="00C423A2">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Labor </w:t>
            </w:r>
            <w:proofErr w:type="spellStart"/>
            <w:r>
              <w:rPr>
                <w:rFonts w:ascii="Arial" w:hAnsi="Arial" w:cs="Arial"/>
                <w:b/>
                <w:spacing w:val="-2"/>
                <w:sz w:val="14"/>
                <w:szCs w:val="14"/>
              </w:rPr>
              <w:t>lawsuits</w:t>
            </w:r>
            <w:proofErr w:type="spellEnd"/>
          </w:p>
        </w:tc>
        <w:tc>
          <w:tcPr>
            <w:tcW w:w="1404" w:type="dxa"/>
            <w:tcBorders>
              <w:bottom w:val="single" w:sz="2" w:space="0" w:color="1F3864" w:themeColor="accent1" w:themeShade="80"/>
            </w:tcBorders>
            <w:shd w:val="clear" w:color="auto" w:fill="auto"/>
            <w:vAlign w:val="center"/>
          </w:tcPr>
          <w:p w14:paraId="3A612424" w14:textId="77777777" w:rsidR="00136834" w:rsidRPr="00225994" w:rsidRDefault="00136834" w:rsidP="00C423A2">
            <w:pPr>
              <w:keepNext/>
              <w:keepLines/>
              <w:spacing w:before="40" w:after="40"/>
              <w:jc w:val="right"/>
              <w:rPr>
                <w:rFonts w:ascii="Arial" w:hAnsi="Arial" w:cs="Arial"/>
                <w:b/>
                <w:spacing w:val="-2"/>
                <w:sz w:val="14"/>
                <w:szCs w:val="14"/>
              </w:rPr>
            </w:pPr>
            <w:proofErr w:type="spellStart"/>
            <w:r>
              <w:rPr>
                <w:rFonts w:ascii="Arial" w:hAnsi="Arial" w:cs="Arial"/>
                <w:b/>
                <w:spacing w:val="-2"/>
                <w:sz w:val="14"/>
                <w:szCs w:val="14"/>
              </w:rPr>
              <w:t>Tax</w:t>
            </w:r>
            <w:proofErr w:type="spellEnd"/>
            <w:r>
              <w:rPr>
                <w:rFonts w:ascii="Arial" w:hAnsi="Arial" w:cs="Arial"/>
                <w:b/>
                <w:spacing w:val="-2"/>
                <w:sz w:val="14"/>
                <w:szCs w:val="14"/>
              </w:rPr>
              <w:t xml:space="preserve"> </w:t>
            </w:r>
            <w:proofErr w:type="spellStart"/>
            <w:r>
              <w:rPr>
                <w:rFonts w:ascii="Arial" w:hAnsi="Arial" w:cs="Arial"/>
                <w:b/>
                <w:spacing w:val="-2"/>
                <w:sz w:val="14"/>
                <w:szCs w:val="14"/>
              </w:rPr>
              <w:t>lawsuits</w:t>
            </w:r>
            <w:proofErr w:type="spellEnd"/>
          </w:p>
        </w:tc>
        <w:tc>
          <w:tcPr>
            <w:tcW w:w="286" w:type="dxa"/>
            <w:tcBorders>
              <w:bottom w:val="single" w:sz="2" w:space="0" w:color="1F3864" w:themeColor="accent1" w:themeShade="80"/>
            </w:tcBorders>
            <w:shd w:val="clear" w:color="auto" w:fill="auto"/>
            <w:vAlign w:val="center"/>
          </w:tcPr>
          <w:p w14:paraId="3BB44FFF" w14:textId="77777777" w:rsidR="00136834" w:rsidRPr="00225994" w:rsidRDefault="00136834" w:rsidP="00C423A2">
            <w:pPr>
              <w:keepNext/>
              <w:keepLines/>
              <w:spacing w:before="40" w:after="40"/>
              <w:jc w:val="right"/>
              <w:rPr>
                <w:rFonts w:ascii="Arial" w:hAnsi="Arial" w:cs="Arial"/>
                <w:b/>
                <w:spacing w:val="-2"/>
                <w:sz w:val="14"/>
                <w:szCs w:val="14"/>
              </w:rPr>
            </w:pPr>
          </w:p>
        </w:tc>
        <w:tc>
          <w:tcPr>
            <w:tcW w:w="1409" w:type="dxa"/>
            <w:tcBorders>
              <w:bottom w:val="single" w:sz="2" w:space="0" w:color="1F3864" w:themeColor="accent1" w:themeShade="80"/>
            </w:tcBorders>
            <w:shd w:val="clear" w:color="auto" w:fill="auto"/>
            <w:vAlign w:val="center"/>
          </w:tcPr>
          <w:p w14:paraId="0F6DB817" w14:textId="77777777" w:rsidR="00136834" w:rsidRPr="00225994" w:rsidRDefault="00136834" w:rsidP="00C423A2">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Civil </w:t>
            </w:r>
            <w:proofErr w:type="spellStart"/>
            <w:r>
              <w:rPr>
                <w:rFonts w:ascii="Arial" w:hAnsi="Arial" w:cs="Arial"/>
                <w:b/>
                <w:spacing w:val="-2"/>
                <w:sz w:val="14"/>
                <w:szCs w:val="14"/>
              </w:rPr>
              <w:t>lawsuits</w:t>
            </w:r>
            <w:proofErr w:type="spellEnd"/>
          </w:p>
        </w:tc>
        <w:tc>
          <w:tcPr>
            <w:tcW w:w="1316" w:type="dxa"/>
            <w:tcBorders>
              <w:bottom w:val="single" w:sz="2" w:space="0" w:color="1F3864" w:themeColor="accent1" w:themeShade="80"/>
            </w:tcBorders>
            <w:shd w:val="clear" w:color="auto" w:fill="auto"/>
            <w:vAlign w:val="center"/>
          </w:tcPr>
          <w:p w14:paraId="7F3C04A5" w14:textId="77777777" w:rsidR="00136834" w:rsidRPr="00225994" w:rsidRDefault="00136834" w:rsidP="00C423A2">
            <w:pPr>
              <w:keepNext/>
              <w:keepLines/>
              <w:spacing w:before="40" w:after="40"/>
              <w:jc w:val="right"/>
              <w:rPr>
                <w:rFonts w:ascii="Arial" w:hAnsi="Arial" w:cs="Arial"/>
                <w:b/>
                <w:spacing w:val="-2"/>
                <w:sz w:val="14"/>
                <w:szCs w:val="14"/>
              </w:rPr>
            </w:pPr>
            <w:r w:rsidRPr="00225994">
              <w:rPr>
                <w:rFonts w:ascii="Arial" w:hAnsi="Arial" w:cs="Arial"/>
                <w:b/>
                <w:spacing w:val="-2"/>
                <w:sz w:val="14"/>
                <w:szCs w:val="14"/>
              </w:rPr>
              <w:t>Total</w:t>
            </w:r>
          </w:p>
        </w:tc>
      </w:tr>
      <w:tr w:rsidR="00564E12" w:rsidRPr="00552C1B" w14:paraId="2C3819DE" w14:textId="77777777">
        <w:trPr>
          <w:trHeight w:val="238"/>
          <w:jc w:val="center"/>
        </w:trPr>
        <w:tc>
          <w:tcPr>
            <w:tcW w:w="3018" w:type="dxa"/>
            <w:tcBorders>
              <w:bottom w:val="nil"/>
            </w:tcBorders>
            <w:shd w:val="clear" w:color="auto" w:fill="auto"/>
            <w:vAlign w:val="center"/>
          </w:tcPr>
          <w:p w14:paraId="4447BE3D" w14:textId="77777777" w:rsidR="00564E12" w:rsidRPr="0065135B" w:rsidRDefault="00564E12" w:rsidP="00564E12">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shd w:val="clear" w:color="auto" w:fill="auto"/>
            <w:vAlign w:val="center"/>
          </w:tcPr>
          <w:p w14:paraId="0F59FB16" w14:textId="77777777" w:rsidR="00564E12" w:rsidRPr="00552C1B" w:rsidRDefault="00564E12" w:rsidP="00564E12">
            <w:pPr>
              <w:pStyle w:val="08-Tabelageral"/>
              <w:rPr>
                <w:rFonts w:cs="Arial"/>
                <w:szCs w:val="14"/>
              </w:rPr>
            </w:pPr>
          </w:p>
        </w:tc>
        <w:tc>
          <w:tcPr>
            <w:tcW w:w="1611" w:type="dxa"/>
            <w:tcBorders>
              <w:top w:val="single" w:sz="2" w:space="0" w:color="1F3864" w:themeColor="accent1" w:themeShade="80"/>
              <w:left w:val="nil"/>
              <w:bottom w:val="nil"/>
              <w:right w:val="nil"/>
            </w:tcBorders>
          </w:tcPr>
          <w:p w14:paraId="0A023511" w14:textId="4B26D1E8" w:rsidR="00564E12" w:rsidRPr="00552C1B" w:rsidRDefault="00564E12" w:rsidP="00564E12">
            <w:pPr>
              <w:pStyle w:val="08-Tabelageral"/>
              <w:rPr>
                <w:rFonts w:cs="Arial"/>
                <w:szCs w:val="14"/>
              </w:rPr>
            </w:pPr>
            <w:r w:rsidRPr="00311F13">
              <w:t xml:space="preserve"> 449 </w:t>
            </w:r>
          </w:p>
        </w:tc>
        <w:tc>
          <w:tcPr>
            <w:tcW w:w="1404" w:type="dxa"/>
            <w:tcBorders>
              <w:top w:val="single" w:sz="2" w:space="0" w:color="1F3864" w:themeColor="accent1" w:themeShade="80"/>
              <w:left w:val="nil"/>
              <w:bottom w:val="nil"/>
              <w:right w:val="nil"/>
            </w:tcBorders>
          </w:tcPr>
          <w:p w14:paraId="11BA77E3" w14:textId="28D4D0B0" w:rsidR="00564E12" w:rsidRPr="00552C1B" w:rsidRDefault="00564E12" w:rsidP="00564E12">
            <w:pPr>
              <w:pStyle w:val="08-Tabelageral"/>
              <w:rPr>
                <w:rFonts w:cs="Arial"/>
                <w:szCs w:val="14"/>
              </w:rPr>
            </w:pPr>
            <w:r w:rsidRPr="00311F13">
              <w:t xml:space="preserve"> 54 </w:t>
            </w:r>
          </w:p>
        </w:tc>
        <w:tc>
          <w:tcPr>
            <w:tcW w:w="286" w:type="dxa"/>
            <w:tcBorders>
              <w:top w:val="single" w:sz="2" w:space="0" w:color="1F3864" w:themeColor="accent1" w:themeShade="80"/>
              <w:left w:val="nil"/>
              <w:bottom w:val="nil"/>
              <w:right w:val="nil"/>
            </w:tcBorders>
            <w:vAlign w:val="center"/>
          </w:tcPr>
          <w:p w14:paraId="39960779" w14:textId="77777777" w:rsidR="00564E12" w:rsidRPr="00552C1B" w:rsidRDefault="00564E12" w:rsidP="00564E12">
            <w:pPr>
              <w:pStyle w:val="08-Tabelageral"/>
              <w:rPr>
                <w:rFonts w:cs="Arial"/>
                <w:szCs w:val="14"/>
              </w:rPr>
            </w:pPr>
          </w:p>
        </w:tc>
        <w:tc>
          <w:tcPr>
            <w:tcW w:w="1409" w:type="dxa"/>
            <w:tcBorders>
              <w:top w:val="single" w:sz="2" w:space="0" w:color="1F3864" w:themeColor="accent1" w:themeShade="80"/>
              <w:left w:val="nil"/>
              <w:bottom w:val="nil"/>
              <w:right w:val="nil"/>
            </w:tcBorders>
          </w:tcPr>
          <w:p w14:paraId="4BA975C9" w14:textId="2B0F1456" w:rsidR="00564E12" w:rsidRPr="00552C1B" w:rsidRDefault="00564E12" w:rsidP="00564E12">
            <w:pPr>
              <w:pStyle w:val="08-Tabelageral"/>
              <w:rPr>
                <w:rFonts w:cs="Arial"/>
                <w:szCs w:val="14"/>
              </w:rPr>
            </w:pPr>
            <w:r w:rsidRPr="00BC400E">
              <w:t xml:space="preserve"> 46</w:t>
            </w:r>
            <w:r w:rsidR="009C499B">
              <w:t>,</w:t>
            </w:r>
            <w:r w:rsidRPr="00BC400E">
              <w:t xml:space="preserve">806 </w:t>
            </w:r>
          </w:p>
        </w:tc>
        <w:tc>
          <w:tcPr>
            <w:tcW w:w="1316" w:type="dxa"/>
            <w:tcBorders>
              <w:top w:val="single" w:sz="2" w:space="0" w:color="1F3864" w:themeColor="accent1" w:themeShade="80"/>
              <w:left w:val="nil"/>
              <w:bottom w:val="nil"/>
              <w:right w:val="nil"/>
            </w:tcBorders>
          </w:tcPr>
          <w:p w14:paraId="3F188F23" w14:textId="1E3580CB" w:rsidR="00564E12" w:rsidRPr="006E0B9D" w:rsidRDefault="00564E12" w:rsidP="00564E12">
            <w:pPr>
              <w:pStyle w:val="08-Tabelageral"/>
              <w:ind w:left="613"/>
              <w:rPr>
                <w:rFonts w:cs="Arial"/>
                <w:b/>
                <w:szCs w:val="14"/>
              </w:rPr>
            </w:pPr>
            <w:r w:rsidRPr="00BC400E">
              <w:t xml:space="preserve"> 47</w:t>
            </w:r>
            <w:r w:rsidR="009C499B">
              <w:t>,</w:t>
            </w:r>
            <w:r w:rsidRPr="00BC400E">
              <w:t xml:space="preserve">309 </w:t>
            </w:r>
          </w:p>
        </w:tc>
      </w:tr>
      <w:tr w:rsidR="00564E12" w:rsidRPr="00552C1B" w14:paraId="6AB74C1D" w14:textId="77777777">
        <w:trPr>
          <w:trHeight w:val="238"/>
          <w:jc w:val="center"/>
        </w:trPr>
        <w:tc>
          <w:tcPr>
            <w:tcW w:w="3018" w:type="dxa"/>
            <w:tcBorders>
              <w:top w:val="nil"/>
              <w:bottom w:val="nil"/>
            </w:tcBorders>
            <w:shd w:val="clear" w:color="auto" w:fill="auto"/>
            <w:vAlign w:val="center"/>
          </w:tcPr>
          <w:p w14:paraId="7F451F8E" w14:textId="2D7C56DE" w:rsidR="00564E12" w:rsidRPr="0065135B" w:rsidRDefault="00564E12" w:rsidP="00564E12">
            <w:pPr>
              <w:pStyle w:val="08-Tabelageral"/>
              <w:jc w:val="left"/>
              <w:rPr>
                <w:rFonts w:cs="Arial"/>
                <w:szCs w:val="14"/>
              </w:rPr>
            </w:pPr>
            <w:r w:rsidRPr="00BE032A">
              <w:rPr>
                <w:rFonts w:cs="Arial"/>
                <w:szCs w:val="14"/>
              </w:rPr>
              <w:t xml:space="preserve">More </w:t>
            </w:r>
            <w:proofErr w:type="spellStart"/>
            <w:r w:rsidRPr="00BE032A">
              <w:rPr>
                <w:rFonts w:cs="Arial"/>
                <w:szCs w:val="14"/>
              </w:rPr>
              <w:t>than</w:t>
            </w:r>
            <w:proofErr w:type="spellEnd"/>
            <w:r w:rsidRPr="00BE032A">
              <w:rPr>
                <w:rFonts w:cs="Arial"/>
                <w:szCs w:val="14"/>
              </w:rPr>
              <w:t xml:space="preserve"> </w:t>
            </w:r>
            <w:r>
              <w:rPr>
                <w:rFonts w:cs="Arial"/>
                <w:szCs w:val="14"/>
              </w:rPr>
              <w:t>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shd w:val="clear" w:color="auto" w:fill="auto"/>
            <w:vAlign w:val="center"/>
          </w:tcPr>
          <w:p w14:paraId="19D8767C" w14:textId="77777777" w:rsidR="00564E12" w:rsidRPr="00552C1B" w:rsidRDefault="00564E12" w:rsidP="00564E12">
            <w:pPr>
              <w:pStyle w:val="08-Tabelageral"/>
              <w:rPr>
                <w:rFonts w:cs="Arial"/>
                <w:szCs w:val="14"/>
              </w:rPr>
            </w:pPr>
          </w:p>
        </w:tc>
        <w:tc>
          <w:tcPr>
            <w:tcW w:w="1611" w:type="dxa"/>
            <w:tcBorders>
              <w:top w:val="nil"/>
              <w:left w:val="nil"/>
              <w:bottom w:val="nil"/>
              <w:right w:val="nil"/>
            </w:tcBorders>
          </w:tcPr>
          <w:p w14:paraId="20463C1B" w14:textId="6B87B1CD" w:rsidR="00564E12" w:rsidRPr="00552C1B" w:rsidRDefault="00564E12" w:rsidP="00564E12">
            <w:pPr>
              <w:pStyle w:val="08-Tabelageral"/>
              <w:rPr>
                <w:rFonts w:cs="Arial"/>
                <w:szCs w:val="14"/>
              </w:rPr>
            </w:pPr>
            <w:r w:rsidRPr="00311F13">
              <w:t xml:space="preserve"> 5 </w:t>
            </w:r>
          </w:p>
        </w:tc>
        <w:tc>
          <w:tcPr>
            <w:tcW w:w="1404" w:type="dxa"/>
            <w:tcBorders>
              <w:top w:val="nil"/>
              <w:left w:val="nil"/>
              <w:bottom w:val="nil"/>
              <w:right w:val="nil"/>
            </w:tcBorders>
          </w:tcPr>
          <w:p w14:paraId="417C8F1B" w14:textId="1E6AB3CF" w:rsidR="00564E12" w:rsidRPr="00552C1B" w:rsidRDefault="00564E12" w:rsidP="00564E12">
            <w:pPr>
              <w:pStyle w:val="08-Tabelageral"/>
              <w:rPr>
                <w:rFonts w:cs="Arial"/>
                <w:szCs w:val="14"/>
              </w:rPr>
            </w:pPr>
            <w:r w:rsidRPr="00311F13">
              <w:t xml:space="preserve"> 14 </w:t>
            </w:r>
          </w:p>
        </w:tc>
        <w:tc>
          <w:tcPr>
            <w:tcW w:w="286" w:type="dxa"/>
            <w:tcBorders>
              <w:top w:val="nil"/>
              <w:left w:val="nil"/>
              <w:bottom w:val="nil"/>
              <w:right w:val="nil"/>
            </w:tcBorders>
            <w:vAlign w:val="center"/>
          </w:tcPr>
          <w:p w14:paraId="628ADA98" w14:textId="77777777" w:rsidR="00564E12" w:rsidRPr="00552C1B" w:rsidRDefault="00564E12" w:rsidP="00564E12">
            <w:pPr>
              <w:pStyle w:val="08-Tabelageral"/>
              <w:rPr>
                <w:rFonts w:cs="Arial"/>
                <w:szCs w:val="14"/>
              </w:rPr>
            </w:pPr>
          </w:p>
        </w:tc>
        <w:tc>
          <w:tcPr>
            <w:tcW w:w="1409" w:type="dxa"/>
            <w:tcBorders>
              <w:top w:val="nil"/>
              <w:left w:val="nil"/>
              <w:bottom w:val="nil"/>
              <w:right w:val="nil"/>
            </w:tcBorders>
          </w:tcPr>
          <w:p w14:paraId="03F0E69E" w14:textId="178AA301" w:rsidR="00564E12" w:rsidRPr="00552C1B" w:rsidRDefault="00564E12" w:rsidP="00564E12">
            <w:pPr>
              <w:pStyle w:val="08-Tabelageral"/>
              <w:rPr>
                <w:rFonts w:cs="Arial"/>
                <w:szCs w:val="14"/>
              </w:rPr>
            </w:pPr>
            <w:r w:rsidRPr="00BC400E">
              <w:t xml:space="preserve"> 3</w:t>
            </w:r>
            <w:r w:rsidR="009C499B">
              <w:t>,</w:t>
            </w:r>
            <w:r w:rsidRPr="00BC400E">
              <w:t xml:space="preserve">101 </w:t>
            </w:r>
          </w:p>
        </w:tc>
        <w:tc>
          <w:tcPr>
            <w:tcW w:w="1316" w:type="dxa"/>
            <w:tcBorders>
              <w:top w:val="nil"/>
              <w:left w:val="nil"/>
              <w:bottom w:val="nil"/>
              <w:right w:val="nil"/>
            </w:tcBorders>
          </w:tcPr>
          <w:p w14:paraId="4BCBF65E" w14:textId="4A391A09" w:rsidR="00564E12" w:rsidRPr="006E0B9D" w:rsidRDefault="00564E12" w:rsidP="00564E12">
            <w:pPr>
              <w:pStyle w:val="08-Tabelageral"/>
              <w:rPr>
                <w:rFonts w:cs="Arial"/>
                <w:b/>
                <w:szCs w:val="14"/>
              </w:rPr>
            </w:pPr>
            <w:r w:rsidRPr="00BC400E">
              <w:t xml:space="preserve"> 3</w:t>
            </w:r>
            <w:r w:rsidR="009C499B">
              <w:t>,</w:t>
            </w:r>
            <w:r w:rsidRPr="00BC400E">
              <w:t xml:space="preserve">120 </w:t>
            </w:r>
          </w:p>
        </w:tc>
      </w:tr>
      <w:tr w:rsidR="00564E12" w:rsidRPr="006E0B9D" w14:paraId="1AA137BE" w14:textId="77777777">
        <w:trPr>
          <w:trHeight w:val="238"/>
          <w:jc w:val="center"/>
        </w:trPr>
        <w:tc>
          <w:tcPr>
            <w:tcW w:w="3018" w:type="dxa"/>
            <w:tcBorders>
              <w:top w:val="nil"/>
            </w:tcBorders>
            <w:shd w:val="clear" w:color="auto" w:fill="auto"/>
            <w:vAlign w:val="center"/>
          </w:tcPr>
          <w:p w14:paraId="14EFD7D1" w14:textId="77777777" w:rsidR="00564E12" w:rsidRPr="006E0B9D" w:rsidRDefault="00564E12" w:rsidP="00564E12">
            <w:pPr>
              <w:keepNext/>
              <w:keepLines/>
              <w:spacing w:before="40" w:after="40" w:line="240" w:lineRule="auto"/>
              <w:rPr>
                <w:rFonts w:ascii="Arial" w:hAnsi="Arial" w:cs="Arial"/>
                <w:b/>
                <w:bCs/>
                <w:spacing w:val="-2"/>
                <w:sz w:val="14"/>
                <w:szCs w:val="14"/>
              </w:rPr>
            </w:pPr>
            <w:r w:rsidRPr="006E0B9D">
              <w:rPr>
                <w:rFonts w:ascii="Arial" w:hAnsi="Arial" w:cs="Arial"/>
                <w:b/>
                <w:spacing w:val="-2"/>
                <w:sz w:val="14"/>
                <w:szCs w:val="14"/>
              </w:rPr>
              <w:t>Total</w:t>
            </w:r>
          </w:p>
        </w:tc>
        <w:tc>
          <w:tcPr>
            <w:tcW w:w="595" w:type="dxa"/>
            <w:tcBorders>
              <w:top w:val="nil"/>
            </w:tcBorders>
            <w:shd w:val="clear" w:color="auto" w:fill="auto"/>
            <w:vAlign w:val="center"/>
          </w:tcPr>
          <w:p w14:paraId="50373A40" w14:textId="77777777" w:rsidR="00564E12" w:rsidRPr="006E0B9D" w:rsidRDefault="00564E12" w:rsidP="00564E12">
            <w:pPr>
              <w:pStyle w:val="08-Tabelageral"/>
              <w:rPr>
                <w:rFonts w:cs="Arial"/>
                <w:b/>
                <w:szCs w:val="14"/>
              </w:rPr>
            </w:pPr>
          </w:p>
        </w:tc>
        <w:tc>
          <w:tcPr>
            <w:tcW w:w="1611" w:type="dxa"/>
            <w:tcBorders>
              <w:top w:val="nil"/>
              <w:left w:val="nil"/>
              <w:bottom w:val="single" w:sz="4" w:space="0" w:color="auto"/>
              <w:right w:val="nil"/>
            </w:tcBorders>
          </w:tcPr>
          <w:p w14:paraId="71C29478" w14:textId="29EDF57D" w:rsidR="00564E12" w:rsidRPr="006E0B9D" w:rsidRDefault="00564E12" w:rsidP="00564E12">
            <w:pPr>
              <w:pStyle w:val="08-Tabelageral"/>
              <w:rPr>
                <w:rFonts w:cs="Arial"/>
                <w:b/>
                <w:szCs w:val="14"/>
              </w:rPr>
            </w:pPr>
            <w:r w:rsidRPr="00BC400E">
              <w:rPr>
                <w:b/>
                <w:bCs/>
              </w:rPr>
              <w:t xml:space="preserve"> 454 </w:t>
            </w:r>
          </w:p>
        </w:tc>
        <w:tc>
          <w:tcPr>
            <w:tcW w:w="1404" w:type="dxa"/>
            <w:tcBorders>
              <w:top w:val="nil"/>
              <w:left w:val="nil"/>
              <w:bottom w:val="single" w:sz="4" w:space="0" w:color="auto"/>
              <w:right w:val="nil"/>
            </w:tcBorders>
          </w:tcPr>
          <w:p w14:paraId="50C6BD06" w14:textId="0659157C" w:rsidR="00564E12" w:rsidRPr="006E0B9D" w:rsidRDefault="00564E12" w:rsidP="00564E12">
            <w:pPr>
              <w:pStyle w:val="08-Tabelageral"/>
              <w:rPr>
                <w:rFonts w:cs="Arial"/>
                <w:b/>
                <w:szCs w:val="14"/>
              </w:rPr>
            </w:pPr>
            <w:r w:rsidRPr="00BC400E">
              <w:rPr>
                <w:b/>
                <w:bCs/>
              </w:rPr>
              <w:t xml:space="preserve"> 68 </w:t>
            </w:r>
          </w:p>
        </w:tc>
        <w:tc>
          <w:tcPr>
            <w:tcW w:w="286" w:type="dxa"/>
            <w:tcBorders>
              <w:top w:val="nil"/>
              <w:left w:val="nil"/>
              <w:bottom w:val="single" w:sz="4" w:space="0" w:color="auto"/>
              <w:right w:val="nil"/>
            </w:tcBorders>
            <w:vAlign w:val="center"/>
          </w:tcPr>
          <w:p w14:paraId="734E6BB7" w14:textId="77777777" w:rsidR="00564E12" w:rsidRPr="006E0B9D" w:rsidRDefault="00564E12" w:rsidP="00564E12">
            <w:pPr>
              <w:pStyle w:val="08-Tabelageral"/>
              <w:rPr>
                <w:rFonts w:cs="Arial"/>
                <w:b/>
                <w:szCs w:val="14"/>
              </w:rPr>
            </w:pPr>
          </w:p>
        </w:tc>
        <w:tc>
          <w:tcPr>
            <w:tcW w:w="1409" w:type="dxa"/>
            <w:tcBorders>
              <w:top w:val="nil"/>
              <w:left w:val="nil"/>
              <w:bottom w:val="single" w:sz="4" w:space="0" w:color="auto"/>
              <w:right w:val="nil"/>
            </w:tcBorders>
          </w:tcPr>
          <w:p w14:paraId="228731D6" w14:textId="60FDE764" w:rsidR="00564E12" w:rsidRPr="006E0B9D" w:rsidRDefault="00564E12" w:rsidP="00564E12">
            <w:pPr>
              <w:pStyle w:val="08-Tabelageral"/>
              <w:spacing w:line="256" w:lineRule="auto"/>
              <w:rPr>
                <w:rFonts w:cs="Arial"/>
                <w:b/>
                <w:szCs w:val="14"/>
                <w:lang w:eastAsia="en-US"/>
              </w:rPr>
            </w:pPr>
            <w:r w:rsidRPr="00BC400E">
              <w:rPr>
                <w:b/>
                <w:bCs/>
              </w:rPr>
              <w:t xml:space="preserve"> 49</w:t>
            </w:r>
            <w:r w:rsidR="009C499B">
              <w:rPr>
                <w:b/>
                <w:bCs/>
              </w:rPr>
              <w:t>,</w:t>
            </w:r>
            <w:r w:rsidRPr="00BC400E">
              <w:rPr>
                <w:b/>
                <w:bCs/>
              </w:rPr>
              <w:t xml:space="preserve">907 </w:t>
            </w:r>
          </w:p>
        </w:tc>
        <w:tc>
          <w:tcPr>
            <w:tcW w:w="1316" w:type="dxa"/>
            <w:tcBorders>
              <w:top w:val="nil"/>
              <w:left w:val="nil"/>
              <w:bottom w:val="single" w:sz="4" w:space="0" w:color="auto"/>
              <w:right w:val="nil"/>
            </w:tcBorders>
          </w:tcPr>
          <w:p w14:paraId="378F9704" w14:textId="0E8AEA3D" w:rsidR="00564E12" w:rsidRPr="006E0B9D" w:rsidRDefault="00564E12" w:rsidP="00564E12">
            <w:pPr>
              <w:pStyle w:val="08-Tabelageral"/>
              <w:rPr>
                <w:rFonts w:cs="Arial"/>
                <w:b/>
                <w:szCs w:val="14"/>
              </w:rPr>
            </w:pPr>
            <w:r w:rsidRPr="00BC400E">
              <w:rPr>
                <w:b/>
                <w:bCs/>
              </w:rPr>
              <w:t xml:space="preserve"> 50</w:t>
            </w:r>
            <w:r w:rsidR="009C499B">
              <w:rPr>
                <w:b/>
                <w:bCs/>
              </w:rPr>
              <w:t>,</w:t>
            </w:r>
            <w:r w:rsidRPr="00BC400E">
              <w:rPr>
                <w:b/>
                <w:bCs/>
              </w:rPr>
              <w:t xml:space="preserve">429 </w:t>
            </w:r>
          </w:p>
        </w:tc>
      </w:tr>
    </w:tbl>
    <w:p w14:paraId="35E42BD9" w14:textId="77777777" w:rsidR="00136834" w:rsidRPr="00134726" w:rsidRDefault="00136834" w:rsidP="00136834">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0D72E3AD" w14:textId="0F486DA1" w:rsidR="00136834" w:rsidRPr="00134726" w:rsidRDefault="006D257A" w:rsidP="00136834">
      <w:pPr>
        <w:pStyle w:val="05-Textonormal"/>
        <w:rPr>
          <w:b/>
          <w:color w:val="1F3864" w:themeColor="accent1" w:themeShade="80"/>
          <w:lang w:val="en-US"/>
        </w:rPr>
      </w:pPr>
      <w:r>
        <w:rPr>
          <w:b/>
          <w:color w:val="1F3864" w:themeColor="accent1" w:themeShade="80"/>
          <w:lang w:val="en-US"/>
        </w:rPr>
        <w:t>c</w:t>
      </w:r>
      <w:r w:rsidR="00136834" w:rsidRPr="00134726">
        <w:rPr>
          <w:b/>
          <w:color w:val="1F3864" w:themeColor="accent1" w:themeShade="80"/>
          <w:lang w:val="en-US"/>
        </w:rPr>
        <w:t xml:space="preserve">) Contingent </w:t>
      </w:r>
      <w:r w:rsidR="00687BEE">
        <w:rPr>
          <w:b/>
          <w:color w:val="1F3864" w:themeColor="accent1" w:themeShade="80"/>
          <w:lang w:val="en-US"/>
        </w:rPr>
        <w:t>l</w:t>
      </w:r>
      <w:r w:rsidR="00136834" w:rsidRPr="00134726">
        <w:rPr>
          <w:b/>
          <w:color w:val="1F3864" w:themeColor="accent1" w:themeShade="80"/>
          <w:lang w:val="en-US"/>
        </w:rPr>
        <w:t xml:space="preserve">iabilities – </w:t>
      </w:r>
      <w:r w:rsidR="003F68AE">
        <w:rPr>
          <w:b/>
          <w:color w:val="1F3864" w:themeColor="accent1" w:themeShade="80"/>
          <w:lang w:val="en-US"/>
        </w:rPr>
        <w:t>p</w:t>
      </w:r>
      <w:r w:rsidR="00136834" w:rsidRPr="00134726">
        <w:rPr>
          <w:b/>
          <w:color w:val="1F3864" w:themeColor="accent1" w:themeShade="80"/>
          <w:lang w:val="en-US"/>
        </w:rPr>
        <w:t>ossible</w:t>
      </w:r>
      <w:r w:rsidR="003F68AE">
        <w:rPr>
          <w:b/>
          <w:color w:val="1F3864" w:themeColor="accent1" w:themeShade="80"/>
          <w:lang w:val="en-US"/>
        </w:rPr>
        <w:t xml:space="preserve"> losses</w:t>
      </w:r>
    </w:p>
    <w:p w14:paraId="0B950E09" w14:textId="77777777" w:rsidR="00136834" w:rsidRDefault="00136834" w:rsidP="00136834">
      <w:pPr>
        <w:pStyle w:val="05-Textonormal"/>
        <w:rPr>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135AEF77" w14:textId="77777777" w:rsidR="006D1C02" w:rsidRPr="004C6ED9" w:rsidRDefault="006D1C02" w:rsidP="006D1C02">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6D1C02" w:rsidRPr="00E71174" w14:paraId="26F71832" w14:textId="77777777" w:rsidTr="0098771D">
        <w:trPr>
          <w:trHeight w:val="238"/>
          <w:jc w:val="center"/>
        </w:trPr>
        <w:tc>
          <w:tcPr>
            <w:tcW w:w="850" w:type="dxa"/>
            <w:tcBorders>
              <w:bottom w:val="nil"/>
            </w:tcBorders>
            <w:shd w:val="clear" w:color="auto" w:fill="auto"/>
            <w:vAlign w:val="center"/>
          </w:tcPr>
          <w:p w14:paraId="22A1611A" w14:textId="77777777" w:rsidR="006D1C02" w:rsidRPr="00C72808" w:rsidRDefault="006D1C02" w:rsidP="0098771D">
            <w:pPr>
              <w:keepNext/>
              <w:keepLines/>
              <w:spacing w:before="40" w:after="40"/>
              <w:rPr>
                <w:rFonts w:ascii="Arial" w:hAnsi="Arial" w:cs="Arial"/>
                <w:bCs/>
                <w:spacing w:val="-2"/>
                <w:sz w:val="14"/>
                <w:szCs w:val="14"/>
              </w:rPr>
            </w:pPr>
          </w:p>
        </w:tc>
        <w:tc>
          <w:tcPr>
            <w:tcW w:w="2552" w:type="dxa"/>
            <w:gridSpan w:val="2"/>
            <w:tcBorders>
              <w:bottom w:val="nil"/>
            </w:tcBorders>
            <w:shd w:val="clear" w:color="auto" w:fill="auto"/>
            <w:vAlign w:val="center"/>
          </w:tcPr>
          <w:p w14:paraId="2416F71E" w14:textId="77777777" w:rsidR="006D1C02" w:rsidRPr="00E71174" w:rsidRDefault="006D1C02" w:rsidP="0098771D">
            <w:pPr>
              <w:keepNext/>
              <w:keepLines/>
              <w:spacing w:before="40" w:after="40"/>
              <w:rPr>
                <w:rFonts w:ascii="Arial" w:hAnsi="Arial" w:cs="Arial"/>
                <w:bCs/>
                <w:spacing w:val="-2"/>
                <w:sz w:val="14"/>
                <w:szCs w:val="14"/>
              </w:rPr>
            </w:pPr>
          </w:p>
        </w:tc>
        <w:tc>
          <w:tcPr>
            <w:tcW w:w="2823" w:type="dxa"/>
            <w:gridSpan w:val="2"/>
            <w:shd w:val="clear" w:color="auto" w:fill="auto"/>
            <w:vAlign w:val="center"/>
          </w:tcPr>
          <w:p w14:paraId="2012F71E" w14:textId="77777777" w:rsidR="006D1C02" w:rsidRPr="00E71174" w:rsidRDefault="006D1C02" w:rsidP="0098771D">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shd w:val="clear" w:color="auto" w:fill="auto"/>
            <w:vAlign w:val="center"/>
          </w:tcPr>
          <w:p w14:paraId="129EFCBD" w14:textId="77777777" w:rsidR="006D1C02" w:rsidRPr="00E71174" w:rsidRDefault="006D1C02" w:rsidP="0098771D">
            <w:pPr>
              <w:keepNext/>
              <w:keepLines/>
              <w:spacing w:before="40" w:after="40"/>
              <w:jc w:val="center"/>
              <w:rPr>
                <w:rFonts w:ascii="Arial" w:hAnsi="Arial" w:cs="Arial"/>
                <w:b/>
                <w:bCs/>
                <w:spacing w:val="-2"/>
                <w:sz w:val="14"/>
                <w:szCs w:val="14"/>
              </w:rPr>
            </w:pPr>
          </w:p>
        </w:tc>
        <w:tc>
          <w:tcPr>
            <w:tcW w:w="284" w:type="dxa"/>
            <w:shd w:val="clear" w:color="auto" w:fill="auto"/>
            <w:vAlign w:val="center"/>
          </w:tcPr>
          <w:p w14:paraId="78529308" w14:textId="77777777" w:rsidR="006D1C02" w:rsidRPr="00E71174" w:rsidRDefault="006D1C02" w:rsidP="0098771D">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12DF98D6" w14:textId="77777777" w:rsidR="006D1C02" w:rsidRPr="00E71174" w:rsidRDefault="006D1C02" w:rsidP="0098771D">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6D1C02" w:rsidRPr="00E71174" w14:paraId="06A86445" w14:textId="77777777" w:rsidTr="0098771D">
        <w:trPr>
          <w:trHeight w:val="238"/>
          <w:jc w:val="center"/>
        </w:trPr>
        <w:tc>
          <w:tcPr>
            <w:tcW w:w="3094" w:type="dxa"/>
            <w:gridSpan w:val="2"/>
            <w:tcBorders>
              <w:top w:val="nil"/>
              <w:bottom w:val="single" w:sz="2" w:space="0" w:color="1F3864" w:themeColor="accent1" w:themeShade="80"/>
            </w:tcBorders>
            <w:shd w:val="clear" w:color="auto" w:fill="auto"/>
            <w:vAlign w:val="center"/>
          </w:tcPr>
          <w:p w14:paraId="7067F075" w14:textId="77777777" w:rsidR="006D1C02" w:rsidRPr="0004479C" w:rsidRDefault="006D1C02" w:rsidP="0098771D">
            <w:pPr>
              <w:pStyle w:val="08-Tabelageral"/>
              <w:jc w:val="left"/>
              <w:rPr>
                <w:rFonts w:cs="Arial"/>
                <w:b/>
                <w:szCs w:val="14"/>
                <w:lang w:eastAsia="en-US"/>
              </w:rPr>
            </w:pPr>
          </w:p>
        </w:tc>
        <w:tc>
          <w:tcPr>
            <w:tcW w:w="308" w:type="dxa"/>
            <w:tcBorders>
              <w:top w:val="nil"/>
              <w:bottom w:val="single" w:sz="2" w:space="0" w:color="1F3864" w:themeColor="accent1" w:themeShade="80"/>
            </w:tcBorders>
            <w:shd w:val="clear" w:color="auto" w:fill="auto"/>
            <w:vAlign w:val="center"/>
          </w:tcPr>
          <w:p w14:paraId="5E809E7B" w14:textId="77777777" w:rsidR="006D1C02" w:rsidRPr="0004479C" w:rsidRDefault="006D1C02" w:rsidP="0098771D">
            <w:pPr>
              <w:pStyle w:val="08-Tabelageral"/>
              <w:rPr>
                <w:rFonts w:cs="Arial"/>
                <w:b/>
                <w:szCs w:val="14"/>
                <w:lang w:eastAsia="en-US"/>
              </w:rPr>
            </w:pPr>
          </w:p>
        </w:tc>
        <w:tc>
          <w:tcPr>
            <w:tcW w:w="1411" w:type="dxa"/>
            <w:tcBorders>
              <w:bottom w:val="single" w:sz="2" w:space="0" w:color="1F3864" w:themeColor="accent1" w:themeShade="80"/>
            </w:tcBorders>
            <w:shd w:val="clear" w:color="auto" w:fill="auto"/>
            <w:vAlign w:val="center"/>
          </w:tcPr>
          <w:p w14:paraId="074CB6C5" w14:textId="77777777" w:rsidR="006D1C02" w:rsidRPr="00E71174" w:rsidRDefault="006D1C02" w:rsidP="0098771D">
            <w:pPr>
              <w:pStyle w:val="08-Tabelageral"/>
              <w:rPr>
                <w:rFonts w:cs="Arial"/>
                <w:b/>
                <w:szCs w:val="14"/>
                <w:lang w:eastAsia="en-US"/>
              </w:rPr>
            </w:pPr>
            <w:proofErr w:type="spellStart"/>
            <w:r w:rsidRPr="00DE1F01">
              <w:rPr>
                <w:rFonts w:cs="Arial"/>
                <w:b/>
                <w:szCs w:val="14"/>
                <w:lang w:eastAsia="en-US"/>
              </w:rPr>
              <w:t>Dec</w:t>
            </w:r>
            <w:proofErr w:type="spellEnd"/>
            <w:r w:rsidRPr="00DE1F01">
              <w:rPr>
                <w:rFonts w:cs="Arial"/>
                <w:b/>
                <w:szCs w:val="14"/>
                <w:lang w:eastAsia="en-US"/>
              </w:rPr>
              <w:t xml:space="preserve"> 31, 2024</w:t>
            </w:r>
          </w:p>
        </w:tc>
        <w:tc>
          <w:tcPr>
            <w:tcW w:w="1412" w:type="dxa"/>
            <w:tcBorders>
              <w:bottom w:val="single" w:sz="2" w:space="0" w:color="1F3864" w:themeColor="accent1" w:themeShade="80"/>
            </w:tcBorders>
            <w:shd w:val="clear" w:color="auto" w:fill="auto"/>
            <w:vAlign w:val="center"/>
          </w:tcPr>
          <w:p w14:paraId="250C4E21" w14:textId="77777777" w:rsidR="006D1C02" w:rsidRPr="00E71174" w:rsidRDefault="006D1C02" w:rsidP="0098771D">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Pr>
                <w:rFonts w:cs="Arial"/>
                <w:b/>
                <w:szCs w:val="14"/>
                <w:lang w:eastAsia="en-US"/>
              </w:rPr>
              <w:t>3</w:t>
            </w:r>
          </w:p>
        </w:tc>
        <w:tc>
          <w:tcPr>
            <w:tcW w:w="283" w:type="dxa"/>
            <w:tcBorders>
              <w:bottom w:val="single" w:sz="2" w:space="0" w:color="1F3864" w:themeColor="accent1" w:themeShade="80"/>
            </w:tcBorders>
            <w:shd w:val="clear" w:color="auto" w:fill="auto"/>
            <w:vAlign w:val="center"/>
          </w:tcPr>
          <w:p w14:paraId="641E020E" w14:textId="77777777" w:rsidR="006D1C02" w:rsidRPr="00E71174" w:rsidRDefault="006D1C02" w:rsidP="0098771D">
            <w:pPr>
              <w:pStyle w:val="08-Tabelageral"/>
              <w:rPr>
                <w:rFonts w:cs="Arial"/>
                <w:b/>
                <w:szCs w:val="14"/>
                <w:lang w:eastAsia="en-US"/>
              </w:rPr>
            </w:pPr>
          </w:p>
        </w:tc>
        <w:tc>
          <w:tcPr>
            <w:tcW w:w="284" w:type="dxa"/>
            <w:tcBorders>
              <w:bottom w:val="single" w:sz="2" w:space="0" w:color="1F3864" w:themeColor="accent1" w:themeShade="80"/>
            </w:tcBorders>
            <w:shd w:val="clear" w:color="auto" w:fill="auto"/>
            <w:vAlign w:val="center"/>
          </w:tcPr>
          <w:p w14:paraId="6E41CA85" w14:textId="77777777" w:rsidR="006D1C02" w:rsidRPr="00E71174" w:rsidRDefault="006D1C02" w:rsidP="0098771D">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6D033EAF" w14:textId="77777777" w:rsidR="006D1C02" w:rsidRPr="00E71174" w:rsidRDefault="006D1C02" w:rsidP="0098771D">
            <w:pPr>
              <w:pStyle w:val="08-Tabelageral"/>
              <w:rPr>
                <w:rFonts w:cs="Arial"/>
                <w:b/>
                <w:szCs w:val="14"/>
                <w:lang w:eastAsia="en-US"/>
              </w:rPr>
            </w:pPr>
            <w:proofErr w:type="spellStart"/>
            <w:r w:rsidRPr="00DE1F01">
              <w:rPr>
                <w:rFonts w:cs="Arial"/>
                <w:b/>
                <w:szCs w:val="14"/>
                <w:lang w:eastAsia="en-US"/>
              </w:rPr>
              <w:t>Dec</w:t>
            </w:r>
            <w:proofErr w:type="spellEnd"/>
            <w:r w:rsidRPr="00DE1F01">
              <w:rPr>
                <w:rFonts w:cs="Arial"/>
                <w:b/>
                <w:szCs w:val="14"/>
                <w:lang w:eastAsia="en-US"/>
              </w:rPr>
              <w:t xml:space="preserve"> 31, 2024</w:t>
            </w:r>
          </w:p>
        </w:tc>
        <w:tc>
          <w:tcPr>
            <w:tcW w:w="1418" w:type="dxa"/>
            <w:tcBorders>
              <w:bottom w:val="single" w:sz="2" w:space="0" w:color="1F3864" w:themeColor="accent1" w:themeShade="80"/>
            </w:tcBorders>
            <w:shd w:val="clear" w:color="auto" w:fill="auto"/>
            <w:vAlign w:val="center"/>
          </w:tcPr>
          <w:p w14:paraId="3088AED8" w14:textId="77777777" w:rsidR="006D1C02" w:rsidRPr="00E71174" w:rsidRDefault="006D1C02" w:rsidP="0098771D">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Pr>
                <w:rFonts w:cs="Arial"/>
                <w:b/>
                <w:szCs w:val="14"/>
                <w:lang w:eastAsia="en-US"/>
              </w:rPr>
              <w:t>3</w:t>
            </w:r>
          </w:p>
        </w:tc>
      </w:tr>
      <w:tr w:rsidR="006D1C02" w:rsidRPr="004C6ED9" w14:paraId="4113FFEB" w14:textId="77777777" w:rsidTr="0098771D">
        <w:trPr>
          <w:trHeight w:val="238"/>
          <w:jc w:val="center"/>
        </w:trPr>
        <w:tc>
          <w:tcPr>
            <w:tcW w:w="3094" w:type="dxa"/>
            <w:gridSpan w:val="2"/>
            <w:tcBorders>
              <w:bottom w:val="nil"/>
            </w:tcBorders>
            <w:shd w:val="clear" w:color="auto" w:fill="auto"/>
            <w:vAlign w:val="center"/>
          </w:tcPr>
          <w:p w14:paraId="051B6FB4" w14:textId="77777777" w:rsidR="006D1C02" w:rsidRPr="00A50A7C" w:rsidRDefault="006D1C02" w:rsidP="0098771D">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proofErr w:type="spellStart"/>
            <w:r>
              <w:rPr>
                <w:rFonts w:cs="Arial"/>
                <w:szCs w:val="14"/>
              </w:rPr>
              <w:t>lawsuits</w:t>
            </w:r>
            <w:proofErr w:type="spellEnd"/>
            <w:r>
              <w:rPr>
                <w:rFonts w:cs="Arial"/>
                <w:szCs w:val="14"/>
              </w:rPr>
              <w:t xml:space="preserve"> </w:t>
            </w:r>
            <w:r>
              <w:rPr>
                <w:rFonts w:cs="Arial"/>
                <w:szCs w:val="14"/>
                <w:vertAlign w:val="superscript"/>
              </w:rPr>
              <w:t>(1)</w:t>
            </w:r>
          </w:p>
        </w:tc>
        <w:tc>
          <w:tcPr>
            <w:tcW w:w="308" w:type="dxa"/>
            <w:tcBorders>
              <w:bottom w:val="nil"/>
            </w:tcBorders>
            <w:shd w:val="clear" w:color="auto" w:fill="auto"/>
            <w:vAlign w:val="center"/>
          </w:tcPr>
          <w:p w14:paraId="08990E8E" w14:textId="77777777" w:rsidR="006D1C02" w:rsidRPr="004C6ED9" w:rsidRDefault="006D1C02" w:rsidP="0098771D">
            <w:pPr>
              <w:pStyle w:val="08-Tabelageral"/>
              <w:rPr>
                <w:rFonts w:cs="Arial"/>
                <w:szCs w:val="14"/>
              </w:rPr>
            </w:pPr>
          </w:p>
        </w:tc>
        <w:tc>
          <w:tcPr>
            <w:tcW w:w="1411" w:type="dxa"/>
            <w:tcBorders>
              <w:bottom w:val="nil"/>
            </w:tcBorders>
            <w:shd w:val="clear" w:color="auto" w:fill="auto"/>
            <w:vAlign w:val="center"/>
          </w:tcPr>
          <w:p w14:paraId="72D01FF8" w14:textId="77777777" w:rsidR="006D1C02" w:rsidRPr="004C6ED9" w:rsidRDefault="006D1C02" w:rsidP="0098771D">
            <w:pPr>
              <w:pStyle w:val="08-Tabelageral"/>
              <w:rPr>
                <w:rFonts w:cs="Arial"/>
                <w:szCs w:val="14"/>
              </w:rPr>
            </w:pPr>
            <w:r w:rsidRPr="00F85E46">
              <w:rPr>
                <w:rFonts w:cs="Arial"/>
                <w:szCs w:val="14"/>
              </w:rPr>
              <w:t>--</w:t>
            </w:r>
          </w:p>
        </w:tc>
        <w:tc>
          <w:tcPr>
            <w:tcW w:w="1412" w:type="dxa"/>
            <w:tcBorders>
              <w:bottom w:val="nil"/>
            </w:tcBorders>
            <w:shd w:val="clear" w:color="auto" w:fill="auto"/>
            <w:vAlign w:val="center"/>
          </w:tcPr>
          <w:p w14:paraId="35676AC0" w14:textId="77777777" w:rsidR="006D1C02" w:rsidRPr="004C6ED9" w:rsidRDefault="006D1C02" w:rsidP="0098771D">
            <w:pPr>
              <w:pStyle w:val="08-Tabelageral"/>
              <w:rPr>
                <w:rFonts w:cs="Arial"/>
                <w:szCs w:val="14"/>
              </w:rPr>
            </w:pPr>
            <w:r w:rsidRPr="00F85E46">
              <w:rPr>
                <w:rFonts w:cs="Arial"/>
                <w:szCs w:val="14"/>
              </w:rPr>
              <w:t>--</w:t>
            </w:r>
          </w:p>
        </w:tc>
        <w:tc>
          <w:tcPr>
            <w:tcW w:w="283" w:type="dxa"/>
            <w:tcBorders>
              <w:bottom w:val="nil"/>
            </w:tcBorders>
            <w:shd w:val="clear" w:color="auto" w:fill="auto"/>
            <w:vAlign w:val="center"/>
          </w:tcPr>
          <w:p w14:paraId="5B7712C0" w14:textId="77777777" w:rsidR="006D1C02" w:rsidRPr="004C6ED9" w:rsidRDefault="006D1C02" w:rsidP="0098771D">
            <w:pPr>
              <w:pStyle w:val="08-Tabelageral"/>
              <w:rPr>
                <w:rFonts w:cs="Arial"/>
                <w:szCs w:val="14"/>
              </w:rPr>
            </w:pPr>
          </w:p>
        </w:tc>
        <w:tc>
          <w:tcPr>
            <w:tcW w:w="284" w:type="dxa"/>
            <w:tcBorders>
              <w:bottom w:val="nil"/>
            </w:tcBorders>
            <w:shd w:val="clear" w:color="auto" w:fill="auto"/>
            <w:vAlign w:val="center"/>
          </w:tcPr>
          <w:p w14:paraId="02174923" w14:textId="77777777" w:rsidR="006D1C02" w:rsidRDefault="006D1C02" w:rsidP="0098771D">
            <w:pPr>
              <w:pStyle w:val="08-Tabelageral"/>
              <w:rPr>
                <w:rFonts w:cs="Arial"/>
                <w:szCs w:val="14"/>
              </w:rPr>
            </w:pPr>
          </w:p>
        </w:tc>
        <w:tc>
          <w:tcPr>
            <w:tcW w:w="1417" w:type="dxa"/>
            <w:tcBorders>
              <w:top w:val="single" w:sz="2" w:space="0" w:color="1F3864" w:themeColor="accent1" w:themeShade="80"/>
              <w:left w:val="nil"/>
              <w:bottom w:val="nil"/>
              <w:right w:val="nil"/>
            </w:tcBorders>
          </w:tcPr>
          <w:p w14:paraId="525D8115" w14:textId="77777777" w:rsidR="006D1C02" w:rsidRPr="004C6ED9" w:rsidRDefault="006D1C02" w:rsidP="0098771D">
            <w:pPr>
              <w:pStyle w:val="08-Tabelageral"/>
              <w:rPr>
                <w:rFonts w:cs="Arial"/>
                <w:szCs w:val="14"/>
              </w:rPr>
            </w:pPr>
            <w:r w:rsidRPr="00044E70">
              <w:rPr>
                <w:rFonts w:cs="Arial"/>
              </w:rPr>
              <w:t xml:space="preserve"> 338</w:t>
            </w:r>
            <w:r>
              <w:rPr>
                <w:rFonts w:cs="Arial"/>
              </w:rPr>
              <w:t>,</w:t>
            </w:r>
            <w:r w:rsidRPr="00044E70">
              <w:rPr>
                <w:rFonts w:cs="Arial"/>
              </w:rPr>
              <w:t xml:space="preserve">628 </w:t>
            </w:r>
          </w:p>
        </w:tc>
        <w:tc>
          <w:tcPr>
            <w:tcW w:w="1418" w:type="dxa"/>
            <w:tcBorders>
              <w:bottom w:val="nil"/>
            </w:tcBorders>
            <w:shd w:val="clear" w:color="auto" w:fill="auto"/>
            <w:vAlign w:val="center"/>
          </w:tcPr>
          <w:p w14:paraId="682DD367" w14:textId="77777777" w:rsidR="006D1C02" w:rsidRPr="004C6ED9" w:rsidRDefault="006D1C02" w:rsidP="0098771D">
            <w:pPr>
              <w:pStyle w:val="08-Tabelageral"/>
              <w:rPr>
                <w:rFonts w:cs="Arial"/>
                <w:szCs w:val="14"/>
              </w:rPr>
            </w:pPr>
            <w:r w:rsidRPr="00F85E46">
              <w:rPr>
                <w:rFonts w:cs="Arial"/>
              </w:rPr>
              <w:t>305</w:t>
            </w:r>
            <w:r>
              <w:rPr>
                <w:rFonts w:cs="Arial"/>
              </w:rPr>
              <w:t>,</w:t>
            </w:r>
            <w:r w:rsidRPr="00F85E46">
              <w:rPr>
                <w:rFonts w:cs="Arial"/>
              </w:rPr>
              <w:t>562</w:t>
            </w:r>
          </w:p>
        </w:tc>
      </w:tr>
      <w:tr w:rsidR="006D1C02" w:rsidRPr="004C6ED9" w14:paraId="24D6980C" w14:textId="77777777" w:rsidTr="0098771D">
        <w:trPr>
          <w:trHeight w:val="238"/>
          <w:jc w:val="center"/>
        </w:trPr>
        <w:tc>
          <w:tcPr>
            <w:tcW w:w="3094" w:type="dxa"/>
            <w:gridSpan w:val="2"/>
            <w:tcBorders>
              <w:top w:val="nil"/>
              <w:bottom w:val="nil"/>
            </w:tcBorders>
            <w:shd w:val="clear" w:color="auto" w:fill="auto"/>
            <w:vAlign w:val="center"/>
          </w:tcPr>
          <w:p w14:paraId="374DAA9F" w14:textId="77777777" w:rsidR="006D1C02" w:rsidRDefault="006D1C02" w:rsidP="0098771D">
            <w:pPr>
              <w:pStyle w:val="08-Tabelageral"/>
              <w:jc w:val="left"/>
              <w:rPr>
                <w:rFonts w:cs="Arial"/>
                <w:b/>
                <w:szCs w:val="14"/>
              </w:rPr>
            </w:pPr>
            <w:r>
              <w:rPr>
                <w:rFonts w:cs="Arial"/>
                <w:szCs w:val="14"/>
              </w:rPr>
              <w:t xml:space="preserve">Civil </w:t>
            </w:r>
            <w:proofErr w:type="spellStart"/>
            <w:r>
              <w:rPr>
                <w:rFonts w:cs="Arial"/>
                <w:szCs w:val="14"/>
              </w:rPr>
              <w:t>lawsuits</w:t>
            </w:r>
            <w:proofErr w:type="spellEnd"/>
          </w:p>
        </w:tc>
        <w:tc>
          <w:tcPr>
            <w:tcW w:w="308" w:type="dxa"/>
            <w:tcBorders>
              <w:top w:val="nil"/>
              <w:bottom w:val="nil"/>
            </w:tcBorders>
            <w:shd w:val="clear" w:color="auto" w:fill="auto"/>
            <w:vAlign w:val="center"/>
          </w:tcPr>
          <w:p w14:paraId="39975DD8" w14:textId="77777777" w:rsidR="006D1C02" w:rsidRPr="004C6ED9" w:rsidRDefault="006D1C02" w:rsidP="0098771D">
            <w:pPr>
              <w:pStyle w:val="08-Tabelageral"/>
              <w:rPr>
                <w:rFonts w:cs="Arial"/>
                <w:szCs w:val="14"/>
              </w:rPr>
            </w:pPr>
          </w:p>
        </w:tc>
        <w:tc>
          <w:tcPr>
            <w:tcW w:w="1411" w:type="dxa"/>
            <w:tcBorders>
              <w:top w:val="nil"/>
              <w:bottom w:val="nil"/>
            </w:tcBorders>
            <w:shd w:val="clear" w:color="auto" w:fill="auto"/>
            <w:vAlign w:val="center"/>
          </w:tcPr>
          <w:p w14:paraId="7EF7F744" w14:textId="77777777" w:rsidR="006D1C02" w:rsidRPr="004C6ED9" w:rsidRDefault="006D1C02" w:rsidP="0098771D">
            <w:pPr>
              <w:pStyle w:val="08-Tabelageral"/>
              <w:rPr>
                <w:rFonts w:cs="Arial"/>
                <w:szCs w:val="14"/>
              </w:rPr>
            </w:pPr>
            <w:r w:rsidRPr="003345AE">
              <w:rPr>
                <w:rFonts w:cs="Arial"/>
                <w:szCs w:val="14"/>
              </w:rPr>
              <w:t>652</w:t>
            </w:r>
          </w:p>
        </w:tc>
        <w:tc>
          <w:tcPr>
            <w:tcW w:w="1412" w:type="dxa"/>
            <w:tcBorders>
              <w:top w:val="nil"/>
              <w:bottom w:val="nil"/>
            </w:tcBorders>
            <w:shd w:val="clear" w:color="auto" w:fill="auto"/>
            <w:vAlign w:val="center"/>
          </w:tcPr>
          <w:p w14:paraId="09D5D6B4" w14:textId="77777777" w:rsidR="006D1C02" w:rsidRPr="004C6ED9" w:rsidRDefault="006D1C02" w:rsidP="0098771D">
            <w:pPr>
              <w:pStyle w:val="08-Tabelageral"/>
              <w:rPr>
                <w:rFonts w:cs="Arial"/>
                <w:szCs w:val="14"/>
              </w:rPr>
            </w:pPr>
            <w:r w:rsidRPr="00F85E46">
              <w:rPr>
                <w:rFonts w:cs="Arial"/>
                <w:szCs w:val="14"/>
              </w:rPr>
              <w:t>15</w:t>
            </w:r>
          </w:p>
        </w:tc>
        <w:tc>
          <w:tcPr>
            <w:tcW w:w="283" w:type="dxa"/>
            <w:tcBorders>
              <w:top w:val="nil"/>
              <w:bottom w:val="nil"/>
            </w:tcBorders>
            <w:shd w:val="clear" w:color="auto" w:fill="auto"/>
            <w:vAlign w:val="center"/>
          </w:tcPr>
          <w:p w14:paraId="6B9A798D" w14:textId="77777777" w:rsidR="006D1C02" w:rsidRPr="004C6ED9" w:rsidRDefault="006D1C02" w:rsidP="0098771D">
            <w:pPr>
              <w:pStyle w:val="08-Tabelageral"/>
              <w:rPr>
                <w:rFonts w:cs="Arial"/>
                <w:szCs w:val="14"/>
              </w:rPr>
            </w:pPr>
          </w:p>
        </w:tc>
        <w:tc>
          <w:tcPr>
            <w:tcW w:w="284" w:type="dxa"/>
            <w:tcBorders>
              <w:top w:val="nil"/>
              <w:bottom w:val="nil"/>
            </w:tcBorders>
            <w:shd w:val="clear" w:color="auto" w:fill="auto"/>
            <w:vAlign w:val="center"/>
          </w:tcPr>
          <w:p w14:paraId="2035FEFA" w14:textId="77777777" w:rsidR="006D1C02" w:rsidRDefault="006D1C02" w:rsidP="0098771D">
            <w:pPr>
              <w:pStyle w:val="08-Tabelageral"/>
              <w:rPr>
                <w:rFonts w:cs="Arial"/>
                <w:szCs w:val="14"/>
              </w:rPr>
            </w:pPr>
          </w:p>
        </w:tc>
        <w:tc>
          <w:tcPr>
            <w:tcW w:w="1417" w:type="dxa"/>
            <w:tcBorders>
              <w:top w:val="nil"/>
              <w:left w:val="nil"/>
              <w:bottom w:val="nil"/>
              <w:right w:val="nil"/>
            </w:tcBorders>
          </w:tcPr>
          <w:p w14:paraId="52836DE6" w14:textId="77777777" w:rsidR="006D1C02" w:rsidRPr="004C6ED9" w:rsidRDefault="006D1C02" w:rsidP="0098771D">
            <w:pPr>
              <w:pStyle w:val="08-Tabelageral"/>
              <w:rPr>
                <w:rFonts w:cs="Arial"/>
                <w:szCs w:val="14"/>
              </w:rPr>
            </w:pPr>
            <w:r w:rsidRPr="00044E70">
              <w:rPr>
                <w:rFonts w:cs="Arial"/>
              </w:rPr>
              <w:t xml:space="preserve"> 6</w:t>
            </w:r>
            <w:r>
              <w:rPr>
                <w:rFonts w:cs="Arial"/>
              </w:rPr>
              <w:t>,</w:t>
            </w:r>
            <w:r w:rsidRPr="00044E70">
              <w:rPr>
                <w:rFonts w:cs="Arial"/>
              </w:rPr>
              <w:t xml:space="preserve">842 </w:t>
            </w:r>
          </w:p>
        </w:tc>
        <w:tc>
          <w:tcPr>
            <w:tcW w:w="1418" w:type="dxa"/>
            <w:tcBorders>
              <w:top w:val="nil"/>
              <w:bottom w:val="nil"/>
            </w:tcBorders>
            <w:shd w:val="clear" w:color="auto" w:fill="auto"/>
            <w:vAlign w:val="center"/>
          </w:tcPr>
          <w:p w14:paraId="171BE96C" w14:textId="77777777" w:rsidR="006D1C02" w:rsidRPr="004C6ED9" w:rsidRDefault="006D1C02" w:rsidP="0098771D">
            <w:pPr>
              <w:pStyle w:val="08-Tabelageral"/>
              <w:rPr>
                <w:rFonts w:cs="Arial"/>
                <w:szCs w:val="14"/>
              </w:rPr>
            </w:pPr>
            <w:r w:rsidRPr="00F85E46">
              <w:rPr>
                <w:rFonts w:cs="Arial"/>
              </w:rPr>
              <w:t>2</w:t>
            </w:r>
            <w:r>
              <w:rPr>
                <w:rFonts w:cs="Arial"/>
              </w:rPr>
              <w:t>,</w:t>
            </w:r>
            <w:r w:rsidRPr="00F85E46">
              <w:rPr>
                <w:rFonts w:cs="Arial"/>
              </w:rPr>
              <w:t>629</w:t>
            </w:r>
          </w:p>
        </w:tc>
      </w:tr>
      <w:tr w:rsidR="006D1C02" w:rsidRPr="00313182" w14:paraId="37F68800" w14:textId="77777777" w:rsidTr="0098771D">
        <w:trPr>
          <w:trHeight w:val="238"/>
          <w:jc w:val="center"/>
        </w:trPr>
        <w:tc>
          <w:tcPr>
            <w:tcW w:w="3094" w:type="dxa"/>
            <w:gridSpan w:val="2"/>
            <w:tcBorders>
              <w:top w:val="nil"/>
            </w:tcBorders>
            <w:shd w:val="clear" w:color="auto" w:fill="auto"/>
            <w:vAlign w:val="center"/>
          </w:tcPr>
          <w:p w14:paraId="5793C698" w14:textId="77777777" w:rsidR="006D1C02" w:rsidRPr="00313182" w:rsidRDefault="006D1C02" w:rsidP="0098771D">
            <w:pPr>
              <w:keepNext/>
              <w:keepLines/>
              <w:spacing w:before="40" w:after="40" w:line="240" w:lineRule="auto"/>
              <w:rPr>
                <w:rFonts w:ascii="Arial" w:hAnsi="Arial" w:cs="Arial"/>
                <w:b/>
                <w:bCs/>
                <w:spacing w:val="-2"/>
                <w:sz w:val="14"/>
                <w:szCs w:val="14"/>
              </w:rPr>
            </w:pPr>
            <w:r w:rsidRPr="00313182">
              <w:rPr>
                <w:rFonts w:ascii="Arial" w:hAnsi="Arial" w:cs="Arial"/>
                <w:b/>
                <w:spacing w:val="-2"/>
                <w:sz w:val="14"/>
                <w:szCs w:val="14"/>
              </w:rPr>
              <w:t>Total</w:t>
            </w:r>
          </w:p>
        </w:tc>
        <w:tc>
          <w:tcPr>
            <w:tcW w:w="308" w:type="dxa"/>
            <w:tcBorders>
              <w:top w:val="nil"/>
            </w:tcBorders>
            <w:shd w:val="clear" w:color="auto" w:fill="auto"/>
            <w:vAlign w:val="center"/>
          </w:tcPr>
          <w:p w14:paraId="5B36A4EF" w14:textId="77777777" w:rsidR="006D1C02" w:rsidRPr="00313182" w:rsidRDefault="006D1C02" w:rsidP="0098771D">
            <w:pPr>
              <w:pStyle w:val="08-Tabelageral"/>
              <w:rPr>
                <w:rFonts w:cs="Arial"/>
                <w:b/>
                <w:szCs w:val="14"/>
              </w:rPr>
            </w:pPr>
          </w:p>
        </w:tc>
        <w:tc>
          <w:tcPr>
            <w:tcW w:w="1411" w:type="dxa"/>
            <w:tcBorders>
              <w:top w:val="nil"/>
            </w:tcBorders>
            <w:shd w:val="clear" w:color="auto" w:fill="auto"/>
            <w:vAlign w:val="center"/>
          </w:tcPr>
          <w:p w14:paraId="5A625E5B" w14:textId="77777777" w:rsidR="006D1C02" w:rsidRPr="00313182" w:rsidRDefault="006D1C02" w:rsidP="0098771D">
            <w:pPr>
              <w:pStyle w:val="08-Tabelageral"/>
              <w:rPr>
                <w:rFonts w:cs="Arial"/>
                <w:b/>
                <w:szCs w:val="14"/>
              </w:rPr>
            </w:pPr>
            <w:r w:rsidRPr="003345AE">
              <w:rPr>
                <w:rFonts w:cs="Arial"/>
                <w:b/>
                <w:szCs w:val="14"/>
              </w:rPr>
              <w:t>652</w:t>
            </w:r>
          </w:p>
        </w:tc>
        <w:tc>
          <w:tcPr>
            <w:tcW w:w="1412" w:type="dxa"/>
            <w:tcBorders>
              <w:top w:val="nil"/>
            </w:tcBorders>
            <w:shd w:val="clear" w:color="auto" w:fill="auto"/>
            <w:vAlign w:val="center"/>
          </w:tcPr>
          <w:p w14:paraId="0ACABABA" w14:textId="77777777" w:rsidR="006D1C02" w:rsidRPr="00313182" w:rsidRDefault="006D1C02" w:rsidP="0098771D">
            <w:pPr>
              <w:pStyle w:val="08-Tabelageral"/>
              <w:rPr>
                <w:rFonts w:cs="Arial"/>
                <w:b/>
                <w:szCs w:val="14"/>
              </w:rPr>
            </w:pPr>
            <w:r w:rsidRPr="00F85E46">
              <w:rPr>
                <w:rFonts w:cs="Arial"/>
                <w:b/>
                <w:szCs w:val="14"/>
              </w:rPr>
              <w:t>15</w:t>
            </w:r>
          </w:p>
        </w:tc>
        <w:tc>
          <w:tcPr>
            <w:tcW w:w="283" w:type="dxa"/>
            <w:tcBorders>
              <w:top w:val="nil"/>
            </w:tcBorders>
            <w:shd w:val="clear" w:color="auto" w:fill="auto"/>
            <w:vAlign w:val="center"/>
          </w:tcPr>
          <w:p w14:paraId="1E6A3A1A" w14:textId="77777777" w:rsidR="006D1C02" w:rsidRPr="00313182" w:rsidRDefault="006D1C02" w:rsidP="0098771D">
            <w:pPr>
              <w:pStyle w:val="08-Tabelageral"/>
              <w:rPr>
                <w:rFonts w:cs="Arial"/>
                <w:b/>
                <w:szCs w:val="14"/>
              </w:rPr>
            </w:pPr>
          </w:p>
        </w:tc>
        <w:tc>
          <w:tcPr>
            <w:tcW w:w="284" w:type="dxa"/>
            <w:tcBorders>
              <w:top w:val="nil"/>
            </w:tcBorders>
            <w:shd w:val="clear" w:color="auto" w:fill="auto"/>
            <w:vAlign w:val="center"/>
          </w:tcPr>
          <w:p w14:paraId="6C43CAB0" w14:textId="77777777" w:rsidR="006D1C02" w:rsidRPr="00313182" w:rsidRDefault="006D1C02" w:rsidP="0098771D">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7FC3BA92" w14:textId="77777777" w:rsidR="006D1C02" w:rsidRPr="00313182" w:rsidRDefault="006D1C02" w:rsidP="0098771D">
            <w:pPr>
              <w:pStyle w:val="08-Tabelageral"/>
              <w:rPr>
                <w:rFonts w:cs="Arial"/>
                <w:b/>
                <w:szCs w:val="14"/>
              </w:rPr>
            </w:pPr>
            <w:r w:rsidRPr="00044E70">
              <w:rPr>
                <w:rFonts w:cs="Arial"/>
                <w:b/>
                <w:szCs w:val="14"/>
              </w:rPr>
              <w:t>345</w:t>
            </w:r>
            <w:r>
              <w:rPr>
                <w:rFonts w:cs="Arial"/>
                <w:b/>
                <w:szCs w:val="14"/>
              </w:rPr>
              <w:t>,</w:t>
            </w:r>
            <w:r w:rsidRPr="00044E70">
              <w:rPr>
                <w:rFonts w:cs="Arial"/>
                <w:b/>
                <w:szCs w:val="14"/>
              </w:rPr>
              <w:t>470</w:t>
            </w:r>
          </w:p>
        </w:tc>
        <w:tc>
          <w:tcPr>
            <w:tcW w:w="1418" w:type="dxa"/>
            <w:tcBorders>
              <w:top w:val="nil"/>
            </w:tcBorders>
            <w:shd w:val="clear" w:color="auto" w:fill="auto"/>
            <w:vAlign w:val="center"/>
          </w:tcPr>
          <w:p w14:paraId="12D95DF7" w14:textId="77777777" w:rsidR="006D1C02" w:rsidRPr="00313182" w:rsidRDefault="006D1C02" w:rsidP="0098771D">
            <w:pPr>
              <w:pStyle w:val="08-Tabelageral"/>
              <w:rPr>
                <w:rFonts w:cs="Arial"/>
                <w:b/>
                <w:szCs w:val="14"/>
              </w:rPr>
            </w:pPr>
            <w:r w:rsidRPr="00F85E46">
              <w:rPr>
                <w:rFonts w:cs="Arial"/>
                <w:b/>
                <w:szCs w:val="14"/>
              </w:rPr>
              <w:t>308</w:t>
            </w:r>
            <w:r>
              <w:rPr>
                <w:rFonts w:cs="Arial"/>
                <w:b/>
                <w:szCs w:val="14"/>
              </w:rPr>
              <w:t>,</w:t>
            </w:r>
            <w:r w:rsidRPr="00F85E46">
              <w:rPr>
                <w:rFonts w:cs="Arial"/>
                <w:b/>
                <w:szCs w:val="14"/>
              </w:rPr>
              <w:t>191</w:t>
            </w:r>
          </w:p>
        </w:tc>
      </w:tr>
    </w:tbl>
    <w:p w14:paraId="75CB4D21" w14:textId="2A88EFAA" w:rsidR="006D1C02" w:rsidRPr="0098771D" w:rsidRDefault="006D1C02" w:rsidP="0098771D">
      <w:pPr>
        <w:pStyle w:val="05-Textonormal"/>
        <w:spacing w:before="40" w:after="0" w:line="240" w:lineRule="auto"/>
        <w:ind w:left="284" w:hanging="284"/>
        <w:rPr>
          <w:b/>
          <w:color w:val="1F3864" w:themeColor="accent1" w:themeShade="80"/>
          <w:sz w:val="14"/>
          <w:szCs w:val="14"/>
          <w:lang w:val="en-US"/>
        </w:rPr>
      </w:pPr>
      <w:r w:rsidRPr="0098771D">
        <w:rPr>
          <w:rFonts w:cs="Arial"/>
          <w:sz w:val="14"/>
          <w:szCs w:val="14"/>
          <w:lang w:val="en-US"/>
        </w:rPr>
        <w:t>(1)</w:t>
      </w:r>
      <w:r w:rsidRPr="0098771D">
        <w:rPr>
          <w:rFonts w:cs="Arial"/>
          <w:sz w:val="14"/>
          <w:szCs w:val="14"/>
          <w:lang w:val="en-US"/>
        </w:rPr>
        <w:tab/>
      </w:r>
      <w:r w:rsidRPr="0098771D">
        <w:rPr>
          <w:rStyle w:val="tlid-translation"/>
          <w:rFonts w:eastAsia="MS Mincho"/>
          <w:sz w:val="14"/>
          <w:szCs w:val="14"/>
          <w:lang w:val="en"/>
        </w:rPr>
        <w:t xml:space="preserve">Refers mainly to the tax lawsuit filed by BB </w:t>
      </w:r>
      <w:proofErr w:type="spellStart"/>
      <w:r w:rsidRPr="0098771D">
        <w:rPr>
          <w:rStyle w:val="tlid-translation"/>
          <w:rFonts w:eastAsia="MS Mincho"/>
          <w:sz w:val="14"/>
          <w:szCs w:val="14"/>
          <w:lang w:val="en"/>
        </w:rPr>
        <w:t>Corretora</w:t>
      </w:r>
      <w:proofErr w:type="spellEnd"/>
      <w:r w:rsidRPr="0098771D">
        <w:rPr>
          <w:rStyle w:val="tlid-translation"/>
          <w:rFonts w:eastAsia="MS Mincho"/>
          <w:sz w:val="14"/>
          <w:szCs w:val="14"/>
          <w:lang w:val="en"/>
        </w:rPr>
        <w:t xml:space="preserve"> with the objective of annulling an administrative decision that did not ratify declarations of offsetting negative IRPJ balances with different taxes. There is a guaranteed deposit for the mentioned action as shown in item </w:t>
      </w:r>
      <w:r w:rsidR="00A54EBF">
        <w:rPr>
          <w:rStyle w:val="tlid-translation"/>
          <w:rFonts w:eastAsia="MS Mincho"/>
          <w:sz w:val="14"/>
          <w:szCs w:val="14"/>
          <w:lang w:val="en"/>
        </w:rPr>
        <w:t>“</w:t>
      </w:r>
      <w:r w:rsidRPr="0098771D">
        <w:rPr>
          <w:rStyle w:val="tlid-translation"/>
          <w:rFonts w:eastAsia="MS Mincho"/>
          <w:sz w:val="14"/>
          <w:szCs w:val="14"/>
          <w:lang w:val="en"/>
        </w:rPr>
        <w:t xml:space="preserve">d) Deposits in </w:t>
      </w:r>
      <w:r w:rsidR="004F5E91">
        <w:rPr>
          <w:rStyle w:val="tlid-translation"/>
          <w:rFonts w:eastAsia="MS Mincho"/>
          <w:sz w:val="14"/>
          <w:szCs w:val="14"/>
          <w:lang w:val="en"/>
        </w:rPr>
        <w:t>g</w:t>
      </w:r>
      <w:r w:rsidRPr="0098771D">
        <w:rPr>
          <w:rStyle w:val="tlid-translation"/>
          <w:rFonts w:eastAsia="MS Mincho"/>
          <w:sz w:val="14"/>
          <w:szCs w:val="14"/>
          <w:lang w:val="en"/>
        </w:rPr>
        <w:t xml:space="preserve">uarantee of </w:t>
      </w:r>
      <w:r w:rsidR="004F5E91">
        <w:rPr>
          <w:rStyle w:val="tlid-translation"/>
          <w:rFonts w:eastAsia="MS Mincho"/>
          <w:sz w:val="14"/>
          <w:szCs w:val="14"/>
          <w:lang w:val="en"/>
        </w:rPr>
        <w:t>f</w:t>
      </w:r>
      <w:r w:rsidRPr="0098771D">
        <w:rPr>
          <w:rStyle w:val="tlid-translation"/>
          <w:rFonts w:eastAsia="MS Mincho"/>
          <w:sz w:val="14"/>
          <w:szCs w:val="14"/>
          <w:lang w:val="en"/>
        </w:rPr>
        <w:t>unds</w:t>
      </w:r>
      <w:r w:rsidR="00CE667D">
        <w:rPr>
          <w:rStyle w:val="tlid-translation"/>
          <w:rFonts w:eastAsia="MS Mincho"/>
          <w:sz w:val="14"/>
          <w:szCs w:val="14"/>
          <w:lang w:val="en"/>
        </w:rPr>
        <w:t>”</w:t>
      </w:r>
      <w:r w:rsidRPr="0098771D">
        <w:rPr>
          <w:rFonts w:cs="Arial"/>
          <w:color w:val="00000A"/>
          <w:sz w:val="14"/>
          <w:szCs w:val="14"/>
          <w:lang w:val="en-US"/>
        </w:rPr>
        <w:t>.</w:t>
      </w:r>
    </w:p>
    <w:p w14:paraId="667CC256" w14:textId="77777777" w:rsidR="00756E6E" w:rsidRPr="00134726" w:rsidRDefault="00756E6E" w:rsidP="00756E6E">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70482CDC" w14:textId="4528F5FF" w:rsidR="00136834" w:rsidRPr="00134726" w:rsidRDefault="004C34A1" w:rsidP="00136834">
      <w:pPr>
        <w:pStyle w:val="05-Textonormal"/>
        <w:rPr>
          <w:b/>
          <w:color w:val="1F3864" w:themeColor="accent1" w:themeShade="80"/>
          <w:lang w:val="en-US"/>
        </w:rPr>
      </w:pPr>
      <w:r>
        <w:rPr>
          <w:b/>
          <w:color w:val="1F3864" w:themeColor="accent1" w:themeShade="80"/>
          <w:lang w:val="en-US"/>
        </w:rPr>
        <w:t>c</w:t>
      </w:r>
      <w:r w:rsidR="00136834" w:rsidRPr="00134726">
        <w:rPr>
          <w:b/>
          <w:color w:val="1F3864" w:themeColor="accent1" w:themeShade="80"/>
          <w:lang w:val="en-US"/>
        </w:rPr>
        <w:t>.1) Tax Lawsuits</w:t>
      </w:r>
    </w:p>
    <w:p w14:paraId="1BEDD99A" w14:textId="43D07279" w:rsidR="00136834" w:rsidRPr="00134726" w:rsidRDefault="00136834" w:rsidP="00136834">
      <w:pPr>
        <w:pStyle w:val="05-Textonormal"/>
        <w:rPr>
          <w:b/>
          <w:lang w:val="en-US"/>
        </w:rPr>
      </w:pPr>
      <w:r w:rsidRPr="00134726">
        <w:rPr>
          <w:lang w:val="en-US"/>
        </w:rPr>
        <w:t xml:space="preserve">BB </w:t>
      </w:r>
      <w:proofErr w:type="spellStart"/>
      <w:r w:rsidRPr="00134726">
        <w:rPr>
          <w:lang w:val="en-US"/>
        </w:rPr>
        <w:t>Corretora</w:t>
      </w:r>
      <w:proofErr w:type="spellEnd"/>
      <w:r w:rsidRPr="00134726">
        <w:rPr>
          <w:lang w:val="en-US"/>
        </w:rPr>
        <w:t xml:space="preserve">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0EC1AF28" w14:textId="2AEB44E9" w:rsidR="00136834" w:rsidRPr="00134726" w:rsidRDefault="00136834" w:rsidP="00136834">
      <w:pPr>
        <w:pStyle w:val="05-Textonormal"/>
        <w:rPr>
          <w:rFonts w:cs="Arial"/>
          <w:lang w:val="en-US"/>
        </w:rPr>
      </w:pPr>
      <w:r w:rsidRPr="00134726">
        <w:rPr>
          <w:lang w:val="en-US"/>
        </w:rPr>
        <w:t xml:space="preserve">In the main lawsuit </w:t>
      </w:r>
      <w:r w:rsidR="00CB2762">
        <w:rPr>
          <w:lang w:val="en-US"/>
        </w:rPr>
        <w:t xml:space="preserve">filed </w:t>
      </w:r>
      <w:r w:rsidR="006732A8">
        <w:rPr>
          <w:lang w:val="en-US"/>
        </w:rPr>
        <w:t>against t</w:t>
      </w:r>
      <w:r w:rsidR="00AD7D00">
        <w:rPr>
          <w:lang w:val="en-US"/>
        </w:rPr>
        <w:t xml:space="preserve">he </w:t>
      </w:r>
      <w:r w:rsidR="005F7444">
        <w:rPr>
          <w:lang w:val="en-US"/>
        </w:rPr>
        <w:t>Company</w:t>
      </w:r>
      <w:r>
        <w:rPr>
          <w:lang w:val="en-US"/>
        </w:rPr>
        <w:t xml:space="preserve">, </w:t>
      </w:r>
      <w:r w:rsidRPr="00134726">
        <w:rPr>
          <w:rFonts w:cs="Arial"/>
          <w:lang w:val="en-US"/>
        </w:rPr>
        <w:t xml:space="preserve">BB </w:t>
      </w:r>
      <w:proofErr w:type="spellStart"/>
      <w:r w:rsidRPr="00134726">
        <w:rPr>
          <w:rFonts w:cs="Arial"/>
          <w:lang w:val="en-US"/>
        </w:rPr>
        <w:t>Corretora</w:t>
      </w:r>
      <w:proofErr w:type="spellEnd"/>
      <w:r w:rsidRPr="00134726">
        <w:rPr>
          <w:rFonts w:cs="Arial"/>
          <w:lang w:val="en-US"/>
        </w:rPr>
        <w:t xml:space="preserve"> has a legal dispute related to "DCOMP - IRPJ Negative Balance", with TRF1 / Court of Brasília/DF, whose initial value of the cause was R$ 82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2011. The process is in the initial knowledge phase (no judgment has been issued yet). It should also be mentioned that this process has a judicial deposit (coming from the administrative phase of the discussion) in the amount of approximately R$ 1</w:t>
      </w:r>
      <w:r>
        <w:rPr>
          <w:rFonts w:cs="Arial"/>
          <w:lang w:val="en-US"/>
        </w:rPr>
        <w:t>8</w:t>
      </w:r>
      <w:r w:rsidR="00066ECA">
        <w:rPr>
          <w:rFonts w:cs="Arial"/>
          <w:lang w:val="en-US"/>
        </w:rPr>
        <w:t>4</w:t>
      </w:r>
      <w:r w:rsidRPr="00134726">
        <w:rPr>
          <w:rFonts w:cs="Arial"/>
          <w:lang w:val="en-US"/>
        </w:rPr>
        <w:t xml:space="preserve"> million (base date: </w:t>
      </w:r>
      <w:r w:rsidR="009A073C">
        <w:rPr>
          <w:rFonts w:cs="Arial"/>
          <w:lang w:val="en-US"/>
        </w:rPr>
        <w:t>D</w:t>
      </w:r>
      <w:r w:rsidRPr="00E76C32">
        <w:rPr>
          <w:rFonts w:cs="Arial"/>
          <w:lang w:val="en-US"/>
        </w:rPr>
        <w:t>e</w:t>
      </w:r>
      <w:r w:rsidR="009A073C">
        <w:rPr>
          <w:rFonts w:cs="Arial"/>
          <w:lang w:val="en-US"/>
        </w:rPr>
        <w:t>c</w:t>
      </w:r>
      <w:r w:rsidRPr="00E76C32">
        <w:rPr>
          <w:rFonts w:cs="Arial"/>
          <w:lang w:val="en-US"/>
        </w:rPr>
        <w:t xml:space="preserve"> </w:t>
      </w:r>
      <w:r w:rsidRPr="00134726">
        <w:rPr>
          <w:rFonts w:cs="Arial"/>
          <w:lang w:val="en-US"/>
        </w:rPr>
        <w:t>3</w:t>
      </w:r>
      <w:r w:rsidR="009A073C">
        <w:rPr>
          <w:rFonts w:cs="Arial"/>
          <w:lang w:val="en-US"/>
        </w:rPr>
        <w:t>1</w:t>
      </w:r>
      <w:r w:rsidRPr="00E76C32">
        <w:rPr>
          <w:rFonts w:cs="Arial"/>
          <w:lang w:val="en-US"/>
        </w:rPr>
        <w:t xml:space="preserve">, </w:t>
      </w:r>
      <w:r w:rsidRPr="00134726">
        <w:rPr>
          <w:rFonts w:cs="Arial"/>
          <w:lang w:val="en-US"/>
        </w:rPr>
        <w:t>202</w:t>
      </w:r>
      <w:r>
        <w:rPr>
          <w:rFonts w:cs="Arial"/>
          <w:lang w:val="en-US"/>
        </w:rPr>
        <w:t>4</w:t>
      </w:r>
      <w:r w:rsidRPr="00134726">
        <w:rPr>
          <w:rFonts w:cs="Arial"/>
          <w:lang w:val="en-US"/>
        </w:rPr>
        <w:t xml:space="preserve">) deposited in a judicial account at Caixa </w:t>
      </w:r>
      <w:proofErr w:type="spellStart"/>
      <w:r w:rsidRPr="00134726">
        <w:rPr>
          <w:rFonts w:cs="Arial"/>
          <w:lang w:val="en-US"/>
        </w:rPr>
        <w:t>Econômica</w:t>
      </w:r>
      <w:proofErr w:type="spellEnd"/>
      <w:r w:rsidRPr="00134726">
        <w:rPr>
          <w:rFonts w:cs="Arial"/>
          <w:lang w:val="en-US"/>
        </w:rPr>
        <w:t xml:space="preserve"> Federal.</w:t>
      </w:r>
    </w:p>
    <w:p w14:paraId="37694C93" w14:textId="77777777" w:rsidR="00136834" w:rsidRPr="00134726" w:rsidRDefault="00136834" w:rsidP="00136834">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5DAB8256" w14:textId="0D5C6041" w:rsidR="00136834" w:rsidRPr="00134726" w:rsidRDefault="00841731" w:rsidP="00136834">
      <w:pPr>
        <w:pStyle w:val="05-Textonormal"/>
        <w:rPr>
          <w:b/>
          <w:color w:val="1F3864" w:themeColor="accent1" w:themeShade="80"/>
          <w:lang w:val="en-US"/>
        </w:rPr>
      </w:pPr>
      <w:r>
        <w:rPr>
          <w:b/>
          <w:color w:val="1F3864" w:themeColor="accent1" w:themeShade="80"/>
          <w:lang w:val="en-US"/>
        </w:rPr>
        <w:t>c</w:t>
      </w:r>
      <w:r w:rsidR="00136834" w:rsidRPr="00134726">
        <w:rPr>
          <w:b/>
          <w:color w:val="1F3864" w:themeColor="accent1" w:themeShade="80"/>
          <w:lang w:val="en-US"/>
        </w:rPr>
        <w:t>.2) Civil Lawsuits</w:t>
      </w:r>
    </w:p>
    <w:p w14:paraId="17B3FC67" w14:textId="77777777" w:rsidR="00136834" w:rsidRDefault="00136834" w:rsidP="00136834">
      <w:pPr>
        <w:pStyle w:val="05-Textonormal"/>
        <w:rPr>
          <w:lang w:val="en-US"/>
        </w:rPr>
      </w:pPr>
      <w:r w:rsidRPr="00134726">
        <w:rPr>
          <w:lang w:val="en-US"/>
        </w:rPr>
        <w:t xml:space="preserve">In civil lawsuits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36BFB269" w14:textId="77777777" w:rsidR="00FF6E37" w:rsidRDefault="00FF6E37" w:rsidP="00136834">
      <w:pPr>
        <w:pStyle w:val="05-Textonormal"/>
        <w:rPr>
          <w:lang w:val="en-US"/>
        </w:rPr>
      </w:pPr>
    </w:p>
    <w:p w14:paraId="02CDA1AA" w14:textId="77777777" w:rsidR="00FF6E37" w:rsidRDefault="00FF6E37" w:rsidP="00136834">
      <w:pPr>
        <w:pStyle w:val="05-Textonormal"/>
        <w:rPr>
          <w:lang w:val="en-US"/>
        </w:rPr>
      </w:pPr>
    </w:p>
    <w:p w14:paraId="43FB5C98" w14:textId="77777777" w:rsidR="00FF6E37" w:rsidRDefault="00FF6E37" w:rsidP="00136834">
      <w:pPr>
        <w:pStyle w:val="05-Textonormal"/>
        <w:rPr>
          <w:lang w:val="en-US"/>
        </w:rPr>
      </w:pPr>
    </w:p>
    <w:p w14:paraId="572DF5A1" w14:textId="77777777" w:rsidR="00FF6E37" w:rsidRDefault="00FF6E37" w:rsidP="00136834">
      <w:pPr>
        <w:pStyle w:val="05-Textonormal"/>
        <w:rPr>
          <w:lang w:val="en-US"/>
        </w:rPr>
      </w:pPr>
    </w:p>
    <w:p w14:paraId="2A7A6397" w14:textId="494AD536" w:rsidR="00136834" w:rsidRPr="00134726" w:rsidRDefault="00CD18FE" w:rsidP="00136834">
      <w:pPr>
        <w:pStyle w:val="05-Textonormal"/>
        <w:rPr>
          <w:b/>
          <w:color w:val="1F3864" w:themeColor="accent1" w:themeShade="80"/>
          <w:lang w:val="en-US"/>
        </w:rPr>
      </w:pPr>
      <w:r>
        <w:rPr>
          <w:b/>
          <w:color w:val="1F3864" w:themeColor="accent1" w:themeShade="80"/>
          <w:lang w:val="en-US"/>
        </w:rPr>
        <w:t>d</w:t>
      </w:r>
      <w:r w:rsidR="00136834" w:rsidRPr="00134726">
        <w:rPr>
          <w:b/>
          <w:color w:val="1F3864" w:themeColor="accent1" w:themeShade="80"/>
          <w:lang w:val="en-US"/>
        </w:rPr>
        <w:t xml:space="preserve">) Deposits in </w:t>
      </w:r>
      <w:r w:rsidR="00597E10">
        <w:rPr>
          <w:b/>
          <w:color w:val="1F3864" w:themeColor="accent1" w:themeShade="80"/>
          <w:lang w:val="en-US"/>
        </w:rPr>
        <w:t>g</w:t>
      </w:r>
      <w:r w:rsidR="00136834" w:rsidRPr="00134726">
        <w:rPr>
          <w:b/>
          <w:color w:val="1F3864" w:themeColor="accent1" w:themeShade="80"/>
          <w:lang w:val="en-US"/>
        </w:rPr>
        <w:t xml:space="preserve">uarantee of </w:t>
      </w:r>
      <w:r w:rsidR="00597E10">
        <w:rPr>
          <w:b/>
          <w:color w:val="1F3864" w:themeColor="accent1" w:themeShade="80"/>
          <w:lang w:val="en-US"/>
        </w:rPr>
        <w:t>f</w:t>
      </w:r>
      <w:r w:rsidR="00136834" w:rsidRPr="00134726">
        <w:rPr>
          <w:b/>
          <w:color w:val="1F3864" w:themeColor="accent1" w:themeShade="80"/>
          <w:lang w:val="en-US"/>
        </w:rPr>
        <w:t>unds</w:t>
      </w:r>
    </w:p>
    <w:p w14:paraId="344B71D8" w14:textId="77777777" w:rsidR="00136834" w:rsidRPr="00134726" w:rsidRDefault="00136834" w:rsidP="00136834">
      <w:pPr>
        <w:pStyle w:val="05-Textonormal"/>
        <w:rPr>
          <w:lang w:val="en-US"/>
        </w:rPr>
      </w:pPr>
      <w:r w:rsidRPr="00134726">
        <w:rPr>
          <w:rStyle w:val="tlid-translation"/>
          <w:rFonts w:eastAsia="MS Mincho"/>
          <w:lang w:val="en-US"/>
        </w:rPr>
        <w:t xml:space="preserve">Guarantee deposits are cash deposits and are made with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xml:space="preserve">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4D5B4B14" w14:textId="77777777" w:rsidR="00136834" w:rsidRPr="00134726" w:rsidRDefault="00136834" w:rsidP="00136834">
      <w:pPr>
        <w:pStyle w:val="05-Textonormal"/>
        <w:rPr>
          <w:b/>
          <w:color w:val="1F3864" w:themeColor="accent1" w:themeShade="80"/>
          <w:lang w:val="en-US"/>
        </w:rPr>
      </w:pPr>
      <w:r>
        <w:rPr>
          <w:b/>
          <w:color w:val="1F3864" w:themeColor="accent1" w:themeShade="80"/>
          <w:lang w:val="en-US"/>
        </w:rPr>
        <w:t xml:space="preserve">c.1) </w:t>
      </w:r>
      <w:r w:rsidRPr="00134726">
        <w:rPr>
          <w:b/>
          <w:color w:val="1F3864" w:themeColor="accent1" w:themeShade="80"/>
          <w:lang w:val="en-US"/>
        </w:rPr>
        <w:t>Balances of escrow deposits formed for provisions and contingent liabilities</w:t>
      </w:r>
    </w:p>
    <w:p w14:paraId="425C0F6A" w14:textId="77777777" w:rsidR="00136834" w:rsidRPr="004C6ED9" w:rsidRDefault="00136834" w:rsidP="00136834">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136834" w:rsidRPr="00AA26A4" w14:paraId="3F07411E" w14:textId="77777777">
        <w:trPr>
          <w:trHeight w:hRule="exact" w:val="238"/>
        </w:trPr>
        <w:tc>
          <w:tcPr>
            <w:tcW w:w="850" w:type="dxa"/>
            <w:tcBorders>
              <w:bottom w:val="nil"/>
            </w:tcBorders>
            <w:shd w:val="clear" w:color="auto" w:fill="auto"/>
            <w:vAlign w:val="center"/>
          </w:tcPr>
          <w:p w14:paraId="60C8247B" w14:textId="77777777" w:rsidR="00136834" w:rsidRPr="00AA26A4" w:rsidRDefault="00136834">
            <w:pPr>
              <w:keepNext/>
              <w:keepLines/>
              <w:spacing w:before="40" w:after="40"/>
              <w:rPr>
                <w:rFonts w:ascii="Arial" w:hAnsi="Arial" w:cs="Arial"/>
                <w:bCs/>
                <w:spacing w:val="-2"/>
                <w:sz w:val="14"/>
                <w:szCs w:val="14"/>
              </w:rPr>
            </w:pPr>
          </w:p>
        </w:tc>
        <w:tc>
          <w:tcPr>
            <w:tcW w:w="2848" w:type="dxa"/>
            <w:gridSpan w:val="2"/>
            <w:tcBorders>
              <w:bottom w:val="nil"/>
            </w:tcBorders>
            <w:shd w:val="clear" w:color="auto" w:fill="auto"/>
            <w:vAlign w:val="center"/>
          </w:tcPr>
          <w:p w14:paraId="792C6DC1" w14:textId="77777777" w:rsidR="00136834" w:rsidRPr="00AA26A4" w:rsidRDefault="00136834">
            <w:pPr>
              <w:keepNext/>
              <w:keepLines/>
              <w:spacing w:before="40" w:after="40"/>
              <w:rPr>
                <w:rFonts w:ascii="Arial" w:hAnsi="Arial" w:cs="Arial"/>
                <w:b/>
                <w:spacing w:val="-2"/>
                <w:sz w:val="14"/>
                <w:szCs w:val="14"/>
              </w:rPr>
            </w:pPr>
          </w:p>
        </w:tc>
        <w:tc>
          <w:tcPr>
            <w:tcW w:w="2823" w:type="dxa"/>
            <w:gridSpan w:val="2"/>
            <w:shd w:val="clear" w:color="auto" w:fill="auto"/>
            <w:vAlign w:val="center"/>
          </w:tcPr>
          <w:p w14:paraId="387B749B" w14:textId="77777777" w:rsidR="00136834" w:rsidRPr="00E048D7" w:rsidRDefault="00136834">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shd w:val="clear" w:color="auto" w:fill="auto"/>
            <w:vAlign w:val="center"/>
          </w:tcPr>
          <w:p w14:paraId="733542EF" w14:textId="77777777" w:rsidR="00136834" w:rsidRPr="00AA26A4" w:rsidRDefault="00136834">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5D55C8DA" w14:textId="77777777" w:rsidR="00136834" w:rsidRPr="00E048D7" w:rsidRDefault="00136834">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136834" w:rsidRPr="004C6ED9" w14:paraId="5FEF40E7" w14:textId="77777777">
        <w:trPr>
          <w:trHeight w:hRule="exact" w:val="238"/>
        </w:trPr>
        <w:tc>
          <w:tcPr>
            <w:tcW w:w="3094" w:type="dxa"/>
            <w:gridSpan w:val="2"/>
            <w:tcBorders>
              <w:top w:val="nil"/>
              <w:bottom w:val="single" w:sz="2" w:space="0" w:color="1F3864" w:themeColor="accent1" w:themeShade="80"/>
            </w:tcBorders>
            <w:shd w:val="clear" w:color="auto" w:fill="auto"/>
            <w:vAlign w:val="center"/>
          </w:tcPr>
          <w:p w14:paraId="1459E149" w14:textId="77777777" w:rsidR="00136834" w:rsidRPr="004C6ED9" w:rsidRDefault="00136834">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shd w:val="clear" w:color="auto" w:fill="auto"/>
            <w:vAlign w:val="center"/>
          </w:tcPr>
          <w:p w14:paraId="572468A3" w14:textId="77777777" w:rsidR="00136834" w:rsidRPr="004C6ED9" w:rsidRDefault="00136834">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2ACF1B1E" w14:textId="54058F35" w:rsidR="00136834" w:rsidRPr="004C6ED9" w:rsidRDefault="007D44FA">
            <w:pPr>
              <w:pStyle w:val="08-Tabelageral"/>
              <w:rPr>
                <w:rFonts w:cs="Arial"/>
                <w:b/>
                <w:szCs w:val="14"/>
                <w:lang w:eastAsia="en-US"/>
              </w:rPr>
            </w:pPr>
            <w:proofErr w:type="spellStart"/>
            <w:r w:rsidRPr="007D44FA">
              <w:rPr>
                <w:rFonts w:cs="Arial"/>
                <w:b/>
                <w:szCs w:val="14"/>
                <w:lang w:eastAsia="en-US"/>
              </w:rPr>
              <w:t>Dec</w:t>
            </w:r>
            <w:proofErr w:type="spellEnd"/>
            <w:r w:rsidRPr="007D44FA">
              <w:rPr>
                <w:rFonts w:cs="Arial"/>
                <w:b/>
                <w:szCs w:val="14"/>
                <w:lang w:eastAsia="en-US"/>
              </w:rPr>
              <w:t xml:space="preserve"> 31, 2024</w:t>
            </w:r>
          </w:p>
        </w:tc>
        <w:tc>
          <w:tcPr>
            <w:tcW w:w="1412" w:type="dxa"/>
            <w:tcBorders>
              <w:bottom w:val="single" w:sz="2" w:space="0" w:color="1F3864" w:themeColor="accent1" w:themeShade="80"/>
            </w:tcBorders>
            <w:shd w:val="clear" w:color="auto" w:fill="auto"/>
            <w:vAlign w:val="center"/>
          </w:tcPr>
          <w:p w14:paraId="665028EF" w14:textId="77777777" w:rsidR="00136834" w:rsidRPr="004C6ED9" w:rsidRDefault="00136834">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Pr="00E71174">
              <w:rPr>
                <w:rFonts w:cs="Arial"/>
                <w:b/>
                <w:szCs w:val="14"/>
                <w:lang w:eastAsia="en-US"/>
              </w:rPr>
              <w:t>202</w:t>
            </w:r>
            <w:r>
              <w:rPr>
                <w:rFonts w:cs="Arial"/>
                <w:b/>
                <w:szCs w:val="14"/>
                <w:lang w:eastAsia="en-US"/>
              </w:rPr>
              <w:t>3</w:t>
            </w:r>
          </w:p>
        </w:tc>
        <w:tc>
          <w:tcPr>
            <w:tcW w:w="283" w:type="dxa"/>
            <w:tcBorders>
              <w:bottom w:val="single" w:sz="2" w:space="0" w:color="1F3864" w:themeColor="accent1" w:themeShade="80"/>
            </w:tcBorders>
            <w:shd w:val="clear" w:color="auto" w:fill="auto"/>
            <w:vAlign w:val="center"/>
          </w:tcPr>
          <w:p w14:paraId="2C3F4D44" w14:textId="77777777" w:rsidR="00136834" w:rsidRPr="004C6ED9" w:rsidRDefault="00136834">
            <w:pPr>
              <w:pStyle w:val="08-Tabelageral"/>
              <w:rPr>
                <w:rFonts w:cs="Arial"/>
                <w:b/>
                <w:szCs w:val="14"/>
                <w:lang w:eastAsia="en-US"/>
              </w:rPr>
            </w:pPr>
          </w:p>
        </w:tc>
        <w:tc>
          <w:tcPr>
            <w:tcW w:w="1417" w:type="dxa"/>
            <w:tcBorders>
              <w:bottom w:val="single" w:sz="2" w:space="0" w:color="1F3864" w:themeColor="accent1" w:themeShade="80"/>
            </w:tcBorders>
            <w:shd w:val="clear" w:color="auto" w:fill="auto"/>
            <w:vAlign w:val="center"/>
          </w:tcPr>
          <w:p w14:paraId="1383E786" w14:textId="028F923F" w:rsidR="00136834" w:rsidRPr="004C6ED9" w:rsidRDefault="007D44FA">
            <w:pPr>
              <w:pStyle w:val="08-Tabelageral"/>
              <w:rPr>
                <w:rFonts w:cs="Arial"/>
                <w:b/>
                <w:szCs w:val="14"/>
                <w:lang w:eastAsia="en-US"/>
              </w:rPr>
            </w:pPr>
            <w:proofErr w:type="spellStart"/>
            <w:r w:rsidRPr="007D44FA">
              <w:rPr>
                <w:rFonts w:cs="Arial"/>
                <w:b/>
                <w:szCs w:val="14"/>
                <w:lang w:eastAsia="en-US"/>
              </w:rPr>
              <w:t>Dec</w:t>
            </w:r>
            <w:proofErr w:type="spellEnd"/>
            <w:r w:rsidRPr="007D44FA">
              <w:rPr>
                <w:rFonts w:cs="Arial"/>
                <w:b/>
                <w:szCs w:val="14"/>
                <w:lang w:eastAsia="en-US"/>
              </w:rPr>
              <w:t xml:space="preserve"> 31, 2024</w:t>
            </w:r>
          </w:p>
        </w:tc>
        <w:tc>
          <w:tcPr>
            <w:tcW w:w="1418" w:type="dxa"/>
            <w:tcBorders>
              <w:bottom w:val="single" w:sz="2" w:space="0" w:color="1F3864" w:themeColor="accent1" w:themeShade="80"/>
            </w:tcBorders>
            <w:shd w:val="clear" w:color="auto" w:fill="auto"/>
            <w:vAlign w:val="center"/>
          </w:tcPr>
          <w:p w14:paraId="4655AD89" w14:textId="77777777" w:rsidR="00136834" w:rsidRPr="004C6ED9" w:rsidRDefault="00136834">
            <w:pPr>
              <w:pStyle w:val="08-Tabelageral"/>
              <w:rPr>
                <w:rFonts w:cs="Arial"/>
                <w:b/>
                <w:szCs w:val="14"/>
                <w:lang w:eastAsia="en-US"/>
              </w:rPr>
            </w:pPr>
            <w:proofErr w:type="spellStart"/>
            <w:r>
              <w:rPr>
                <w:rFonts w:cs="Arial"/>
                <w:b/>
                <w:szCs w:val="14"/>
                <w:lang w:eastAsia="en-US"/>
              </w:rPr>
              <w:t>Dec</w:t>
            </w:r>
            <w:proofErr w:type="spellEnd"/>
            <w:r>
              <w:rPr>
                <w:rFonts w:cs="Arial"/>
                <w:b/>
                <w:szCs w:val="14"/>
                <w:lang w:eastAsia="en-US"/>
              </w:rPr>
              <w:t xml:space="preserve"> </w:t>
            </w:r>
            <w:r w:rsidRPr="004C6ED9">
              <w:rPr>
                <w:rFonts w:cs="Arial"/>
                <w:b/>
                <w:szCs w:val="14"/>
                <w:lang w:eastAsia="en-US"/>
              </w:rPr>
              <w:t>31</w:t>
            </w:r>
            <w:r>
              <w:rPr>
                <w:rFonts w:cs="Arial"/>
                <w:b/>
                <w:szCs w:val="14"/>
                <w:lang w:eastAsia="en-US"/>
              </w:rPr>
              <w:t xml:space="preserve">, </w:t>
            </w:r>
            <w:r w:rsidRPr="00E71174">
              <w:rPr>
                <w:rFonts w:cs="Arial"/>
                <w:b/>
                <w:szCs w:val="14"/>
                <w:lang w:eastAsia="en-US"/>
              </w:rPr>
              <w:t>202</w:t>
            </w:r>
            <w:r>
              <w:rPr>
                <w:rFonts w:cs="Arial"/>
                <w:b/>
                <w:szCs w:val="14"/>
                <w:lang w:eastAsia="en-US"/>
              </w:rPr>
              <w:t>3</w:t>
            </w:r>
          </w:p>
        </w:tc>
      </w:tr>
      <w:tr w:rsidR="00BE2620" w:rsidRPr="004C6ED9" w14:paraId="2815AA33" w14:textId="77777777">
        <w:trPr>
          <w:trHeight w:val="238"/>
        </w:trPr>
        <w:tc>
          <w:tcPr>
            <w:tcW w:w="3094" w:type="dxa"/>
            <w:gridSpan w:val="2"/>
            <w:tcBorders>
              <w:bottom w:val="nil"/>
            </w:tcBorders>
            <w:shd w:val="clear" w:color="auto" w:fill="auto"/>
            <w:vAlign w:val="center"/>
          </w:tcPr>
          <w:p w14:paraId="7899B97A" w14:textId="77777777" w:rsidR="00BE2620" w:rsidRPr="00E048D7" w:rsidRDefault="00BE2620" w:rsidP="00BE2620">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proofErr w:type="spellStart"/>
            <w:r w:rsidRPr="00E048D7">
              <w:rPr>
                <w:rFonts w:cs="Arial"/>
                <w:szCs w:val="14"/>
              </w:rPr>
              <w:t>lawsuits</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shd w:val="clear" w:color="auto" w:fill="auto"/>
            <w:vAlign w:val="center"/>
          </w:tcPr>
          <w:p w14:paraId="3C6D7C2D" w14:textId="77777777" w:rsidR="00BE2620" w:rsidRPr="004C6ED9" w:rsidRDefault="00BE2620" w:rsidP="00BE2620">
            <w:pPr>
              <w:pStyle w:val="08-Tabelageral"/>
              <w:rPr>
                <w:rFonts w:cs="Arial"/>
                <w:szCs w:val="14"/>
                <w:lang w:eastAsia="en-US"/>
              </w:rPr>
            </w:pPr>
          </w:p>
        </w:tc>
        <w:tc>
          <w:tcPr>
            <w:tcW w:w="1411" w:type="dxa"/>
            <w:tcBorders>
              <w:bottom w:val="nil"/>
            </w:tcBorders>
            <w:shd w:val="clear" w:color="auto" w:fill="auto"/>
            <w:vAlign w:val="center"/>
          </w:tcPr>
          <w:p w14:paraId="4F4191C1" w14:textId="77777777" w:rsidR="00BE2620" w:rsidRPr="004C6ED9" w:rsidRDefault="00BE2620" w:rsidP="00BE2620">
            <w:pPr>
              <w:pStyle w:val="08-Tabelageral"/>
              <w:rPr>
                <w:rFonts w:cs="Arial"/>
                <w:szCs w:val="14"/>
              </w:rPr>
            </w:pPr>
            <w:r w:rsidRPr="00F85E46">
              <w:rPr>
                <w:rFonts w:cs="Arial"/>
                <w:szCs w:val="14"/>
              </w:rPr>
              <w:t>--</w:t>
            </w:r>
          </w:p>
        </w:tc>
        <w:tc>
          <w:tcPr>
            <w:tcW w:w="1412" w:type="dxa"/>
            <w:tcBorders>
              <w:bottom w:val="nil"/>
            </w:tcBorders>
            <w:shd w:val="clear" w:color="auto" w:fill="auto"/>
            <w:vAlign w:val="center"/>
          </w:tcPr>
          <w:p w14:paraId="218176ED" w14:textId="77777777" w:rsidR="00BE2620" w:rsidRPr="004C6ED9" w:rsidRDefault="00BE2620" w:rsidP="00BE2620">
            <w:pPr>
              <w:pStyle w:val="08-Tabelageral"/>
              <w:rPr>
                <w:rFonts w:cs="Arial"/>
                <w:szCs w:val="14"/>
              </w:rPr>
            </w:pPr>
            <w:r w:rsidRPr="00F85E46">
              <w:rPr>
                <w:rFonts w:cs="Arial"/>
                <w:szCs w:val="14"/>
              </w:rPr>
              <w:t>--</w:t>
            </w:r>
          </w:p>
        </w:tc>
        <w:tc>
          <w:tcPr>
            <w:tcW w:w="283" w:type="dxa"/>
            <w:tcBorders>
              <w:bottom w:val="nil"/>
            </w:tcBorders>
            <w:shd w:val="clear" w:color="auto" w:fill="auto"/>
            <w:vAlign w:val="center"/>
          </w:tcPr>
          <w:p w14:paraId="7EBC2574" w14:textId="77777777" w:rsidR="00BE2620" w:rsidRPr="004C6ED9" w:rsidRDefault="00BE2620" w:rsidP="00BE2620">
            <w:pPr>
              <w:pStyle w:val="08-Tabelageral"/>
              <w:rPr>
                <w:rFonts w:cs="Arial"/>
                <w:szCs w:val="14"/>
              </w:rPr>
            </w:pPr>
          </w:p>
        </w:tc>
        <w:tc>
          <w:tcPr>
            <w:tcW w:w="1417" w:type="dxa"/>
            <w:tcBorders>
              <w:top w:val="single" w:sz="2" w:space="0" w:color="1F3864" w:themeColor="accent1" w:themeShade="80"/>
              <w:left w:val="nil"/>
              <w:bottom w:val="nil"/>
              <w:right w:val="nil"/>
            </w:tcBorders>
            <w:vAlign w:val="bottom"/>
          </w:tcPr>
          <w:p w14:paraId="12F5DEA9" w14:textId="4D6FA3D1" w:rsidR="00BE2620" w:rsidRPr="004C6ED9" w:rsidRDefault="00BE2620" w:rsidP="00BE2620">
            <w:pPr>
              <w:pStyle w:val="08-Tabelageral"/>
              <w:rPr>
                <w:rFonts w:cs="Arial"/>
                <w:szCs w:val="14"/>
              </w:rPr>
            </w:pPr>
            <w:r w:rsidRPr="00290829">
              <w:rPr>
                <w:rFonts w:cs="Arial"/>
              </w:rPr>
              <w:t xml:space="preserve">         243</w:t>
            </w:r>
            <w:r>
              <w:rPr>
                <w:rFonts w:cs="Arial"/>
              </w:rPr>
              <w:t>,</w:t>
            </w:r>
            <w:r w:rsidRPr="00290829">
              <w:rPr>
                <w:rFonts w:cs="Arial"/>
              </w:rPr>
              <w:t>40</w:t>
            </w:r>
            <w:r>
              <w:rPr>
                <w:rFonts w:cs="Arial"/>
              </w:rPr>
              <w:t>0</w:t>
            </w:r>
            <w:r w:rsidRPr="00290829">
              <w:rPr>
                <w:rFonts w:cs="Arial"/>
              </w:rPr>
              <w:t xml:space="preserve"> </w:t>
            </w:r>
          </w:p>
        </w:tc>
        <w:tc>
          <w:tcPr>
            <w:tcW w:w="1418" w:type="dxa"/>
            <w:tcBorders>
              <w:bottom w:val="nil"/>
            </w:tcBorders>
            <w:shd w:val="clear" w:color="auto" w:fill="auto"/>
            <w:vAlign w:val="center"/>
          </w:tcPr>
          <w:p w14:paraId="7D6BB542" w14:textId="5ED4DC85" w:rsidR="00BE2620" w:rsidRPr="004C6ED9" w:rsidRDefault="00BE2620" w:rsidP="00BE2620">
            <w:pPr>
              <w:pStyle w:val="08-Tabelageral"/>
              <w:rPr>
                <w:rFonts w:cs="Arial"/>
                <w:szCs w:val="14"/>
              </w:rPr>
            </w:pPr>
            <w:r w:rsidRPr="00F85E46">
              <w:rPr>
                <w:rFonts w:cs="Arial"/>
              </w:rPr>
              <w:t>232</w:t>
            </w:r>
            <w:r>
              <w:rPr>
                <w:rFonts w:cs="Arial"/>
              </w:rPr>
              <w:t>,</w:t>
            </w:r>
            <w:r w:rsidRPr="00F85E46">
              <w:rPr>
                <w:rFonts w:cs="Arial"/>
              </w:rPr>
              <w:t>156</w:t>
            </w:r>
          </w:p>
        </w:tc>
      </w:tr>
      <w:tr w:rsidR="00BE2620" w:rsidRPr="004C6ED9" w14:paraId="5C73F4BA" w14:textId="77777777">
        <w:trPr>
          <w:trHeight w:val="238"/>
        </w:trPr>
        <w:tc>
          <w:tcPr>
            <w:tcW w:w="3094" w:type="dxa"/>
            <w:gridSpan w:val="2"/>
            <w:tcBorders>
              <w:top w:val="nil"/>
              <w:bottom w:val="nil"/>
            </w:tcBorders>
            <w:shd w:val="clear" w:color="auto" w:fill="auto"/>
            <w:vAlign w:val="center"/>
          </w:tcPr>
          <w:p w14:paraId="622F3EDE" w14:textId="77777777" w:rsidR="00BE2620" w:rsidRPr="00E048D7" w:rsidRDefault="00BE2620" w:rsidP="00BE2620">
            <w:pPr>
              <w:pStyle w:val="08-Tabelageral"/>
              <w:jc w:val="left"/>
              <w:rPr>
                <w:rFonts w:cs="Arial"/>
                <w:szCs w:val="14"/>
              </w:rPr>
            </w:pPr>
            <w:r>
              <w:rPr>
                <w:rFonts w:cs="Arial"/>
                <w:szCs w:val="14"/>
              </w:rPr>
              <w:t xml:space="preserve">Civil </w:t>
            </w:r>
            <w:proofErr w:type="spellStart"/>
            <w:r>
              <w:rPr>
                <w:rFonts w:cs="Arial"/>
                <w:szCs w:val="14"/>
              </w:rPr>
              <w:t>lawsuits</w:t>
            </w:r>
            <w:proofErr w:type="spellEnd"/>
          </w:p>
        </w:tc>
        <w:tc>
          <w:tcPr>
            <w:tcW w:w="604" w:type="dxa"/>
            <w:tcBorders>
              <w:top w:val="nil"/>
              <w:bottom w:val="nil"/>
            </w:tcBorders>
            <w:shd w:val="clear" w:color="auto" w:fill="auto"/>
            <w:vAlign w:val="center"/>
          </w:tcPr>
          <w:p w14:paraId="498BAA68" w14:textId="77777777" w:rsidR="00BE2620" w:rsidRPr="004C6ED9" w:rsidRDefault="00BE2620" w:rsidP="00BE2620">
            <w:pPr>
              <w:pStyle w:val="08-Tabelageral"/>
              <w:rPr>
                <w:rFonts w:cs="Arial"/>
                <w:szCs w:val="14"/>
                <w:lang w:eastAsia="en-US"/>
              </w:rPr>
            </w:pPr>
          </w:p>
        </w:tc>
        <w:tc>
          <w:tcPr>
            <w:tcW w:w="1411" w:type="dxa"/>
            <w:tcBorders>
              <w:top w:val="nil"/>
              <w:bottom w:val="nil"/>
            </w:tcBorders>
            <w:shd w:val="clear" w:color="auto" w:fill="auto"/>
            <w:vAlign w:val="center"/>
          </w:tcPr>
          <w:p w14:paraId="0E1536DE" w14:textId="77777777" w:rsidR="00BE2620" w:rsidRPr="004C6ED9" w:rsidRDefault="00BE2620" w:rsidP="00BE2620">
            <w:pPr>
              <w:pStyle w:val="08-Tabelageral"/>
              <w:rPr>
                <w:rFonts w:cs="Arial"/>
                <w:szCs w:val="14"/>
              </w:rPr>
            </w:pPr>
            <w:r w:rsidRPr="00F85E46">
              <w:rPr>
                <w:rFonts w:cs="Arial"/>
                <w:szCs w:val="14"/>
              </w:rPr>
              <w:t>30</w:t>
            </w:r>
          </w:p>
        </w:tc>
        <w:tc>
          <w:tcPr>
            <w:tcW w:w="1412" w:type="dxa"/>
            <w:tcBorders>
              <w:top w:val="nil"/>
              <w:bottom w:val="nil"/>
            </w:tcBorders>
            <w:shd w:val="clear" w:color="auto" w:fill="auto"/>
            <w:vAlign w:val="center"/>
          </w:tcPr>
          <w:p w14:paraId="5EE6A961" w14:textId="77777777" w:rsidR="00BE2620" w:rsidRPr="004C6ED9" w:rsidRDefault="00BE2620" w:rsidP="00BE2620">
            <w:pPr>
              <w:pStyle w:val="08-Tabelageral"/>
              <w:rPr>
                <w:rFonts w:cs="Arial"/>
                <w:szCs w:val="14"/>
              </w:rPr>
            </w:pPr>
            <w:r w:rsidRPr="00F85E46">
              <w:rPr>
                <w:rFonts w:cs="Arial"/>
                <w:szCs w:val="14"/>
              </w:rPr>
              <w:t>11</w:t>
            </w:r>
          </w:p>
        </w:tc>
        <w:tc>
          <w:tcPr>
            <w:tcW w:w="283" w:type="dxa"/>
            <w:tcBorders>
              <w:top w:val="nil"/>
              <w:bottom w:val="nil"/>
            </w:tcBorders>
            <w:shd w:val="clear" w:color="auto" w:fill="auto"/>
            <w:vAlign w:val="center"/>
          </w:tcPr>
          <w:p w14:paraId="51FCDA0F" w14:textId="77777777" w:rsidR="00BE2620" w:rsidRPr="004C6ED9" w:rsidRDefault="00BE2620" w:rsidP="00BE2620">
            <w:pPr>
              <w:pStyle w:val="08-Tabelageral"/>
              <w:rPr>
                <w:rFonts w:cs="Arial"/>
                <w:szCs w:val="14"/>
              </w:rPr>
            </w:pPr>
          </w:p>
        </w:tc>
        <w:tc>
          <w:tcPr>
            <w:tcW w:w="1417" w:type="dxa"/>
            <w:tcBorders>
              <w:top w:val="nil"/>
              <w:left w:val="nil"/>
              <w:bottom w:val="nil"/>
              <w:right w:val="nil"/>
            </w:tcBorders>
            <w:vAlign w:val="bottom"/>
          </w:tcPr>
          <w:p w14:paraId="6C4659E6" w14:textId="13970FF0" w:rsidR="00BE2620" w:rsidRPr="004C6ED9" w:rsidRDefault="00BE2620" w:rsidP="00BE2620">
            <w:pPr>
              <w:pStyle w:val="08-Tabelageral"/>
              <w:rPr>
                <w:rFonts w:cs="Arial"/>
                <w:szCs w:val="14"/>
              </w:rPr>
            </w:pPr>
            <w:r w:rsidRPr="00290829">
              <w:rPr>
                <w:rFonts w:cs="Arial"/>
              </w:rPr>
              <w:t xml:space="preserve">              7</w:t>
            </w:r>
            <w:r>
              <w:rPr>
                <w:rFonts w:cs="Arial"/>
              </w:rPr>
              <w:t>,</w:t>
            </w:r>
            <w:r w:rsidRPr="00290829">
              <w:rPr>
                <w:rFonts w:cs="Arial"/>
              </w:rPr>
              <w:t xml:space="preserve">787 </w:t>
            </w:r>
          </w:p>
        </w:tc>
        <w:tc>
          <w:tcPr>
            <w:tcW w:w="1418" w:type="dxa"/>
            <w:tcBorders>
              <w:top w:val="nil"/>
              <w:bottom w:val="nil"/>
            </w:tcBorders>
            <w:shd w:val="clear" w:color="auto" w:fill="auto"/>
            <w:vAlign w:val="center"/>
          </w:tcPr>
          <w:p w14:paraId="61F3AE56" w14:textId="504A5712" w:rsidR="00BE2620" w:rsidRPr="004C6ED9" w:rsidRDefault="00BE2620" w:rsidP="00BE2620">
            <w:pPr>
              <w:pStyle w:val="08-Tabelageral"/>
              <w:rPr>
                <w:rFonts w:cs="Arial"/>
                <w:szCs w:val="14"/>
              </w:rPr>
            </w:pPr>
            <w:r w:rsidRPr="00F85E46">
              <w:rPr>
                <w:rFonts w:cs="Arial"/>
              </w:rPr>
              <w:t>2</w:t>
            </w:r>
            <w:r>
              <w:rPr>
                <w:rFonts w:cs="Arial"/>
              </w:rPr>
              <w:t>,</w:t>
            </w:r>
            <w:r w:rsidRPr="00F85E46">
              <w:rPr>
                <w:rFonts w:cs="Arial"/>
              </w:rPr>
              <w:t>632</w:t>
            </w:r>
          </w:p>
        </w:tc>
      </w:tr>
      <w:tr w:rsidR="00BE2620" w:rsidRPr="00552C1B" w14:paraId="0D591C30" w14:textId="77777777">
        <w:trPr>
          <w:trHeight w:val="238"/>
        </w:trPr>
        <w:tc>
          <w:tcPr>
            <w:tcW w:w="3094" w:type="dxa"/>
            <w:gridSpan w:val="2"/>
            <w:tcBorders>
              <w:top w:val="nil"/>
              <w:bottom w:val="nil"/>
            </w:tcBorders>
            <w:shd w:val="clear" w:color="auto" w:fill="auto"/>
            <w:vAlign w:val="center"/>
          </w:tcPr>
          <w:p w14:paraId="67807B74" w14:textId="77777777" w:rsidR="00BE2620" w:rsidRPr="00E048D7" w:rsidRDefault="00BE2620" w:rsidP="00BE2620">
            <w:pPr>
              <w:pStyle w:val="08-Tabelageral"/>
              <w:jc w:val="left"/>
              <w:rPr>
                <w:rFonts w:cs="Arial"/>
                <w:szCs w:val="14"/>
              </w:rPr>
            </w:pPr>
            <w:r>
              <w:rPr>
                <w:rFonts w:cs="Arial"/>
                <w:szCs w:val="14"/>
              </w:rPr>
              <w:t xml:space="preserve">Labor </w:t>
            </w:r>
            <w:proofErr w:type="spellStart"/>
            <w:r>
              <w:rPr>
                <w:rFonts w:cs="Arial"/>
                <w:szCs w:val="14"/>
              </w:rPr>
              <w:t>lawsuits</w:t>
            </w:r>
            <w:proofErr w:type="spellEnd"/>
          </w:p>
        </w:tc>
        <w:tc>
          <w:tcPr>
            <w:tcW w:w="604" w:type="dxa"/>
            <w:tcBorders>
              <w:top w:val="nil"/>
              <w:bottom w:val="nil"/>
            </w:tcBorders>
            <w:shd w:val="clear" w:color="auto" w:fill="auto"/>
            <w:vAlign w:val="center"/>
          </w:tcPr>
          <w:p w14:paraId="470D02F5" w14:textId="77777777" w:rsidR="00BE2620" w:rsidRPr="00552C1B" w:rsidRDefault="00BE2620" w:rsidP="00BE2620">
            <w:pPr>
              <w:pStyle w:val="08-Tabelageral"/>
              <w:rPr>
                <w:rFonts w:cs="Arial"/>
                <w:szCs w:val="14"/>
                <w:lang w:eastAsia="en-US"/>
              </w:rPr>
            </w:pPr>
          </w:p>
        </w:tc>
        <w:tc>
          <w:tcPr>
            <w:tcW w:w="1411" w:type="dxa"/>
            <w:tcBorders>
              <w:top w:val="nil"/>
              <w:bottom w:val="nil"/>
            </w:tcBorders>
            <w:shd w:val="clear" w:color="auto" w:fill="auto"/>
          </w:tcPr>
          <w:p w14:paraId="59374778" w14:textId="488BB40C" w:rsidR="00BE2620" w:rsidRPr="00552C1B" w:rsidRDefault="00BE2620" w:rsidP="00BE2620">
            <w:pPr>
              <w:pStyle w:val="08-Tabelageral"/>
              <w:rPr>
                <w:rFonts w:cs="Arial"/>
                <w:szCs w:val="14"/>
              </w:rPr>
            </w:pPr>
            <w:r w:rsidRPr="00290829">
              <w:rPr>
                <w:rFonts w:cs="Arial"/>
              </w:rPr>
              <w:t xml:space="preserve"> 1</w:t>
            </w:r>
            <w:r>
              <w:rPr>
                <w:rFonts w:cs="Arial"/>
              </w:rPr>
              <w:t>4</w:t>
            </w:r>
            <w:r w:rsidRPr="00290829">
              <w:rPr>
                <w:rFonts w:cs="Arial"/>
              </w:rPr>
              <w:t xml:space="preserve"> </w:t>
            </w:r>
          </w:p>
        </w:tc>
        <w:tc>
          <w:tcPr>
            <w:tcW w:w="1412" w:type="dxa"/>
            <w:tcBorders>
              <w:top w:val="nil"/>
              <w:bottom w:val="nil"/>
            </w:tcBorders>
            <w:shd w:val="clear" w:color="auto" w:fill="auto"/>
            <w:vAlign w:val="center"/>
          </w:tcPr>
          <w:p w14:paraId="38BDB7F6" w14:textId="77777777" w:rsidR="00BE2620" w:rsidRPr="00552C1B" w:rsidRDefault="00BE2620" w:rsidP="00BE2620">
            <w:pPr>
              <w:pStyle w:val="08-Tabelageral"/>
              <w:rPr>
                <w:rFonts w:cs="Arial"/>
                <w:szCs w:val="14"/>
              </w:rPr>
            </w:pPr>
            <w:r w:rsidRPr="00F85E46">
              <w:rPr>
                <w:rFonts w:cs="Arial"/>
                <w:szCs w:val="14"/>
              </w:rPr>
              <w:t>12</w:t>
            </w:r>
          </w:p>
        </w:tc>
        <w:tc>
          <w:tcPr>
            <w:tcW w:w="283" w:type="dxa"/>
            <w:tcBorders>
              <w:top w:val="nil"/>
              <w:bottom w:val="nil"/>
            </w:tcBorders>
            <w:shd w:val="clear" w:color="auto" w:fill="auto"/>
            <w:vAlign w:val="center"/>
          </w:tcPr>
          <w:p w14:paraId="61472B63" w14:textId="77777777" w:rsidR="00BE2620" w:rsidRPr="00552C1B" w:rsidRDefault="00BE2620" w:rsidP="00BE2620">
            <w:pPr>
              <w:pStyle w:val="08-Tabelageral"/>
              <w:rPr>
                <w:rFonts w:cs="Arial"/>
                <w:szCs w:val="14"/>
              </w:rPr>
            </w:pPr>
          </w:p>
        </w:tc>
        <w:tc>
          <w:tcPr>
            <w:tcW w:w="1417" w:type="dxa"/>
            <w:tcBorders>
              <w:top w:val="nil"/>
              <w:left w:val="nil"/>
              <w:bottom w:val="nil"/>
              <w:right w:val="nil"/>
            </w:tcBorders>
            <w:vAlign w:val="bottom"/>
          </w:tcPr>
          <w:p w14:paraId="025858B3" w14:textId="5C8B3346" w:rsidR="00BE2620" w:rsidRPr="00552C1B" w:rsidRDefault="00BE2620" w:rsidP="00BE2620">
            <w:pPr>
              <w:pStyle w:val="08-Tabelageral"/>
              <w:rPr>
                <w:rFonts w:cs="Arial"/>
                <w:szCs w:val="14"/>
              </w:rPr>
            </w:pPr>
            <w:r w:rsidRPr="00290829">
              <w:rPr>
                <w:rFonts w:cs="Arial"/>
              </w:rPr>
              <w:t xml:space="preserve">                   1</w:t>
            </w:r>
            <w:r>
              <w:rPr>
                <w:rFonts w:cs="Arial"/>
              </w:rPr>
              <w:t>5</w:t>
            </w:r>
            <w:r w:rsidRPr="00290829">
              <w:rPr>
                <w:rFonts w:cs="Arial"/>
              </w:rPr>
              <w:t xml:space="preserve"> </w:t>
            </w:r>
          </w:p>
        </w:tc>
        <w:tc>
          <w:tcPr>
            <w:tcW w:w="1418" w:type="dxa"/>
            <w:tcBorders>
              <w:top w:val="nil"/>
              <w:bottom w:val="nil"/>
            </w:tcBorders>
            <w:shd w:val="clear" w:color="auto" w:fill="auto"/>
            <w:vAlign w:val="center"/>
          </w:tcPr>
          <w:p w14:paraId="124F7571" w14:textId="65DADE50" w:rsidR="00BE2620" w:rsidRPr="00552C1B" w:rsidRDefault="00BE2620" w:rsidP="00BE2620">
            <w:pPr>
              <w:pStyle w:val="08-Tabelageral"/>
              <w:rPr>
                <w:rFonts w:cs="Arial"/>
                <w:szCs w:val="14"/>
                <w:lang w:eastAsia="en-US"/>
              </w:rPr>
            </w:pPr>
            <w:r w:rsidRPr="00F85E46">
              <w:rPr>
                <w:rFonts w:cs="Arial"/>
              </w:rPr>
              <w:t>61</w:t>
            </w:r>
          </w:p>
        </w:tc>
      </w:tr>
      <w:tr w:rsidR="00BE2620" w:rsidRPr="00DD19B0" w14:paraId="6C3F6B88" w14:textId="77777777">
        <w:trPr>
          <w:trHeight w:val="238"/>
        </w:trPr>
        <w:tc>
          <w:tcPr>
            <w:tcW w:w="3094" w:type="dxa"/>
            <w:gridSpan w:val="2"/>
            <w:tcBorders>
              <w:top w:val="nil"/>
            </w:tcBorders>
            <w:shd w:val="clear" w:color="auto" w:fill="auto"/>
            <w:vAlign w:val="center"/>
          </w:tcPr>
          <w:p w14:paraId="2E9B2765" w14:textId="77777777" w:rsidR="00BE2620" w:rsidRPr="00DD19B0" w:rsidRDefault="00BE2620" w:rsidP="00BE2620">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shd w:val="clear" w:color="auto" w:fill="auto"/>
            <w:vAlign w:val="center"/>
          </w:tcPr>
          <w:p w14:paraId="11430BE3" w14:textId="77777777" w:rsidR="00BE2620" w:rsidRPr="00DD19B0" w:rsidRDefault="00BE2620" w:rsidP="00BE2620">
            <w:pPr>
              <w:pStyle w:val="08-Tabelageral"/>
              <w:rPr>
                <w:rFonts w:cs="Arial"/>
                <w:b/>
                <w:szCs w:val="14"/>
                <w:lang w:eastAsia="en-US"/>
              </w:rPr>
            </w:pPr>
          </w:p>
        </w:tc>
        <w:tc>
          <w:tcPr>
            <w:tcW w:w="1411" w:type="dxa"/>
            <w:tcBorders>
              <w:top w:val="nil"/>
            </w:tcBorders>
            <w:shd w:val="clear" w:color="auto" w:fill="auto"/>
          </w:tcPr>
          <w:p w14:paraId="542BADCC" w14:textId="0065C64D" w:rsidR="00BE2620" w:rsidRPr="00DD19B0" w:rsidRDefault="00BE2620" w:rsidP="00BE2620">
            <w:pPr>
              <w:pStyle w:val="08-Tabelageral"/>
              <w:rPr>
                <w:rFonts w:cs="Arial"/>
                <w:b/>
                <w:szCs w:val="14"/>
              </w:rPr>
            </w:pPr>
            <w:r w:rsidRPr="00290829">
              <w:rPr>
                <w:rFonts w:cs="Arial"/>
                <w:b/>
              </w:rPr>
              <w:t xml:space="preserve"> 4</w:t>
            </w:r>
            <w:r>
              <w:rPr>
                <w:rFonts w:cs="Arial"/>
                <w:b/>
              </w:rPr>
              <w:t>4</w:t>
            </w:r>
            <w:r w:rsidRPr="00290829">
              <w:rPr>
                <w:rFonts w:cs="Arial"/>
                <w:b/>
              </w:rPr>
              <w:t xml:space="preserve"> </w:t>
            </w:r>
          </w:p>
        </w:tc>
        <w:tc>
          <w:tcPr>
            <w:tcW w:w="1412" w:type="dxa"/>
            <w:tcBorders>
              <w:top w:val="nil"/>
            </w:tcBorders>
            <w:shd w:val="clear" w:color="auto" w:fill="auto"/>
            <w:vAlign w:val="center"/>
          </w:tcPr>
          <w:p w14:paraId="2AB75D01" w14:textId="77777777" w:rsidR="00BE2620" w:rsidRPr="00DD19B0" w:rsidRDefault="00BE2620" w:rsidP="00BE2620">
            <w:pPr>
              <w:pStyle w:val="08-Tabelageral"/>
              <w:rPr>
                <w:rFonts w:cs="Arial"/>
                <w:b/>
                <w:szCs w:val="14"/>
              </w:rPr>
            </w:pPr>
            <w:r w:rsidRPr="00F85E46">
              <w:rPr>
                <w:rFonts w:cs="Arial"/>
                <w:b/>
                <w:szCs w:val="14"/>
              </w:rPr>
              <w:t>23</w:t>
            </w:r>
          </w:p>
        </w:tc>
        <w:tc>
          <w:tcPr>
            <w:tcW w:w="283" w:type="dxa"/>
            <w:tcBorders>
              <w:top w:val="nil"/>
            </w:tcBorders>
            <w:shd w:val="clear" w:color="auto" w:fill="auto"/>
            <w:vAlign w:val="center"/>
          </w:tcPr>
          <w:p w14:paraId="5777A66F" w14:textId="77777777" w:rsidR="00BE2620" w:rsidRPr="00DD19B0" w:rsidRDefault="00BE2620" w:rsidP="00BE2620">
            <w:pPr>
              <w:pStyle w:val="08-Tabelageral"/>
              <w:rPr>
                <w:rFonts w:cs="Arial"/>
                <w:b/>
                <w:szCs w:val="14"/>
              </w:rPr>
            </w:pPr>
          </w:p>
        </w:tc>
        <w:tc>
          <w:tcPr>
            <w:tcW w:w="1417" w:type="dxa"/>
            <w:tcBorders>
              <w:top w:val="nil"/>
              <w:left w:val="nil"/>
              <w:bottom w:val="single" w:sz="2" w:space="0" w:color="1F3864" w:themeColor="accent1" w:themeShade="80"/>
              <w:right w:val="nil"/>
            </w:tcBorders>
            <w:vAlign w:val="bottom"/>
          </w:tcPr>
          <w:p w14:paraId="2438DD92" w14:textId="179ABDF4" w:rsidR="00BE2620" w:rsidRPr="00DD19B0" w:rsidRDefault="00BE2620" w:rsidP="00BE2620">
            <w:pPr>
              <w:pStyle w:val="08-Tabelageral"/>
              <w:rPr>
                <w:rFonts w:cs="Arial"/>
                <w:b/>
                <w:szCs w:val="14"/>
              </w:rPr>
            </w:pPr>
            <w:r w:rsidRPr="00290829">
              <w:rPr>
                <w:rFonts w:cs="Arial"/>
                <w:b/>
              </w:rPr>
              <w:t xml:space="preserve">         251</w:t>
            </w:r>
            <w:r>
              <w:rPr>
                <w:rFonts w:cs="Arial"/>
                <w:b/>
              </w:rPr>
              <w:t>,</w:t>
            </w:r>
            <w:r w:rsidRPr="00290829">
              <w:rPr>
                <w:rFonts w:cs="Arial"/>
                <w:b/>
              </w:rPr>
              <w:t>20</w:t>
            </w:r>
            <w:r>
              <w:rPr>
                <w:rFonts w:cs="Arial"/>
                <w:b/>
              </w:rPr>
              <w:t>2</w:t>
            </w:r>
            <w:r w:rsidRPr="00290829">
              <w:rPr>
                <w:rFonts w:cs="Arial"/>
                <w:b/>
              </w:rPr>
              <w:t xml:space="preserve"> </w:t>
            </w:r>
          </w:p>
        </w:tc>
        <w:tc>
          <w:tcPr>
            <w:tcW w:w="1418" w:type="dxa"/>
            <w:tcBorders>
              <w:top w:val="nil"/>
            </w:tcBorders>
            <w:shd w:val="clear" w:color="auto" w:fill="auto"/>
            <w:vAlign w:val="center"/>
          </w:tcPr>
          <w:p w14:paraId="3498FD6F" w14:textId="13E89727" w:rsidR="00BE2620" w:rsidRPr="00DD19B0" w:rsidRDefault="00BE2620" w:rsidP="00BE2620">
            <w:pPr>
              <w:pStyle w:val="08-Tabelageral"/>
              <w:rPr>
                <w:rFonts w:cs="Arial"/>
                <w:b/>
                <w:szCs w:val="14"/>
              </w:rPr>
            </w:pPr>
            <w:r w:rsidRPr="00290829">
              <w:rPr>
                <w:rFonts w:cs="Arial"/>
                <w:b/>
              </w:rPr>
              <w:t>234</w:t>
            </w:r>
            <w:r>
              <w:rPr>
                <w:rFonts w:cs="Arial"/>
                <w:b/>
              </w:rPr>
              <w:t>,</w:t>
            </w:r>
            <w:r w:rsidRPr="00290829">
              <w:rPr>
                <w:rFonts w:cs="Arial"/>
                <w:b/>
              </w:rPr>
              <w:t>849</w:t>
            </w:r>
          </w:p>
        </w:tc>
      </w:tr>
    </w:tbl>
    <w:p w14:paraId="79B43889" w14:textId="2822B843" w:rsidR="00136834" w:rsidRPr="00136834" w:rsidRDefault="00136834" w:rsidP="00631A19">
      <w:pPr>
        <w:tabs>
          <w:tab w:val="left" w:pos="284"/>
          <w:tab w:val="left" w:pos="426"/>
        </w:tabs>
        <w:spacing w:before="40" w:after="0" w:line="240" w:lineRule="auto"/>
        <w:ind w:left="284" w:hanging="284"/>
        <w:jc w:val="both"/>
        <w:rPr>
          <w:lang w:val="en-US"/>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Refers mainly to a tax lawsuit aimed at annulling an administrative decision that did not ratify declarations of offsetting negative IRPJ balances with various taxes. The updated amount of the afore</w:t>
      </w:r>
      <w:r>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mentioned judicial deposit is R$ </w:t>
      </w:r>
      <w:r w:rsidRPr="001B0F06">
        <w:rPr>
          <w:rStyle w:val="tlid-translation"/>
          <w:rFonts w:ascii="Arial" w:hAnsi="Arial" w:cs="Arial"/>
          <w:sz w:val="14"/>
          <w:szCs w:val="14"/>
          <w:lang w:val="en"/>
        </w:rPr>
        <w:t>18</w:t>
      </w:r>
      <w:r w:rsidR="00010952" w:rsidRPr="006F776C">
        <w:rPr>
          <w:rFonts w:ascii="Arial" w:hAnsi="Arial" w:cs="Arial"/>
          <w:sz w:val="14"/>
          <w:szCs w:val="14"/>
          <w:lang w:val="en-US"/>
        </w:rPr>
        <w:t>4,132</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thousand (R$ </w:t>
      </w:r>
      <w:r w:rsidRPr="001B0F06">
        <w:rPr>
          <w:rStyle w:val="tlid-translation"/>
          <w:rFonts w:ascii="Arial" w:hAnsi="Arial" w:cs="Arial"/>
          <w:sz w:val="14"/>
          <w:szCs w:val="14"/>
          <w:lang w:val="en"/>
        </w:rPr>
        <w:t>175</w:t>
      </w:r>
      <w:r>
        <w:rPr>
          <w:rStyle w:val="tlid-translation"/>
          <w:rFonts w:ascii="Arial" w:hAnsi="Arial" w:cs="Arial"/>
          <w:sz w:val="14"/>
          <w:szCs w:val="14"/>
          <w:lang w:val="en"/>
        </w:rPr>
        <w:t>,</w:t>
      </w:r>
      <w:r w:rsidRPr="001B0F06">
        <w:rPr>
          <w:rStyle w:val="tlid-translation"/>
          <w:rFonts w:ascii="Arial" w:hAnsi="Arial" w:cs="Arial"/>
          <w:sz w:val="14"/>
          <w:szCs w:val="14"/>
          <w:lang w:val="en"/>
        </w:rPr>
        <w:t>555</w:t>
      </w:r>
      <w:r w:rsidRPr="00F0125D">
        <w:rPr>
          <w:rStyle w:val="tlid-translation"/>
          <w:rFonts w:ascii="Arial" w:hAnsi="Arial" w:cs="Arial"/>
          <w:sz w:val="14"/>
          <w:szCs w:val="14"/>
          <w:lang w:val="en"/>
        </w:rPr>
        <w:t xml:space="preserve"> thousand on Dec 31, 202</w:t>
      </w:r>
      <w:r>
        <w:rPr>
          <w:rStyle w:val="tlid-translation"/>
          <w:rFonts w:ascii="Arial" w:hAnsi="Arial" w:cs="Arial"/>
          <w:sz w:val="14"/>
          <w:szCs w:val="14"/>
          <w:lang w:val="en"/>
        </w:rPr>
        <w:t>3</w:t>
      </w:r>
      <w:r w:rsidRPr="00F0125D">
        <w:rPr>
          <w:rStyle w:val="tlid-translation"/>
          <w:rFonts w:ascii="Arial" w:hAnsi="Arial" w:cs="Arial"/>
          <w:sz w:val="14"/>
          <w:szCs w:val="14"/>
          <w:lang w:val="en"/>
        </w:rPr>
        <w:t xml:space="preserve">), referring to the investee BB </w:t>
      </w:r>
      <w:proofErr w:type="spellStart"/>
      <w:r w:rsidRPr="00F0125D">
        <w:rPr>
          <w:rStyle w:val="tlid-translation"/>
          <w:rFonts w:ascii="Arial" w:hAnsi="Arial" w:cs="Arial"/>
          <w:sz w:val="14"/>
          <w:szCs w:val="14"/>
          <w:lang w:val="en"/>
        </w:rPr>
        <w:t>Corretora</w:t>
      </w:r>
      <w:proofErr w:type="spellEnd"/>
      <w:r w:rsidR="00726F88">
        <w:rPr>
          <w:rStyle w:val="tlid-translation"/>
          <w:rFonts w:ascii="Arial" w:hAnsi="Arial" w:cs="Arial"/>
          <w:sz w:val="14"/>
          <w:szCs w:val="14"/>
          <w:lang w:val="en"/>
        </w:rPr>
        <w:t>.</w:t>
      </w:r>
    </w:p>
    <w:p w14:paraId="7705ADFF" w14:textId="77777777" w:rsidR="008E63BC" w:rsidRPr="00A2227F" w:rsidRDefault="008E63BC" w:rsidP="009C17F3">
      <w:pPr>
        <w:pStyle w:val="Ttulo1"/>
        <w:keepNext w:val="0"/>
        <w:keepLines w:val="0"/>
        <w:rPr>
          <w:rFonts w:ascii="Arial" w:hAnsi="Arial" w:cs="Arial"/>
          <w:b/>
          <w:color w:val="1F3864" w:themeColor="accent1" w:themeShade="80"/>
          <w:sz w:val="20"/>
          <w:szCs w:val="20"/>
          <w:lang w:val="en-US"/>
        </w:rPr>
      </w:pPr>
      <w:bookmarkStart w:id="105" w:name="_Toc149573408"/>
      <w:bookmarkStart w:id="106" w:name="_Toc157446736"/>
      <w:bookmarkStart w:id="107" w:name="_Toc190680644"/>
      <w:r w:rsidRPr="00A2227F">
        <w:rPr>
          <w:rFonts w:ascii="Arial" w:hAnsi="Arial" w:cs="Arial"/>
          <w:b/>
          <w:color w:val="1F3864" w:themeColor="accent1" w:themeShade="80"/>
          <w:sz w:val="20"/>
          <w:szCs w:val="20"/>
          <w:lang w:val="en-US"/>
        </w:rPr>
        <w:t>23 – UNEARDED COMMISSIONS</w:t>
      </w:r>
      <w:bookmarkEnd w:id="105"/>
      <w:bookmarkEnd w:id="106"/>
      <w:bookmarkEnd w:id="107"/>
    </w:p>
    <w:p w14:paraId="662D579B" w14:textId="77777777" w:rsidR="00A94F3D" w:rsidRPr="00BF3B80" w:rsidRDefault="00A94F3D" w:rsidP="00A94F3D">
      <w:pPr>
        <w:pStyle w:val="01-TtulodeNota"/>
        <w:spacing w:before="0" w:after="0"/>
        <w:jc w:val="right"/>
        <w:rPr>
          <w:sz w:val="14"/>
          <w:szCs w:val="14"/>
        </w:rPr>
      </w:pPr>
      <w:r w:rsidRPr="00BF3B80">
        <w:rPr>
          <w:sz w:val="14"/>
          <w:szCs w:val="14"/>
        </w:rPr>
        <w:t xml:space="preserve">R$ </w:t>
      </w:r>
      <w:proofErr w:type="spellStart"/>
      <w:r w:rsidRPr="00BF3B80">
        <w:rPr>
          <w:sz w:val="14"/>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A94F3D" w:rsidRPr="00FB1814" w14:paraId="70BA1E8F" w14:textId="77777777">
        <w:trPr>
          <w:trHeight w:val="238"/>
        </w:trPr>
        <w:tc>
          <w:tcPr>
            <w:tcW w:w="5641" w:type="dxa"/>
            <w:gridSpan w:val="3"/>
            <w:tcBorders>
              <w:top w:val="single" w:sz="2" w:space="0" w:color="1F3864" w:themeColor="accent1" w:themeShade="80"/>
              <w:bottom w:val="nil"/>
            </w:tcBorders>
            <w:shd w:val="clear" w:color="auto" w:fill="auto"/>
            <w:vAlign w:val="center"/>
          </w:tcPr>
          <w:p w14:paraId="7486C1CD" w14:textId="77777777" w:rsidR="00A94F3D" w:rsidRPr="00FB1814" w:rsidRDefault="00A94F3D">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70C5D646" w14:textId="77777777" w:rsidR="00A94F3D" w:rsidRPr="00FB1814" w:rsidRDefault="00A94F3D">
            <w:pPr>
              <w:pStyle w:val="08-Tabelageral"/>
              <w:jc w:val="center"/>
              <w:rPr>
                <w:b/>
              </w:rPr>
            </w:pPr>
            <w:proofErr w:type="spellStart"/>
            <w:r w:rsidRPr="00FB1814">
              <w:rPr>
                <w:rFonts w:cs="Arial"/>
                <w:b/>
                <w:szCs w:val="14"/>
              </w:rPr>
              <w:t>Consolidated</w:t>
            </w:r>
            <w:proofErr w:type="spellEnd"/>
          </w:p>
        </w:tc>
      </w:tr>
      <w:tr w:rsidR="00A94F3D" w:rsidRPr="0049410B" w14:paraId="71697AE0" w14:textId="77777777">
        <w:trPr>
          <w:trHeight w:val="238"/>
        </w:trPr>
        <w:tc>
          <w:tcPr>
            <w:tcW w:w="5641" w:type="dxa"/>
            <w:gridSpan w:val="3"/>
            <w:tcBorders>
              <w:top w:val="nil"/>
              <w:bottom w:val="single" w:sz="2" w:space="0" w:color="1F3864" w:themeColor="accent1" w:themeShade="80"/>
            </w:tcBorders>
            <w:shd w:val="clear" w:color="auto" w:fill="auto"/>
          </w:tcPr>
          <w:p w14:paraId="2F3339C7" w14:textId="77777777" w:rsidR="00A94F3D" w:rsidRPr="0049410B" w:rsidRDefault="00A94F3D">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tcPr>
          <w:p w14:paraId="5B3C5B70" w14:textId="77777777" w:rsidR="00A94F3D" w:rsidRPr="004F4E1E" w:rsidRDefault="00A94F3D">
            <w:pPr>
              <w:pStyle w:val="08-Tabelageral"/>
              <w:rPr>
                <w:b/>
              </w:rPr>
            </w:pPr>
            <w:r>
              <w:rPr>
                <w:rFonts w:cs="Arial"/>
                <w:b/>
                <w:bCs/>
                <w:kern w:val="2"/>
                <w:szCs w:val="14"/>
                <w:lang w:val="en-US"/>
              </w:rPr>
              <w:t>Dec 31, 2024</w:t>
            </w:r>
          </w:p>
        </w:tc>
        <w:tc>
          <w:tcPr>
            <w:tcW w:w="2009" w:type="dxa"/>
            <w:tcBorders>
              <w:top w:val="single" w:sz="2" w:space="0" w:color="1F3864" w:themeColor="accent1" w:themeShade="80"/>
              <w:bottom w:val="single" w:sz="2" w:space="0" w:color="1F3864" w:themeColor="accent1" w:themeShade="80"/>
            </w:tcBorders>
            <w:shd w:val="clear" w:color="auto" w:fill="auto"/>
          </w:tcPr>
          <w:p w14:paraId="358CB0DA" w14:textId="77777777" w:rsidR="00A94F3D" w:rsidRPr="004F4E1E" w:rsidRDefault="00A94F3D">
            <w:pPr>
              <w:pStyle w:val="08-Tabelageral"/>
              <w:rPr>
                <w:b/>
              </w:rPr>
            </w:pPr>
            <w:r>
              <w:rPr>
                <w:rFonts w:cs="Arial"/>
                <w:b/>
                <w:bCs/>
                <w:kern w:val="2"/>
                <w:szCs w:val="14"/>
                <w:lang w:val="en-US"/>
              </w:rPr>
              <w:t>Dec 31, 2023</w:t>
            </w:r>
          </w:p>
        </w:tc>
      </w:tr>
      <w:tr w:rsidR="00A94F3D" w:rsidRPr="00FB1814" w14:paraId="6B82A25F" w14:textId="77777777">
        <w:trPr>
          <w:trHeight w:val="238"/>
        </w:trPr>
        <w:tc>
          <w:tcPr>
            <w:tcW w:w="4384" w:type="dxa"/>
            <w:tcBorders>
              <w:top w:val="single" w:sz="2" w:space="0" w:color="1F3864" w:themeColor="accent1" w:themeShade="80"/>
              <w:bottom w:val="nil"/>
            </w:tcBorders>
            <w:shd w:val="clear" w:color="auto" w:fill="auto"/>
            <w:vAlign w:val="center"/>
          </w:tcPr>
          <w:p w14:paraId="769BE1DA" w14:textId="77777777" w:rsidR="00A94F3D" w:rsidRPr="00FB1814" w:rsidRDefault="00A94F3D">
            <w:pPr>
              <w:pStyle w:val="08-Tabelageral"/>
              <w:jc w:val="left"/>
              <w:rPr>
                <w:rFonts w:cs="Arial"/>
                <w:b/>
                <w:lang w:val="en-US"/>
              </w:rPr>
            </w:pPr>
            <w:r w:rsidRPr="00FB1814">
              <w:rPr>
                <w:rFonts w:cs="Arial"/>
                <w:b/>
                <w:lang w:val="en-US"/>
              </w:rPr>
              <w:t>Current Liabilities</w:t>
            </w:r>
          </w:p>
        </w:tc>
        <w:tc>
          <w:tcPr>
            <w:tcW w:w="856" w:type="dxa"/>
            <w:tcBorders>
              <w:top w:val="single" w:sz="2" w:space="0" w:color="1F3864" w:themeColor="accent1" w:themeShade="80"/>
              <w:bottom w:val="nil"/>
            </w:tcBorders>
            <w:shd w:val="clear" w:color="auto" w:fill="auto"/>
          </w:tcPr>
          <w:p w14:paraId="55345969" w14:textId="77777777" w:rsidR="00A94F3D" w:rsidRPr="00FB1814" w:rsidRDefault="00A94F3D">
            <w:pPr>
              <w:pStyle w:val="08-Tabelageral"/>
              <w:rPr>
                <w:b/>
              </w:rPr>
            </w:pPr>
          </w:p>
        </w:tc>
        <w:tc>
          <w:tcPr>
            <w:tcW w:w="401" w:type="dxa"/>
            <w:tcBorders>
              <w:top w:val="single" w:sz="2" w:space="0" w:color="1F3864" w:themeColor="accent1" w:themeShade="80"/>
              <w:bottom w:val="nil"/>
            </w:tcBorders>
            <w:shd w:val="clear" w:color="auto" w:fill="auto"/>
          </w:tcPr>
          <w:p w14:paraId="5456FCAA" w14:textId="77777777" w:rsidR="00A94F3D" w:rsidRPr="00FB1814" w:rsidRDefault="00A94F3D">
            <w:pPr>
              <w:pStyle w:val="08-Tabelageral"/>
              <w:rPr>
                <w:b/>
              </w:rPr>
            </w:pPr>
          </w:p>
        </w:tc>
        <w:tc>
          <w:tcPr>
            <w:tcW w:w="2008" w:type="dxa"/>
            <w:tcBorders>
              <w:top w:val="single" w:sz="2" w:space="0" w:color="1F3864" w:themeColor="accent1" w:themeShade="80"/>
              <w:bottom w:val="nil"/>
            </w:tcBorders>
            <w:shd w:val="clear" w:color="auto" w:fill="auto"/>
          </w:tcPr>
          <w:p w14:paraId="2827F8B3" w14:textId="77777777" w:rsidR="00A94F3D" w:rsidRPr="00FB1814" w:rsidRDefault="00A94F3D">
            <w:pPr>
              <w:pStyle w:val="08-Tabelageral"/>
              <w:rPr>
                <w:b/>
              </w:rPr>
            </w:pPr>
            <w:r>
              <w:rPr>
                <w:b/>
                <w:bCs/>
              </w:rPr>
              <w:t>2,627,914</w:t>
            </w:r>
          </w:p>
        </w:tc>
        <w:tc>
          <w:tcPr>
            <w:tcW w:w="2009" w:type="dxa"/>
            <w:tcBorders>
              <w:top w:val="single" w:sz="2" w:space="0" w:color="1F3864" w:themeColor="accent1" w:themeShade="80"/>
              <w:bottom w:val="nil"/>
            </w:tcBorders>
            <w:shd w:val="clear" w:color="auto" w:fill="auto"/>
          </w:tcPr>
          <w:p w14:paraId="207CB6EF" w14:textId="77777777" w:rsidR="00A94F3D" w:rsidRPr="00FB1814" w:rsidRDefault="00A94F3D">
            <w:pPr>
              <w:pStyle w:val="08-Tabelageral"/>
              <w:rPr>
                <w:b/>
              </w:rPr>
            </w:pPr>
            <w:r>
              <w:rPr>
                <w:b/>
              </w:rPr>
              <w:t>1,952,798</w:t>
            </w:r>
          </w:p>
        </w:tc>
      </w:tr>
      <w:tr w:rsidR="00A94F3D" w:rsidRPr="0049410B" w14:paraId="7F2A0949" w14:textId="77777777">
        <w:trPr>
          <w:trHeight w:val="238"/>
        </w:trPr>
        <w:tc>
          <w:tcPr>
            <w:tcW w:w="4384" w:type="dxa"/>
            <w:tcBorders>
              <w:top w:val="nil"/>
            </w:tcBorders>
            <w:shd w:val="clear" w:color="auto" w:fill="auto"/>
            <w:vAlign w:val="center"/>
          </w:tcPr>
          <w:p w14:paraId="0D9C1585" w14:textId="77777777" w:rsidR="00A94F3D" w:rsidRPr="002547FE" w:rsidRDefault="00A94F3D">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shd w:val="clear" w:color="auto" w:fill="auto"/>
          </w:tcPr>
          <w:p w14:paraId="37F23E4C" w14:textId="77777777" w:rsidR="00A94F3D" w:rsidRPr="0049410B" w:rsidRDefault="00A94F3D">
            <w:pPr>
              <w:pStyle w:val="08-Tabelageral"/>
            </w:pPr>
          </w:p>
        </w:tc>
        <w:tc>
          <w:tcPr>
            <w:tcW w:w="401" w:type="dxa"/>
            <w:tcBorders>
              <w:top w:val="nil"/>
            </w:tcBorders>
            <w:shd w:val="clear" w:color="auto" w:fill="auto"/>
          </w:tcPr>
          <w:p w14:paraId="634CBF2D" w14:textId="77777777" w:rsidR="00A94F3D" w:rsidRPr="0049410B" w:rsidRDefault="00A94F3D">
            <w:pPr>
              <w:pStyle w:val="08-Tabelageral"/>
            </w:pPr>
          </w:p>
        </w:tc>
        <w:tc>
          <w:tcPr>
            <w:tcW w:w="2008" w:type="dxa"/>
            <w:tcBorders>
              <w:top w:val="nil"/>
            </w:tcBorders>
            <w:shd w:val="clear" w:color="auto" w:fill="auto"/>
          </w:tcPr>
          <w:p w14:paraId="124F0BD3" w14:textId="77777777" w:rsidR="00A94F3D" w:rsidRPr="00FE0AFD" w:rsidRDefault="00A94F3D">
            <w:pPr>
              <w:pStyle w:val="08-Tabelageral"/>
            </w:pPr>
            <w:r>
              <w:t>2,525,041</w:t>
            </w:r>
          </w:p>
        </w:tc>
        <w:tc>
          <w:tcPr>
            <w:tcW w:w="2009" w:type="dxa"/>
            <w:tcBorders>
              <w:top w:val="nil"/>
            </w:tcBorders>
            <w:shd w:val="clear" w:color="auto" w:fill="auto"/>
          </w:tcPr>
          <w:p w14:paraId="7D855565" w14:textId="77777777" w:rsidR="00A94F3D" w:rsidRPr="00FE0AFD" w:rsidRDefault="00A94F3D">
            <w:pPr>
              <w:pStyle w:val="08-Tabelageral"/>
            </w:pPr>
            <w:r>
              <w:t>1,865,674</w:t>
            </w:r>
          </w:p>
        </w:tc>
      </w:tr>
      <w:tr w:rsidR="00A94F3D" w:rsidRPr="0049410B" w14:paraId="28F07EE1" w14:textId="77777777">
        <w:trPr>
          <w:trHeight w:val="238"/>
        </w:trPr>
        <w:tc>
          <w:tcPr>
            <w:tcW w:w="4384" w:type="dxa"/>
            <w:shd w:val="clear" w:color="auto" w:fill="auto"/>
            <w:vAlign w:val="center"/>
          </w:tcPr>
          <w:p w14:paraId="0AB330A1" w14:textId="77777777" w:rsidR="00A94F3D" w:rsidRPr="002547FE" w:rsidRDefault="00A94F3D">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175D54C0" w14:textId="77777777" w:rsidR="00A94F3D" w:rsidRPr="0049410B" w:rsidRDefault="00A94F3D">
            <w:pPr>
              <w:pStyle w:val="08-Tabelageral"/>
            </w:pPr>
          </w:p>
        </w:tc>
        <w:tc>
          <w:tcPr>
            <w:tcW w:w="401" w:type="dxa"/>
            <w:shd w:val="clear" w:color="auto" w:fill="auto"/>
          </w:tcPr>
          <w:p w14:paraId="72890F6E" w14:textId="77777777" w:rsidR="00A94F3D" w:rsidRPr="0049410B" w:rsidRDefault="00A94F3D">
            <w:pPr>
              <w:pStyle w:val="08-Tabelageral"/>
            </w:pPr>
          </w:p>
        </w:tc>
        <w:tc>
          <w:tcPr>
            <w:tcW w:w="2008" w:type="dxa"/>
            <w:shd w:val="clear" w:color="auto" w:fill="auto"/>
          </w:tcPr>
          <w:p w14:paraId="0F21EC52" w14:textId="77777777" w:rsidR="00A94F3D" w:rsidRPr="00FE0AFD" w:rsidRDefault="00A94F3D">
            <w:pPr>
              <w:pStyle w:val="08-Tabelageral"/>
            </w:pPr>
            <w:r>
              <w:t>102,663</w:t>
            </w:r>
          </w:p>
        </w:tc>
        <w:tc>
          <w:tcPr>
            <w:tcW w:w="2009" w:type="dxa"/>
            <w:shd w:val="clear" w:color="auto" w:fill="auto"/>
          </w:tcPr>
          <w:p w14:paraId="2373B4EC" w14:textId="77777777" w:rsidR="00A94F3D" w:rsidRPr="00FE0AFD" w:rsidRDefault="00A94F3D">
            <w:pPr>
              <w:pStyle w:val="08-Tabelageral"/>
            </w:pPr>
            <w:r>
              <w:t>86,936</w:t>
            </w:r>
          </w:p>
        </w:tc>
      </w:tr>
      <w:tr w:rsidR="00A94F3D" w:rsidRPr="0049410B" w14:paraId="7D0D2E84" w14:textId="77777777">
        <w:trPr>
          <w:trHeight w:val="238"/>
        </w:trPr>
        <w:tc>
          <w:tcPr>
            <w:tcW w:w="4384" w:type="dxa"/>
            <w:shd w:val="clear" w:color="auto" w:fill="auto"/>
            <w:vAlign w:val="center"/>
          </w:tcPr>
          <w:p w14:paraId="2D40399C" w14:textId="77777777" w:rsidR="00A94F3D" w:rsidRPr="002547FE" w:rsidRDefault="00A94F3D">
            <w:pPr>
              <w:pStyle w:val="08-Tabelageral"/>
              <w:ind w:left="113"/>
              <w:jc w:val="left"/>
              <w:rPr>
                <w:rFonts w:cs="Arial"/>
                <w:b/>
                <w:szCs w:val="14"/>
                <w:lang w:val="en-US"/>
              </w:rPr>
            </w:pPr>
            <w:r>
              <w:rPr>
                <w:rFonts w:cs="Arial"/>
                <w:szCs w:val="14"/>
                <w:lang w:val="en-US"/>
              </w:rPr>
              <w:t>Others</w:t>
            </w:r>
          </w:p>
        </w:tc>
        <w:tc>
          <w:tcPr>
            <w:tcW w:w="856" w:type="dxa"/>
            <w:shd w:val="clear" w:color="auto" w:fill="auto"/>
          </w:tcPr>
          <w:p w14:paraId="13EECE2C" w14:textId="77777777" w:rsidR="00A94F3D" w:rsidRPr="0049410B" w:rsidRDefault="00A94F3D">
            <w:pPr>
              <w:pStyle w:val="08-Tabelageral"/>
            </w:pPr>
          </w:p>
        </w:tc>
        <w:tc>
          <w:tcPr>
            <w:tcW w:w="401" w:type="dxa"/>
            <w:shd w:val="clear" w:color="auto" w:fill="auto"/>
          </w:tcPr>
          <w:p w14:paraId="4B681FD0" w14:textId="77777777" w:rsidR="00A94F3D" w:rsidRPr="0049410B" w:rsidRDefault="00A94F3D">
            <w:pPr>
              <w:pStyle w:val="08-Tabelageral"/>
            </w:pPr>
          </w:p>
        </w:tc>
        <w:tc>
          <w:tcPr>
            <w:tcW w:w="2008" w:type="dxa"/>
            <w:shd w:val="clear" w:color="auto" w:fill="auto"/>
          </w:tcPr>
          <w:p w14:paraId="74994062" w14:textId="77777777" w:rsidR="00A94F3D" w:rsidRDefault="00A94F3D">
            <w:pPr>
              <w:pStyle w:val="08-Tabelageral"/>
            </w:pPr>
            <w:r>
              <w:t>210</w:t>
            </w:r>
          </w:p>
        </w:tc>
        <w:tc>
          <w:tcPr>
            <w:tcW w:w="2009" w:type="dxa"/>
            <w:shd w:val="clear" w:color="auto" w:fill="auto"/>
          </w:tcPr>
          <w:p w14:paraId="3647D6EE" w14:textId="77777777" w:rsidR="00A94F3D" w:rsidRDefault="00A94F3D">
            <w:pPr>
              <w:pStyle w:val="08-Tabelageral"/>
            </w:pPr>
            <w:r>
              <w:t>188</w:t>
            </w:r>
          </w:p>
        </w:tc>
      </w:tr>
      <w:tr w:rsidR="00A94F3D" w:rsidRPr="00FB1814" w14:paraId="192BA7AC" w14:textId="77777777">
        <w:trPr>
          <w:trHeight w:val="238"/>
        </w:trPr>
        <w:tc>
          <w:tcPr>
            <w:tcW w:w="4384" w:type="dxa"/>
            <w:shd w:val="clear" w:color="auto" w:fill="auto"/>
            <w:vAlign w:val="center"/>
          </w:tcPr>
          <w:p w14:paraId="7DBE77C8" w14:textId="77777777" w:rsidR="00A94F3D" w:rsidRPr="00FB1814" w:rsidRDefault="00A94F3D">
            <w:pPr>
              <w:pStyle w:val="08-Tabelageral"/>
              <w:jc w:val="left"/>
              <w:rPr>
                <w:rFonts w:cs="Arial"/>
                <w:b/>
                <w:lang w:val="en-US"/>
              </w:rPr>
            </w:pPr>
            <w:r w:rsidRPr="00FB1814">
              <w:rPr>
                <w:rFonts w:cs="Arial"/>
                <w:b/>
                <w:lang w:val="en-US"/>
              </w:rPr>
              <w:t>Non-Current Liabilities</w:t>
            </w:r>
          </w:p>
        </w:tc>
        <w:tc>
          <w:tcPr>
            <w:tcW w:w="856" w:type="dxa"/>
            <w:shd w:val="clear" w:color="auto" w:fill="auto"/>
          </w:tcPr>
          <w:p w14:paraId="0F064159" w14:textId="77777777" w:rsidR="00A94F3D" w:rsidRPr="00FB1814" w:rsidRDefault="00A94F3D">
            <w:pPr>
              <w:pStyle w:val="08-Tabelageral"/>
              <w:rPr>
                <w:b/>
              </w:rPr>
            </w:pPr>
          </w:p>
        </w:tc>
        <w:tc>
          <w:tcPr>
            <w:tcW w:w="401" w:type="dxa"/>
            <w:shd w:val="clear" w:color="auto" w:fill="auto"/>
          </w:tcPr>
          <w:p w14:paraId="7E05B963" w14:textId="77777777" w:rsidR="00A94F3D" w:rsidRPr="00FB1814" w:rsidRDefault="00A94F3D">
            <w:pPr>
              <w:pStyle w:val="08-Tabelageral"/>
              <w:rPr>
                <w:b/>
              </w:rPr>
            </w:pPr>
          </w:p>
        </w:tc>
        <w:tc>
          <w:tcPr>
            <w:tcW w:w="2008" w:type="dxa"/>
            <w:shd w:val="clear" w:color="auto" w:fill="auto"/>
          </w:tcPr>
          <w:p w14:paraId="3CA604CC" w14:textId="77777777" w:rsidR="00A94F3D" w:rsidRPr="00FB1814" w:rsidRDefault="00A94F3D">
            <w:pPr>
              <w:pStyle w:val="08-Tabelageral"/>
              <w:rPr>
                <w:b/>
              </w:rPr>
            </w:pPr>
            <w:r>
              <w:rPr>
                <w:b/>
                <w:bCs/>
              </w:rPr>
              <w:t>3,391,326</w:t>
            </w:r>
          </w:p>
        </w:tc>
        <w:tc>
          <w:tcPr>
            <w:tcW w:w="2009" w:type="dxa"/>
            <w:shd w:val="clear" w:color="auto" w:fill="auto"/>
          </w:tcPr>
          <w:p w14:paraId="4812ED6F" w14:textId="77777777" w:rsidR="00A94F3D" w:rsidRPr="00FB1814" w:rsidRDefault="00A94F3D">
            <w:pPr>
              <w:pStyle w:val="08-Tabelageral"/>
              <w:rPr>
                <w:b/>
              </w:rPr>
            </w:pPr>
            <w:r>
              <w:rPr>
                <w:b/>
              </w:rPr>
              <w:t>2,735,359</w:t>
            </w:r>
          </w:p>
        </w:tc>
      </w:tr>
      <w:tr w:rsidR="00A94F3D" w:rsidRPr="0049410B" w14:paraId="4223DF3D" w14:textId="77777777">
        <w:trPr>
          <w:trHeight w:val="238"/>
        </w:trPr>
        <w:tc>
          <w:tcPr>
            <w:tcW w:w="4384" w:type="dxa"/>
            <w:shd w:val="clear" w:color="auto" w:fill="auto"/>
            <w:vAlign w:val="center"/>
          </w:tcPr>
          <w:p w14:paraId="3ACC3DFD" w14:textId="77777777" w:rsidR="00A94F3D" w:rsidRPr="002547FE" w:rsidRDefault="00A94F3D">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4872D7D8" w14:textId="77777777" w:rsidR="00A94F3D" w:rsidRPr="0049410B" w:rsidRDefault="00A94F3D">
            <w:pPr>
              <w:pStyle w:val="08-Tabelageral"/>
            </w:pPr>
          </w:p>
        </w:tc>
        <w:tc>
          <w:tcPr>
            <w:tcW w:w="401" w:type="dxa"/>
            <w:shd w:val="clear" w:color="auto" w:fill="auto"/>
          </w:tcPr>
          <w:p w14:paraId="78CF5780" w14:textId="77777777" w:rsidR="00A94F3D" w:rsidRPr="0049410B" w:rsidRDefault="00A94F3D">
            <w:pPr>
              <w:pStyle w:val="08-Tabelageral"/>
            </w:pPr>
          </w:p>
        </w:tc>
        <w:tc>
          <w:tcPr>
            <w:tcW w:w="2008" w:type="dxa"/>
            <w:shd w:val="clear" w:color="auto" w:fill="auto"/>
          </w:tcPr>
          <w:p w14:paraId="455CC821" w14:textId="77777777" w:rsidR="00A94F3D" w:rsidRDefault="00A94F3D">
            <w:pPr>
              <w:pStyle w:val="08-Tabelageral"/>
            </w:pPr>
            <w:r>
              <w:t>3,372,309</w:t>
            </w:r>
          </w:p>
        </w:tc>
        <w:tc>
          <w:tcPr>
            <w:tcW w:w="2009" w:type="dxa"/>
            <w:shd w:val="clear" w:color="auto" w:fill="auto"/>
          </w:tcPr>
          <w:p w14:paraId="137672EE" w14:textId="77777777" w:rsidR="00A94F3D" w:rsidRDefault="00A94F3D">
            <w:pPr>
              <w:pStyle w:val="08-Tabelageral"/>
            </w:pPr>
            <w:r>
              <w:t>2,705,710</w:t>
            </w:r>
          </w:p>
        </w:tc>
      </w:tr>
      <w:tr w:rsidR="00A94F3D" w:rsidRPr="0049410B" w14:paraId="5D1C7704" w14:textId="77777777">
        <w:trPr>
          <w:trHeight w:val="238"/>
        </w:trPr>
        <w:tc>
          <w:tcPr>
            <w:tcW w:w="4384" w:type="dxa"/>
            <w:shd w:val="clear" w:color="auto" w:fill="auto"/>
            <w:vAlign w:val="center"/>
          </w:tcPr>
          <w:p w14:paraId="75380BA3" w14:textId="77777777" w:rsidR="00A94F3D" w:rsidRPr="002547FE" w:rsidRDefault="00A94F3D">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02235C50" w14:textId="77777777" w:rsidR="00A94F3D" w:rsidRPr="0049410B" w:rsidRDefault="00A94F3D">
            <w:pPr>
              <w:pStyle w:val="08-Tabelageral"/>
            </w:pPr>
          </w:p>
        </w:tc>
        <w:tc>
          <w:tcPr>
            <w:tcW w:w="401" w:type="dxa"/>
            <w:shd w:val="clear" w:color="auto" w:fill="auto"/>
          </w:tcPr>
          <w:p w14:paraId="2199125A" w14:textId="77777777" w:rsidR="00A94F3D" w:rsidRPr="0049410B" w:rsidRDefault="00A94F3D">
            <w:pPr>
              <w:pStyle w:val="08-Tabelageral"/>
            </w:pPr>
          </w:p>
        </w:tc>
        <w:tc>
          <w:tcPr>
            <w:tcW w:w="2008" w:type="dxa"/>
            <w:shd w:val="clear" w:color="auto" w:fill="auto"/>
          </w:tcPr>
          <w:p w14:paraId="0861BD66" w14:textId="77777777" w:rsidR="00A94F3D" w:rsidRDefault="00A94F3D">
            <w:pPr>
              <w:pStyle w:val="08-Tabelageral"/>
            </w:pPr>
            <w:r>
              <w:t>19,015</w:t>
            </w:r>
          </w:p>
        </w:tc>
        <w:tc>
          <w:tcPr>
            <w:tcW w:w="2009" w:type="dxa"/>
            <w:shd w:val="clear" w:color="auto" w:fill="auto"/>
          </w:tcPr>
          <w:p w14:paraId="28ABAD1A" w14:textId="77777777" w:rsidR="00A94F3D" w:rsidRDefault="00A94F3D">
            <w:pPr>
              <w:pStyle w:val="08-Tabelageral"/>
            </w:pPr>
            <w:r>
              <w:t>29,649</w:t>
            </w:r>
          </w:p>
        </w:tc>
      </w:tr>
      <w:tr w:rsidR="00A94F3D" w:rsidRPr="0049410B" w14:paraId="5148F2CB" w14:textId="77777777">
        <w:trPr>
          <w:trHeight w:val="238"/>
        </w:trPr>
        <w:tc>
          <w:tcPr>
            <w:tcW w:w="4384" w:type="dxa"/>
            <w:shd w:val="clear" w:color="auto" w:fill="auto"/>
            <w:vAlign w:val="center"/>
          </w:tcPr>
          <w:p w14:paraId="280EB39D" w14:textId="77777777" w:rsidR="00A94F3D" w:rsidRDefault="00A94F3D">
            <w:pPr>
              <w:pStyle w:val="08-Tabelageral"/>
              <w:ind w:left="113"/>
              <w:jc w:val="left"/>
              <w:rPr>
                <w:rFonts w:cs="Arial"/>
                <w:lang w:val="en-US"/>
              </w:rPr>
            </w:pPr>
            <w:r>
              <w:rPr>
                <w:rFonts w:cs="Arial"/>
                <w:szCs w:val="14"/>
                <w:lang w:val="en-US"/>
              </w:rPr>
              <w:t>Others</w:t>
            </w:r>
          </w:p>
        </w:tc>
        <w:tc>
          <w:tcPr>
            <w:tcW w:w="856" w:type="dxa"/>
            <w:shd w:val="clear" w:color="auto" w:fill="auto"/>
          </w:tcPr>
          <w:p w14:paraId="570D5BBC" w14:textId="77777777" w:rsidR="00A94F3D" w:rsidRPr="0049410B" w:rsidRDefault="00A94F3D">
            <w:pPr>
              <w:pStyle w:val="08-Tabelageral"/>
            </w:pPr>
          </w:p>
        </w:tc>
        <w:tc>
          <w:tcPr>
            <w:tcW w:w="401" w:type="dxa"/>
            <w:shd w:val="clear" w:color="auto" w:fill="auto"/>
          </w:tcPr>
          <w:p w14:paraId="36852300" w14:textId="77777777" w:rsidR="00A94F3D" w:rsidRPr="0049410B" w:rsidRDefault="00A94F3D">
            <w:pPr>
              <w:pStyle w:val="08-Tabelageral"/>
            </w:pPr>
          </w:p>
        </w:tc>
        <w:tc>
          <w:tcPr>
            <w:tcW w:w="2008" w:type="dxa"/>
            <w:shd w:val="clear" w:color="auto" w:fill="auto"/>
          </w:tcPr>
          <w:p w14:paraId="2C9C7977" w14:textId="77777777" w:rsidR="00A94F3D" w:rsidRDefault="00A94F3D">
            <w:pPr>
              <w:pStyle w:val="08-Tabelageral"/>
            </w:pPr>
            <w:r>
              <w:t>2</w:t>
            </w:r>
          </w:p>
        </w:tc>
        <w:tc>
          <w:tcPr>
            <w:tcW w:w="2009" w:type="dxa"/>
            <w:shd w:val="clear" w:color="auto" w:fill="auto"/>
          </w:tcPr>
          <w:p w14:paraId="09EC8221" w14:textId="77777777" w:rsidR="00A94F3D" w:rsidRDefault="00A94F3D">
            <w:pPr>
              <w:pStyle w:val="08-Tabelageral"/>
            </w:pPr>
            <w:r>
              <w:t>--</w:t>
            </w:r>
          </w:p>
        </w:tc>
      </w:tr>
      <w:tr w:rsidR="00A94F3D" w:rsidRPr="00FB1814" w14:paraId="4C9042A9" w14:textId="77777777">
        <w:trPr>
          <w:trHeight w:val="238"/>
        </w:trPr>
        <w:tc>
          <w:tcPr>
            <w:tcW w:w="4384" w:type="dxa"/>
            <w:tcBorders>
              <w:bottom w:val="single" w:sz="2" w:space="0" w:color="1F3864" w:themeColor="accent1" w:themeShade="80"/>
            </w:tcBorders>
            <w:shd w:val="clear" w:color="auto" w:fill="auto"/>
            <w:vAlign w:val="center"/>
          </w:tcPr>
          <w:p w14:paraId="76974889" w14:textId="77777777" w:rsidR="00A94F3D" w:rsidRPr="00FB1814" w:rsidRDefault="00A94F3D">
            <w:pPr>
              <w:pStyle w:val="08-Tabelageral"/>
              <w:jc w:val="left"/>
              <w:rPr>
                <w:rFonts w:cs="Arial"/>
                <w:b/>
                <w:bCs/>
                <w:szCs w:val="14"/>
                <w:lang w:val="en-US"/>
              </w:rPr>
            </w:pPr>
            <w:r w:rsidRPr="00FB1814">
              <w:rPr>
                <w:rFonts w:cs="Arial"/>
                <w:b/>
                <w:lang w:val="en-US"/>
              </w:rPr>
              <w:t>Total</w:t>
            </w:r>
          </w:p>
        </w:tc>
        <w:tc>
          <w:tcPr>
            <w:tcW w:w="856" w:type="dxa"/>
            <w:tcBorders>
              <w:bottom w:val="single" w:sz="2" w:space="0" w:color="1F3864" w:themeColor="accent1" w:themeShade="80"/>
            </w:tcBorders>
            <w:shd w:val="clear" w:color="auto" w:fill="auto"/>
          </w:tcPr>
          <w:p w14:paraId="24C6941A" w14:textId="77777777" w:rsidR="00A94F3D" w:rsidRPr="00FB1814" w:rsidRDefault="00A94F3D">
            <w:pPr>
              <w:pStyle w:val="08-Tabelageral"/>
              <w:rPr>
                <w:b/>
                <w:szCs w:val="14"/>
              </w:rPr>
            </w:pPr>
          </w:p>
        </w:tc>
        <w:tc>
          <w:tcPr>
            <w:tcW w:w="401" w:type="dxa"/>
            <w:tcBorders>
              <w:bottom w:val="single" w:sz="2" w:space="0" w:color="1F3864" w:themeColor="accent1" w:themeShade="80"/>
            </w:tcBorders>
            <w:shd w:val="clear" w:color="auto" w:fill="auto"/>
          </w:tcPr>
          <w:p w14:paraId="712C654F" w14:textId="77777777" w:rsidR="00A94F3D" w:rsidRPr="00FB1814" w:rsidRDefault="00A94F3D">
            <w:pPr>
              <w:pStyle w:val="08-Tabelageral"/>
              <w:rPr>
                <w:b/>
                <w:szCs w:val="14"/>
              </w:rPr>
            </w:pPr>
          </w:p>
        </w:tc>
        <w:tc>
          <w:tcPr>
            <w:tcW w:w="2008" w:type="dxa"/>
            <w:tcBorders>
              <w:bottom w:val="single" w:sz="2" w:space="0" w:color="1F3864" w:themeColor="accent1" w:themeShade="80"/>
            </w:tcBorders>
            <w:shd w:val="clear" w:color="auto" w:fill="auto"/>
          </w:tcPr>
          <w:p w14:paraId="4F378CEC" w14:textId="77777777" w:rsidR="00A94F3D" w:rsidRPr="00FB1814" w:rsidRDefault="00A94F3D">
            <w:pPr>
              <w:pStyle w:val="08-Tabelageral"/>
              <w:rPr>
                <w:b/>
              </w:rPr>
            </w:pPr>
            <w:r>
              <w:rPr>
                <w:b/>
              </w:rPr>
              <w:t>6,019,240</w:t>
            </w:r>
          </w:p>
        </w:tc>
        <w:tc>
          <w:tcPr>
            <w:tcW w:w="2009" w:type="dxa"/>
            <w:tcBorders>
              <w:bottom w:val="single" w:sz="2" w:space="0" w:color="1F3864" w:themeColor="accent1" w:themeShade="80"/>
            </w:tcBorders>
            <w:shd w:val="clear" w:color="auto" w:fill="auto"/>
          </w:tcPr>
          <w:p w14:paraId="21261214" w14:textId="77777777" w:rsidR="00A94F3D" w:rsidRPr="00FB1814" w:rsidRDefault="00A94F3D">
            <w:pPr>
              <w:pStyle w:val="08-Tabelageral"/>
              <w:rPr>
                <w:b/>
              </w:rPr>
            </w:pPr>
            <w:r>
              <w:rPr>
                <w:b/>
              </w:rPr>
              <w:t>4,688,157</w:t>
            </w:r>
          </w:p>
        </w:tc>
      </w:tr>
    </w:tbl>
    <w:p w14:paraId="4D9D016C" w14:textId="5CCF2582" w:rsidR="00B12592" w:rsidRPr="00A94F3D" w:rsidRDefault="00A94F3D" w:rsidP="00A94F3D">
      <w:pPr>
        <w:pStyle w:val="07-Legenda"/>
        <w:spacing w:before="120" w:after="120" w:line="276" w:lineRule="auto"/>
        <w:ind w:left="0" w:firstLine="0"/>
        <w:rPr>
          <w:sz w:val="18"/>
          <w:lang w:val="en-US" w:eastAsia="en-US"/>
        </w:rPr>
      </w:pPr>
      <w:r w:rsidRPr="00226C47">
        <w:rPr>
          <w:sz w:val="18"/>
          <w:lang w:val="en-US" w:eastAsia="en-US"/>
        </w:rPr>
        <w:t xml:space="preserve">There are no </w:t>
      </w:r>
      <w:proofErr w:type="gramStart"/>
      <w:r w:rsidRPr="00226C47">
        <w:rPr>
          <w:sz w:val="18"/>
          <w:lang w:val="en-US" w:eastAsia="en-US"/>
        </w:rPr>
        <w:t>amount</w:t>
      </w:r>
      <w:proofErr w:type="gramEnd"/>
      <w:r w:rsidRPr="00226C47">
        <w:rPr>
          <w:sz w:val="18"/>
          <w:lang w:val="en-US" w:eastAsia="en-US"/>
        </w:rPr>
        <w:t xml:space="preserve"> of unearned commissions </w:t>
      </w:r>
      <w:r>
        <w:rPr>
          <w:sz w:val="18"/>
          <w:lang w:val="en-US" w:eastAsia="en-US"/>
        </w:rPr>
        <w:t>i</w:t>
      </w:r>
      <w:r w:rsidRPr="00226C47">
        <w:rPr>
          <w:sz w:val="18"/>
          <w:lang w:val="en-US" w:eastAsia="en-US"/>
        </w:rPr>
        <w:t>n parent</w:t>
      </w:r>
      <w:r w:rsidRPr="001E4F71">
        <w:rPr>
          <w:sz w:val="18"/>
          <w:lang w:val="en-US" w:eastAsia="en-US"/>
        </w:rPr>
        <w:t>.</w:t>
      </w:r>
    </w:p>
    <w:p w14:paraId="282BBD8E" w14:textId="60E6D618" w:rsidR="00E14B2F"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8" w:name="_Toc149573409"/>
      <w:bookmarkStart w:id="109" w:name="_Toc157446737"/>
      <w:bookmarkStart w:id="110" w:name="_Toc190680645"/>
      <w:r w:rsidRPr="00432934">
        <w:rPr>
          <w:rFonts w:ascii="Arial" w:hAnsi="Arial" w:cs="Arial"/>
          <w:b/>
          <w:color w:val="1F3864" w:themeColor="accent1" w:themeShade="80"/>
          <w:sz w:val="20"/>
          <w:lang w:val="en-US"/>
        </w:rPr>
        <w:t>24 – OTHER LIABILITIES</w:t>
      </w:r>
      <w:bookmarkStart w:id="111" w:name="_Toc149573410"/>
      <w:bookmarkEnd w:id="108"/>
      <w:bookmarkEnd w:id="109"/>
      <w:bookmarkEnd w:id="110"/>
    </w:p>
    <w:p w14:paraId="556E46C9" w14:textId="77777777" w:rsidR="00210C2F" w:rsidRPr="00F15F06" w:rsidRDefault="00210C2F" w:rsidP="00210C2F">
      <w:pPr>
        <w:spacing w:after="0" w:line="240" w:lineRule="auto"/>
        <w:jc w:val="right"/>
        <w:rPr>
          <w:rFonts w:ascii="Arial" w:hAnsi="Arial" w:cs="Arial"/>
          <w:b/>
          <w:sz w:val="14"/>
          <w:lang w:val="en-US" w:eastAsia="pt-BR"/>
        </w:rPr>
      </w:pPr>
      <w:r w:rsidRPr="00F15F06">
        <w:rPr>
          <w:rFonts w:ascii="Arial" w:hAnsi="Arial" w:cs="Arial"/>
          <w:b/>
          <w:sz w:val="14"/>
          <w:lang w:val="en-US" w:eastAsia="pt-BR"/>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47"/>
        <w:gridCol w:w="595"/>
        <w:gridCol w:w="1399"/>
        <w:gridCol w:w="1400"/>
        <w:gridCol w:w="282"/>
        <w:gridCol w:w="1405"/>
        <w:gridCol w:w="1511"/>
      </w:tblGrid>
      <w:tr w:rsidR="00210C2F" w:rsidRPr="001A1E07" w14:paraId="272C0707" w14:textId="77777777">
        <w:trPr>
          <w:trHeight w:hRule="exact" w:val="283"/>
          <w:jc w:val="center"/>
        </w:trPr>
        <w:tc>
          <w:tcPr>
            <w:tcW w:w="3047" w:type="dxa"/>
            <w:tcBorders>
              <w:top w:val="single" w:sz="2" w:space="0" w:color="1F3864" w:themeColor="accent1" w:themeShade="80"/>
              <w:bottom w:val="nil"/>
            </w:tcBorders>
            <w:shd w:val="clear" w:color="auto" w:fill="auto"/>
          </w:tcPr>
          <w:p w14:paraId="029E5EEC" w14:textId="77777777" w:rsidR="00210C2F" w:rsidRPr="00F15F06" w:rsidRDefault="00210C2F">
            <w:pPr>
              <w:spacing w:after="0"/>
              <w:jc w:val="center"/>
              <w:rPr>
                <w:rFonts w:ascii="Arial" w:hAnsi="Arial" w:cs="Arial"/>
                <w:b/>
                <w:sz w:val="18"/>
                <w:szCs w:val="18"/>
                <w:lang w:val="en-US"/>
              </w:rPr>
            </w:pPr>
          </w:p>
        </w:tc>
        <w:tc>
          <w:tcPr>
            <w:tcW w:w="595" w:type="dxa"/>
            <w:tcBorders>
              <w:top w:val="single" w:sz="2" w:space="0" w:color="1F3864" w:themeColor="accent1" w:themeShade="80"/>
              <w:bottom w:val="nil"/>
            </w:tcBorders>
            <w:shd w:val="clear" w:color="auto" w:fill="auto"/>
          </w:tcPr>
          <w:p w14:paraId="10AC254E" w14:textId="77777777" w:rsidR="00210C2F" w:rsidRPr="00F15F06" w:rsidRDefault="00210C2F">
            <w:pPr>
              <w:spacing w:after="0"/>
              <w:jc w:val="center"/>
              <w:rPr>
                <w:rFonts w:ascii="Arial" w:hAnsi="Arial" w:cs="Arial"/>
                <w:b/>
                <w:sz w:val="18"/>
                <w:szCs w:val="18"/>
                <w:lang w:val="en-US"/>
              </w:rPr>
            </w:pPr>
          </w:p>
        </w:tc>
        <w:tc>
          <w:tcPr>
            <w:tcW w:w="2799" w:type="dxa"/>
            <w:gridSpan w:val="2"/>
            <w:tcBorders>
              <w:top w:val="single" w:sz="2" w:space="0" w:color="1F3864" w:themeColor="accent1" w:themeShade="80"/>
              <w:bottom w:val="single" w:sz="2" w:space="0" w:color="1F3864" w:themeColor="accent1" w:themeShade="80"/>
            </w:tcBorders>
            <w:shd w:val="clear" w:color="auto" w:fill="auto"/>
            <w:vAlign w:val="center"/>
          </w:tcPr>
          <w:p w14:paraId="371FE333" w14:textId="77777777" w:rsidR="00210C2F" w:rsidRPr="001A1E07" w:rsidRDefault="00210C2F">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2" w:type="dxa"/>
            <w:tcBorders>
              <w:top w:val="single" w:sz="2" w:space="0" w:color="1F3864" w:themeColor="accent1" w:themeShade="80"/>
              <w:bottom w:val="nil"/>
            </w:tcBorders>
            <w:shd w:val="clear" w:color="auto" w:fill="auto"/>
            <w:vAlign w:val="center"/>
          </w:tcPr>
          <w:p w14:paraId="5D5BFF68" w14:textId="77777777" w:rsidR="00210C2F" w:rsidRPr="001A1E07" w:rsidRDefault="00210C2F">
            <w:pPr>
              <w:spacing w:after="0"/>
              <w:jc w:val="center"/>
              <w:rPr>
                <w:rFonts w:ascii="Arial" w:hAnsi="Arial" w:cs="Arial"/>
                <w:b/>
                <w:sz w:val="18"/>
                <w:szCs w:val="18"/>
              </w:rPr>
            </w:pPr>
          </w:p>
        </w:tc>
        <w:tc>
          <w:tcPr>
            <w:tcW w:w="2916" w:type="dxa"/>
            <w:gridSpan w:val="2"/>
            <w:tcBorders>
              <w:top w:val="single" w:sz="2" w:space="0" w:color="1F3864" w:themeColor="accent1" w:themeShade="80"/>
              <w:bottom w:val="single" w:sz="2" w:space="0" w:color="1F3864" w:themeColor="accent1" w:themeShade="80"/>
            </w:tcBorders>
            <w:shd w:val="clear" w:color="auto" w:fill="auto"/>
            <w:vAlign w:val="center"/>
          </w:tcPr>
          <w:p w14:paraId="2D62177E" w14:textId="77777777" w:rsidR="00210C2F" w:rsidRPr="001A1E07" w:rsidRDefault="00210C2F">
            <w:pPr>
              <w:spacing w:after="0"/>
              <w:jc w:val="center"/>
              <w:rPr>
                <w:rFonts w:ascii="Arial" w:hAnsi="Arial" w:cs="Arial"/>
                <w:b/>
                <w:sz w:val="18"/>
                <w:szCs w:val="18"/>
              </w:rPr>
            </w:pPr>
            <w:proofErr w:type="spellStart"/>
            <w:r w:rsidRPr="001A1E07">
              <w:rPr>
                <w:rFonts w:ascii="Arial" w:hAnsi="Arial" w:cs="Arial"/>
                <w:b/>
                <w:sz w:val="14"/>
                <w:szCs w:val="18"/>
              </w:rPr>
              <w:t>Consolida</w:t>
            </w:r>
            <w:r>
              <w:rPr>
                <w:rFonts w:ascii="Arial" w:hAnsi="Arial" w:cs="Arial"/>
                <w:b/>
                <w:sz w:val="14"/>
                <w:szCs w:val="18"/>
              </w:rPr>
              <w:t>ted</w:t>
            </w:r>
            <w:proofErr w:type="spellEnd"/>
          </w:p>
        </w:tc>
      </w:tr>
      <w:tr w:rsidR="00210C2F" w:rsidRPr="001A1E07" w14:paraId="57F3BF37" w14:textId="77777777">
        <w:trPr>
          <w:trHeight w:hRule="exact" w:val="238"/>
          <w:jc w:val="center"/>
        </w:trPr>
        <w:tc>
          <w:tcPr>
            <w:tcW w:w="3047" w:type="dxa"/>
            <w:tcBorders>
              <w:top w:val="nil"/>
              <w:bottom w:val="single" w:sz="2" w:space="0" w:color="1F3864" w:themeColor="accent1" w:themeShade="80"/>
            </w:tcBorders>
            <w:shd w:val="clear" w:color="auto" w:fill="auto"/>
          </w:tcPr>
          <w:p w14:paraId="5F16719B" w14:textId="77777777" w:rsidR="00210C2F" w:rsidRPr="001A1E07" w:rsidRDefault="00210C2F">
            <w:pPr>
              <w:pStyle w:val="08-Tabelageral"/>
              <w:rPr>
                <w:rFonts w:cs="Arial"/>
                <w:b/>
              </w:rPr>
            </w:pPr>
          </w:p>
        </w:tc>
        <w:tc>
          <w:tcPr>
            <w:tcW w:w="595" w:type="dxa"/>
            <w:tcBorders>
              <w:top w:val="nil"/>
              <w:bottom w:val="single" w:sz="2" w:space="0" w:color="1F3864" w:themeColor="accent1" w:themeShade="80"/>
            </w:tcBorders>
            <w:shd w:val="clear" w:color="auto" w:fill="auto"/>
          </w:tcPr>
          <w:p w14:paraId="7B112DE2" w14:textId="77777777" w:rsidR="00210C2F" w:rsidRPr="001A1E07" w:rsidRDefault="00210C2F">
            <w:pPr>
              <w:pStyle w:val="08-Tabelageral"/>
              <w:rPr>
                <w:rFonts w:cs="Arial"/>
                <w:b/>
              </w:rPr>
            </w:pPr>
          </w:p>
        </w:tc>
        <w:tc>
          <w:tcPr>
            <w:tcW w:w="1399" w:type="dxa"/>
            <w:tcBorders>
              <w:top w:val="single" w:sz="2" w:space="0" w:color="1F3864" w:themeColor="accent1" w:themeShade="80"/>
              <w:bottom w:val="single" w:sz="2" w:space="0" w:color="1F3864" w:themeColor="accent1" w:themeShade="80"/>
            </w:tcBorders>
            <w:shd w:val="clear" w:color="auto" w:fill="auto"/>
            <w:vAlign w:val="center"/>
          </w:tcPr>
          <w:p w14:paraId="5D1A2A7D" w14:textId="77777777" w:rsidR="00210C2F" w:rsidRPr="0068592A" w:rsidRDefault="00210C2F">
            <w:pPr>
              <w:pStyle w:val="08-Tabelageral"/>
              <w:rPr>
                <w:rFonts w:cs="Arial"/>
                <w:b/>
              </w:rPr>
            </w:pPr>
            <w:proofErr w:type="spellStart"/>
            <w:r>
              <w:rPr>
                <w:rFonts w:cs="Arial"/>
                <w:b/>
              </w:rPr>
              <w:t>Dec</w:t>
            </w:r>
            <w:proofErr w:type="spellEnd"/>
            <w:r>
              <w:rPr>
                <w:rFonts w:cs="Arial"/>
                <w:b/>
              </w:rPr>
              <w:t xml:space="preserve"> 31, 2024</w:t>
            </w:r>
          </w:p>
        </w:tc>
        <w:tc>
          <w:tcPr>
            <w:tcW w:w="1400" w:type="dxa"/>
            <w:tcBorders>
              <w:top w:val="single" w:sz="2" w:space="0" w:color="1F3864" w:themeColor="accent1" w:themeShade="80"/>
              <w:bottom w:val="single" w:sz="2" w:space="0" w:color="1F3864" w:themeColor="accent1" w:themeShade="80"/>
            </w:tcBorders>
            <w:shd w:val="clear" w:color="auto" w:fill="auto"/>
            <w:vAlign w:val="center"/>
          </w:tcPr>
          <w:p w14:paraId="4FDCF31F" w14:textId="77777777" w:rsidR="00210C2F" w:rsidRPr="0068592A" w:rsidRDefault="00210C2F">
            <w:pPr>
              <w:pStyle w:val="08-Tabelageral"/>
              <w:rPr>
                <w:rFonts w:cs="Arial"/>
                <w:b/>
              </w:rPr>
            </w:pPr>
            <w:proofErr w:type="spellStart"/>
            <w:r>
              <w:rPr>
                <w:rFonts w:cs="Arial"/>
                <w:b/>
              </w:rPr>
              <w:t>Dec</w:t>
            </w:r>
            <w:proofErr w:type="spellEnd"/>
            <w:r>
              <w:rPr>
                <w:rFonts w:cs="Arial"/>
                <w:b/>
              </w:rPr>
              <w:t xml:space="preserve"> 31, 2023</w:t>
            </w:r>
          </w:p>
        </w:tc>
        <w:tc>
          <w:tcPr>
            <w:tcW w:w="282" w:type="dxa"/>
            <w:tcBorders>
              <w:bottom w:val="single" w:sz="2" w:space="0" w:color="1F3864" w:themeColor="accent1" w:themeShade="80"/>
            </w:tcBorders>
            <w:shd w:val="clear" w:color="auto" w:fill="auto"/>
            <w:vAlign w:val="center"/>
          </w:tcPr>
          <w:p w14:paraId="6A67D3CF" w14:textId="77777777" w:rsidR="00210C2F" w:rsidRPr="0068592A" w:rsidRDefault="00210C2F">
            <w:pPr>
              <w:pStyle w:val="08-Tabelageral"/>
              <w:rPr>
                <w:rFonts w:cs="Arial"/>
                <w:b/>
              </w:rPr>
            </w:pPr>
          </w:p>
        </w:tc>
        <w:tc>
          <w:tcPr>
            <w:tcW w:w="1405" w:type="dxa"/>
            <w:tcBorders>
              <w:top w:val="single" w:sz="2" w:space="0" w:color="1F3864" w:themeColor="accent1" w:themeShade="80"/>
              <w:bottom w:val="single" w:sz="2" w:space="0" w:color="1F3864" w:themeColor="accent1" w:themeShade="80"/>
            </w:tcBorders>
            <w:shd w:val="clear" w:color="auto" w:fill="auto"/>
            <w:vAlign w:val="center"/>
          </w:tcPr>
          <w:p w14:paraId="2C35AD74" w14:textId="77777777" w:rsidR="00210C2F" w:rsidRPr="0068592A" w:rsidRDefault="00210C2F">
            <w:pPr>
              <w:pStyle w:val="08-Tabelageral"/>
              <w:rPr>
                <w:rFonts w:cs="Arial"/>
                <w:b/>
              </w:rPr>
            </w:pPr>
            <w:proofErr w:type="spellStart"/>
            <w:r>
              <w:rPr>
                <w:rFonts w:cs="Arial"/>
                <w:b/>
              </w:rPr>
              <w:t>Dec</w:t>
            </w:r>
            <w:proofErr w:type="spellEnd"/>
            <w:r>
              <w:rPr>
                <w:rFonts w:cs="Arial"/>
                <w:b/>
              </w:rPr>
              <w:t xml:space="preserve"> 31, 2024</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224BFB48" w14:textId="77777777" w:rsidR="00210C2F" w:rsidRPr="0068592A" w:rsidRDefault="00210C2F">
            <w:pPr>
              <w:pStyle w:val="08-Tabelageral"/>
              <w:rPr>
                <w:rFonts w:cs="Arial"/>
                <w:b/>
              </w:rPr>
            </w:pPr>
            <w:proofErr w:type="spellStart"/>
            <w:r>
              <w:rPr>
                <w:rFonts w:cs="Arial"/>
                <w:b/>
              </w:rPr>
              <w:t>Dec</w:t>
            </w:r>
            <w:proofErr w:type="spellEnd"/>
            <w:r>
              <w:rPr>
                <w:rFonts w:cs="Arial"/>
                <w:b/>
              </w:rPr>
              <w:t xml:space="preserve"> 31, 2023</w:t>
            </w:r>
          </w:p>
        </w:tc>
      </w:tr>
      <w:tr w:rsidR="00210C2F" w:rsidRPr="001A1E07" w14:paraId="49130F2D" w14:textId="77777777">
        <w:trPr>
          <w:trHeight w:val="238"/>
          <w:jc w:val="center"/>
        </w:trPr>
        <w:tc>
          <w:tcPr>
            <w:tcW w:w="3047" w:type="dxa"/>
            <w:tcBorders>
              <w:top w:val="single" w:sz="2" w:space="0" w:color="1F3864" w:themeColor="accent1" w:themeShade="80"/>
            </w:tcBorders>
            <w:shd w:val="clear" w:color="auto" w:fill="auto"/>
          </w:tcPr>
          <w:p w14:paraId="3CFB7473" w14:textId="77777777" w:rsidR="00210C2F" w:rsidRPr="001A1E07" w:rsidRDefault="00210C2F">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Liabilities</w:t>
            </w:r>
            <w:proofErr w:type="spellEnd"/>
          </w:p>
        </w:tc>
        <w:tc>
          <w:tcPr>
            <w:tcW w:w="595" w:type="dxa"/>
            <w:tcBorders>
              <w:top w:val="single" w:sz="2" w:space="0" w:color="1F3864" w:themeColor="accent1" w:themeShade="80"/>
            </w:tcBorders>
            <w:shd w:val="clear" w:color="auto" w:fill="auto"/>
          </w:tcPr>
          <w:p w14:paraId="15AF46F5" w14:textId="77777777" w:rsidR="00210C2F" w:rsidRPr="001A1E07" w:rsidRDefault="00210C2F">
            <w:pPr>
              <w:pStyle w:val="08-Tabelageral"/>
              <w:ind w:left="113"/>
              <w:jc w:val="center"/>
              <w:rPr>
                <w:rFonts w:cs="Arial"/>
                <w:b/>
                <w:szCs w:val="14"/>
              </w:rPr>
            </w:pPr>
          </w:p>
        </w:tc>
        <w:tc>
          <w:tcPr>
            <w:tcW w:w="1399" w:type="dxa"/>
            <w:tcBorders>
              <w:top w:val="single" w:sz="2" w:space="0" w:color="1F3864" w:themeColor="accent1" w:themeShade="80"/>
            </w:tcBorders>
            <w:shd w:val="clear" w:color="auto" w:fill="auto"/>
            <w:vAlign w:val="center"/>
          </w:tcPr>
          <w:p w14:paraId="0041DD0E" w14:textId="77777777" w:rsidR="00210C2F" w:rsidRPr="001A1E07" w:rsidRDefault="00210C2F">
            <w:pPr>
              <w:pStyle w:val="08-Tabelageral"/>
              <w:ind w:left="113"/>
              <w:rPr>
                <w:rFonts w:cs="Arial"/>
                <w:b/>
                <w:szCs w:val="14"/>
              </w:rPr>
            </w:pPr>
          </w:p>
        </w:tc>
        <w:tc>
          <w:tcPr>
            <w:tcW w:w="1400" w:type="dxa"/>
            <w:tcBorders>
              <w:top w:val="single" w:sz="2" w:space="0" w:color="1F3864" w:themeColor="accent1" w:themeShade="80"/>
            </w:tcBorders>
            <w:shd w:val="clear" w:color="auto" w:fill="auto"/>
            <w:vAlign w:val="center"/>
          </w:tcPr>
          <w:p w14:paraId="79CA1077" w14:textId="77777777" w:rsidR="00210C2F" w:rsidRPr="001A1E07" w:rsidRDefault="00210C2F">
            <w:pPr>
              <w:pStyle w:val="08-Tabelageral"/>
              <w:ind w:left="113"/>
              <w:rPr>
                <w:rFonts w:cs="Arial"/>
                <w:b/>
                <w:szCs w:val="14"/>
              </w:rPr>
            </w:pPr>
          </w:p>
        </w:tc>
        <w:tc>
          <w:tcPr>
            <w:tcW w:w="282" w:type="dxa"/>
            <w:tcBorders>
              <w:top w:val="single" w:sz="2" w:space="0" w:color="1F3864" w:themeColor="accent1" w:themeShade="80"/>
            </w:tcBorders>
            <w:shd w:val="clear" w:color="auto" w:fill="auto"/>
            <w:vAlign w:val="center"/>
          </w:tcPr>
          <w:p w14:paraId="57E68FC7" w14:textId="77777777" w:rsidR="00210C2F" w:rsidRPr="001A1E07" w:rsidRDefault="00210C2F">
            <w:pPr>
              <w:pStyle w:val="08-Tabelageral"/>
              <w:ind w:left="113"/>
              <w:rPr>
                <w:rFonts w:cs="Arial"/>
                <w:b/>
                <w:szCs w:val="14"/>
              </w:rPr>
            </w:pPr>
          </w:p>
        </w:tc>
        <w:tc>
          <w:tcPr>
            <w:tcW w:w="1405" w:type="dxa"/>
            <w:tcBorders>
              <w:top w:val="single" w:sz="2" w:space="0" w:color="1F3864" w:themeColor="accent1" w:themeShade="80"/>
            </w:tcBorders>
            <w:shd w:val="clear" w:color="auto" w:fill="auto"/>
            <w:vAlign w:val="center"/>
          </w:tcPr>
          <w:p w14:paraId="4326B8C2" w14:textId="77777777" w:rsidR="00210C2F" w:rsidRPr="001A1E07" w:rsidRDefault="00210C2F">
            <w:pPr>
              <w:pStyle w:val="08-Tabelageral"/>
              <w:ind w:left="113"/>
              <w:rPr>
                <w:rFonts w:cs="Arial"/>
                <w:b/>
                <w:szCs w:val="14"/>
              </w:rPr>
            </w:pPr>
          </w:p>
        </w:tc>
        <w:tc>
          <w:tcPr>
            <w:tcW w:w="1511" w:type="dxa"/>
            <w:tcBorders>
              <w:top w:val="single" w:sz="2" w:space="0" w:color="1F3864" w:themeColor="accent1" w:themeShade="80"/>
            </w:tcBorders>
            <w:shd w:val="clear" w:color="auto" w:fill="auto"/>
            <w:vAlign w:val="center"/>
          </w:tcPr>
          <w:p w14:paraId="3F8AC0CB" w14:textId="77777777" w:rsidR="00210C2F" w:rsidRPr="001A1E07" w:rsidRDefault="00210C2F">
            <w:pPr>
              <w:pStyle w:val="08-Tabelageral"/>
              <w:ind w:left="113"/>
              <w:rPr>
                <w:rFonts w:cs="Arial"/>
                <w:b/>
                <w:szCs w:val="14"/>
              </w:rPr>
            </w:pPr>
          </w:p>
        </w:tc>
      </w:tr>
      <w:tr w:rsidR="00210C2F" w:rsidRPr="001A1E07" w14:paraId="085AB808" w14:textId="77777777">
        <w:trPr>
          <w:trHeight w:val="238"/>
          <w:jc w:val="center"/>
        </w:trPr>
        <w:tc>
          <w:tcPr>
            <w:tcW w:w="3047" w:type="dxa"/>
            <w:shd w:val="clear" w:color="auto" w:fill="auto"/>
          </w:tcPr>
          <w:p w14:paraId="7B3A0C9B" w14:textId="77777777" w:rsidR="00210C2F" w:rsidRPr="00194FE1" w:rsidRDefault="00210C2F">
            <w:pPr>
              <w:pStyle w:val="08-Tabelageral"/>
              <w:ind w:left="113"/>
              <w:jc w:val="left"/>
              <w:rPr>
                <w:rFonts w:cs="Arial"/>
                <w:szCs w:val="14"/>
                <w:vertAlign w:val="superscript"/>
                <w:lang w:val="en-US"/>
              </w:rPr>
            </w:pPr>
            <w:r>
              <w:rPr>
                <w:rFonts w:cs="Arial"/>
                <w:szCs w:val="14"/>
                <w:lang w:val="en-US"/>
              </w:rPr>
              <w:t>Payables</w:t>
            </w:r>
            <w:r w:rsidRPr="00194FE1">
              <w:rPr>
                <w:rFonts w:cs="Arial"/>
                <w:szCs w:val="14"/>
                <w:lang w:val="en-US"/>
              </w:rPr>
              <w:t xml:space="preserve"> </w:t>
            </w:r>
            <w:r w:rsidRPr="00194FE1">
              <w:rPr>
                <w:rFonts w:cs="Arial"/>
                <w:szCs w:val="14"/>
                <w:vertAlign w:val="superscript"/>
                <w:lang w:val="en-US"/>
              </w:rPr>
              <w:t>(1)</w:t>
            </w:r>
          </w:p>
        </w:tc>
        <w:tc>
          <w:tcPr>
            <w:tcW w:w="595" w:type="dxa"/>
            <w:shd w:val="clear" w:color="auto" w:fill="auto"/>
          </w:tcPr>
          <w:p w14:paraId="7D029FA6" w14:textId="77777777" w:rsidR="00210C2F" w:rsidRPr="00194FE1" w:rsidRDefault="00210C2F">
            <w:pPr>
              <w:pStyle w:val="08-Tabelageral"/>
              <w:ind w:left="113"/>
              <w:jc w:val="center"/>
              <w:rPr>
                <w:rFonts w:cs="Arial"/>
                <w:szCs w:val="14"/>
                <w:lang w:val="en-US"/>
              </w:rPr>
            </w:pPr>
          </w:p>
        </w:tc>
        <w:tc>
          <w:tcPr>
            <w:tcW w:w="1399" w:type="dxa"/>
            <w:shd w:val="clear" w:color="auto" w:fill="auto"/>
            <w:vAlign w:val="center"/>
          </w:tcPr>
          <w:p w14:paraId="68B3A18F" w14:textId="77777777" w:rsidR="00210C2F" w:rsidRPr="001A1E07" w:rsidRDefault="00210C2F">
            <w:pPr>
              <w:pStyle w:val="08-Tabelageral"/>
              <w:ind w:left="113"/>
              <w:rPr>
                <w:rFonts w:cs="Arial"/>
                <w:szCs w:val="14"/>
              </w:rPr>
            </w:pPr>
            <w:r>
              <w:rPr>
                <w:rFonts w:cs="Arial"/>
                <w:szCs w:val="14"/>
              </w:rPr>
              <w:t>9,730</w:t>
            </w:r>
          </w:p>
        </w:tc>
        <w:tc>
          <w:tcPr>
            <w:tcW w:w="1400" w:type="dxa"/>
            <w:shd w:val="clear" w:color="auto" w:fill="auto"/>
            <w:vAlign w:val="center"/>
          </w:tcPr>
          <w:p w14:paraId="4E49C756" w14:textId="77777777" w:rsidR="00210C2F" w:rsidRPr="001A1E07" w:rsidRDefault="00210C2F">
            <w:pPr>
              <w:pStyle w:val="08-Tabelageral"/>
              <w:ind w:left="113"/>
              <w:rPr>
                <w:rFonts w:cs="Arial"/>
                <w:szCs w:val="14"/>
              </w:rPr>
            </w:pPr>
            <w:r>
              <w:rPr>
                <w:rFonts w:cs="Arial"/>
                <w:szCs w:val="14"/>
              </w:rPr>
              <w:t>9,203</w:t>
            </w:r>
          </w:p>
        </w:tc>
        <w:tc>
          <w:tcPr>
            <w:tcW w:w="282" w:type="dxa"/>
            <w:shd w:val="clear" w:color="auto" w:fill="auto"/>
            <w:vAlign w:val="center"/>
          </w:tcPr>
          <w:p w14:paraId="7F7106A7" w14:textId="77777777" w:rsidR="00210C2F" w:rsidRPr="001A1E07" w:rsidRDefault="00210C2F">
            <w:pPr>
              <w:pStyle w:val="08-Tabelageral"/>
              <w:ind w:left="113"/>
              <w:rPr>
                <w:rFonts w:cs="Arial"/>
                <w:szCs w:val="14"/>
              </w:rPr>
            </w:pPr>
          </w:p>
        </w:tc>
        <w:tc>
          <w:tcPr>
            <w:tcW w:w="1405" w:type="dxa"/>
            <w:shd w:val="clear" w:color="auto" w:fill="auto"/>
            <w:vAlign w:val="center"/>
          </w:tcPr>
          <w:p w14:paraId="2E1941C2" w14:textId="1471B2EA" w:rsidR="00210C2F" w:rsidRPr="001A1E07" w:rsidRDefault="0076233D">
            <w:pPr>
              <w:pStyle w:val="08-Tabelageral"/>
              <w:ind w:left="113"/>
              <w:rPr>
                <w:rFonts w:cs="Arial"/>
                <w:szCs w:val="14"/>
              </w:rPr>
            </w:pPr>
            <w:r>
              <w:rPr>
                <w:rFonts w:cs="Arial"/>
                <w:szCs w:val="14"/>
              </w:rPr>
              <w:t>62,429</w:t>
            </w:r>
          </w:p>
        </w:tc>
        <w:tc>
          <w:tcPr>
            <w:tcW w:w="1511" w:type="dxa"/>
            <w:shd w:val="clear" w:color="auto" w:fill="auto"/>
            <w:vAlign w:val="center"/>
          </w:tcPr>
          <w:p w14:paraId="19FC8A84" w14:textId="77777777" w:rsidR="00210C2F" w:rsidRPr="001A1E07" w:rsidRDefault="00210C2F">
            <w:pPr>
              <w:pStyle w:val="08-Tabelageral"/>
              <w:ind w:left="113"/>
              <w:rPr>
                <w:rFonts w:cs="Arial"/>
                <w:szCs w:val="14"/>
              </w:rPr>
            </w:pPr>
            <w:r>
              <w:rPr>
                <w:rFonts w:cs="Arial"/>
                <w:szCs w:val="14"/>
              </w:rPr>
              <w:t>93,024</w:t>
            </w:r>
          </w:p>
        </w:tc>
      </w:tr>
      <w:tr w:rsidR="00FD2E83" w:rsidRPr="001A1E07" w14:paraId="19709DEA" w14:textId="77777777">
        <w:trPr>
          <w:trHeight w:val="238"/>
          <w:jc w:val="center"/>
        </w:trPr>
        <w:tc>
          <w:tcPr>
            <w:tcW w:w="3047" w:type="dxa"/>
            <w:shd w:val="clear" w:color="auto" w:fill="auto"/>
          </w:tcPr>
          <w:p w14:paraId="543FCB51" w14:textId="5D5E2B28" w:rsidR="00FD2E83" w:rsidRPr="00057BEB" w:rsidRDefault="001636AA">
            <w:pPr>
              <w:pStyle w:val="08-Tabelageral"/>
              <w:ind w:left="113"/>
              <w:jc w:val="left"/>
              <w:rPr>
                <w:rFonts w:cs="Arial"/>
                <w:szCs w:val="14"/>
                <w:vertAlign w:val="superscript"/>
                <w:lang w:val="en-US"/>
              </w:rPr>
            </w:pPr>
            <w:r w:rsidRPr="001636AA">
              <w:rPr>
                <w:rFonts w:cs="Arial"/>
                <w:szCs w:val="14"/>
                <w:lang w:val="en-US"/>
              </w:rPr>
              <w:t xml:space="preserve">Provision for return of brokerage </w:t>
            </w:r>
            <w:r w:rsidR="00057BEB">
              <w:rPr>
                <w:rFonts w:cs="Arial"/>
                <w:szCs w:val="14"/>
                <w:vertAlign w:val="superscript"/>
                <w:lang w:val="en-US"/>
              </w:rPr>
              <w:t>(2)</w:t>
            </w:r>
          </w:p>
        </w:tc>
        <w:tc>
          <w:tcPr>
            <w:tcW w:w="595" w:type="dxa"/>
            <w:shd w:val="clear" w:color="auto" w:fill="auto"/>
          </w:tcPr>
          <w:p w14:paraId="2E67B5F9" w14:textId="77777777" w:rsidR="00FD2E83" w:rsidRPr="00194FE1" w:rsidRDefault="00FD2E83">
            <w:pPr>
              <w:pStyle w:val="08-Tabelageral"/>
              <w:ind w:left="113"/>
              <w:jc w:val="center"/>
              <w:rPr>
                <w:rFonts w:cs="Arial"/>
                <w:szCs w:val="14"/>
                <w:lang w:val="en-US"/>
              </w:rPr>
            </w:pPr>
          </w:p>
        </w:tc>
        <w:tc>
          <w:tcPr>
            <w:tcW w:w="1399" w:type="dxa"/>
            <w:shd w:val="clear" w:color="auto" w:fill="auto"/>
            <w:vAlign w:val="center"/>
          </w:tcPr>
          <w:p w14:paraId="5BBCD93D" w14:textId="554D040B" w:rsidR="00FD2E83" w:rsidRDefault="00FD2E83">
            <w:pPr>
              <w:pStyle w:val="08-Tabelageral"/>
              <w:ind w:left="113"/>
              <w:rPr>
                <w:rFonts w:cs="Arial"/>
                <w:szCs w:val="14"/>
              </w:rPr>
            </w:pPr>
            <w:r>
              <w:rPr>
                <w:rFonts w:cs="Arial"/>
                <w:szCs w:val="14"/>
              </w:rPr>
              <w:t>--</w:t>
            </w:r>
          </w:p>
        </w:tc>
        <w:tc>
          <w:tcPr>
            <w:tcW w:w="1400" w:type="dxa"/>
            <w:shd w:val="clear" w:color="auto" w:fill="auto"/>
            <w:vAlign w:val="center"/>
          </w:tcPr>
          <w:p w14:paraId="76E6D372" w14:textId="67B72A69" w:rsidR="00FD2E83" w:rsidRDefault="00FD2E83">
            <w:pPr>
              <w:pStyle w:val="08-Tabelageral"/>
              <w:ind w:left="113"/>
              <w:rPr>
                <w:rFonts w:cs="Arial"/>
                <w:szCs w:val="14"/>
              </w:rPr>
            </w:pPr>
            <w:r>
              <w:rPr>
                <w:rFonts w:cs="Arial"/>
                <w:szCs w:val="14"/>
              </w:rPr>
              <w:t>--</w:t>
            </w:r>
          </w:p>
        </w:tc>
        <w:tc>
          <w:tcPr>
            <w:tcW w:w="282" w:type="dxa"/>
            <w:shd w:val="clear" w:color="auto" w:fill="auto"/>
            <w:vAlign w:val="center"/>
          </w:tcPr>
          <w:p w14:paraId="104AB7E6" w14:textId="77777777" w:rsidR="00FD2E83" w:rsidRPr="001A1E07" w:rsidRDefault="00FD2E83">
            <w:pPr>
              <w:pStyle w:val="08-Tabelageral"/>
              <w:ind w:left="113"/>
              <w:rPr>
                <w:rFonts w:cs="Arial"/>
                <w:szCs w:val="14"/>
              </w:rPr>
            </w:pPr>
          </w:p>
        </w:tc>
        <w:tc>
          <w:tcPr>
            <w:tcW w:w="1405" w:type="dxa"/>
            <w:shd w:val="clear" w:color="auto" w:fill="auto"/>
            <w:vAlign w:val="center"/>
          </w:tcPr>
          <w:p w14:paraId="1D7DB338" w14:textId="34F0C6FA" w:rsidR="00FD2E83" w:rsidRDefault="00FD2E83">
            <w:pPr>
              <w:pStyle w:val="08-Tabelageral"/>
              <w:ind w:left="113"/>
              <w:rPr>
                <w:rFonts w:cs="Arial"/>
                <w:szCs w:val="14"/>
              </w:rPr>
            </w:pPr>
            <w:r>
              <w:rPr>
                <w:rFonts w:cs="Arial"/>
                <w:szCs w:val="14"/>
              </w:rPr>
              <w:t>25</w:t>
            </w:r>
            <w:r w:rsidR="002D1D2B">
              <w:rPr>
                <w:rFonts w:cs="Arial"/>
                <w:szCs w:val="14"/>
              </w:rPr>
              <w:t>,741</w:t>
            </w:r>
          </w:p>
        </w:tc>
        <w:tc>
          <w:tcPr>
            <w:tcW w:w="1511" w:type="dxa"/>
            <w:shd w:val="clear" w:color="auto" w:fill="auto"/>
            <w:vAlign w:val="center"/>
          </w:tcPr>
          <w:p w14:paraId="7A513BD0" w14:textId="7E7E8DFB" w:rsidR="00FD2E83" w:rsidRDefault="002D1D2B">
            <w:pPr>
              <w:pStyle w:val="08-Tabelageral"/>
              <w:ind w:left="113"/>
              <w:rPr>
                <w:rFonts w:cs="Arial"/>
                <w:szCs w:val="14"/>
              </w:rPr>
            </w:pPr>
            <w:r>
              <w:rPr>
                <w:rFonts w:cs="Arial"/>
                <w:szCs w:val="14"/>
              </w:rPr>
              <w:t>--</w:t>
            </w:r>
          </w:p>
        </w:tc>
      </w:tr>
      <w:tr w:rsidR="00210C2F" w:rsidRPr="001A1E07" w14:paraId="79ED40D4" w14:textId="77777777">
        <w:trPr>
          <w:trHeight w:val="238"/>
          <w:jc w:val="center"/>
        </w:trPr>
        <w:tc>
          <w:tcPr>
            <w:tcW w:w="3047" w:type="dxa"/>
            <w:shd w:val="clear" w:color="auto" w:fill="auto"/>
          </w:tcPr>
          <w:p w14:paraId="1B52C8BA" w14:textId="77777777" w:rsidR="00210C2F" w:rsidRPr="00194FE1" w:rsidRDefault="00210C2F">
            <w:pPr>
              <w:pStyle w:val="08-Tabelageral"/>
              <w:ind w:left="113"/>
              <w:jc w:val="left"/>
              <w:rPr>
                <w:rFonts w:cs="Arial"/>
                <w:szCs w:val="14"/>
                <w:lang w:val="en-US"/>
              </w:rPr>
            </w:pPr>
            <w:r w:rsidRPr="00194FE1">
              <w:rPr>
                <w:rFonts w:cs="Arial"/>
                <w:szCs w:val="14"/>
                <w:lang w:val="en-US"/>
              </w:rPr>
              <w:t xml:space="preserve">Amounts payable to related companies </w:t>
            </w:r>
          </w:p>
        </w:tc>
        <w:tc>
          <w:tcPr>
            <w:tcW w:w="595" w:type="dxa"/>
            <w:shd w:val="clear" w:color="auto" w:fill="auto"/>
          </w:tcPr>
          <w:p w14:paraId="51EB356D" w14:textId="77777777" w:rsidR="00210C2F" w:rsidRPr="00194FE1" w:rsidRDefault="00210C2F">
            <w:pPr>
              <w:pStyle w:val="08-Tabelageral"/>
              <w:ind w:left="113"/>
              <w:jc w:val="center"/>
              <w:rPr>
                <w:rFonts w:cs="Arial"/>
                <w:szCs w:val="14"/>
                <w:lang w:val="en-US"/>
              </w:rPr>
            </w:pPr>
          </w:p>
        </w:tc>
        <w:tc>
          <w:tcPr>
            <w:tcW w:w="1399" w:type="dxa"/>
            <w:shd w:val="clear" w:color="auto" w:fill="auto"/>
            <w:vAlign w:val="center"/>
          </w:tcPr>
          <w:p w14:paraId="476D76BB" w14:textId="77777777" w:rsidR="00210C2F" w:rsidRDefault="00210C2F">
            <w:pPr>
              <w:pStyle w:val="08-Tabelageral"/>
              <w:ind w:left="113"/>
              <w:rPr>
                <w:rFonts w:cs="Arial"/>
                <w:szCs w:val="14"/>
              </w:rPr>
            </w:pPr>
            <w:r>
              <w:rPr>
                <w:rFonts w:cs="Arial"/>
                <w:szCs w:val="14"/>
              </w:rPr>
              <w:t>2,990</w:t>
            </w:r>
          </w:p>
        </w:tc>
        <w:tc>
          <w:tcPr>
            <w:tcW w:w="1400" w:type="dxa"/>
            <w:shd w:val="clear" w:color="auto" w:fill="auto"/>
            <w:vAlign w:val="center"/>
          </w:tcPr>
          <w:p w14:paraId="4D70BF7F" w14:textId="77777777" w:rsidR="00210C2F" w:rsidRDefault="00210C2F">
            <w:pPr>
              <w:pStyle w:val="08-Tabelageral"/>
              <w:ind w:left="113"/>
              <w:rPr>
                <w:rFonts w:cs="Arial"/>
                <w:szCs w:val="14"/>
              </w:rPr>
            </w:pPr>
            <w:r>
              <w:rPr>
                <w:rFonts w:cs="Arial"/>
                <w:szCs w:val="14"/>
              </w:rPr>
              <w:t>3,983</w:t>
            </w:r>
          </w:p>
        </w:tc>
        <w:tc>
          <w:tcPr>
            <w:tcW w:w="282" w:type="dxa"/>
            <w:shd w:val="clear" w:color="auto" w:fill="auto"/>
            <w:vAlign w:val="center"/>
          </w:tcPr>
          <w:p w14:paraId="796F43A0" w14:textId="77777777" w:rsidR="00210C2F" w:rsidRPr="001A1E07" w:rsidRDefault="00210C2F">
            <w:pPr>
              <w:pStyle w:val="08-Tabelageral"/>
              <w:ind w:left="113"/>
              <w:rPr>
                <w:rFonts w:cs="Arial"/>
                <w:szCs w:val="14"/>
              </w:rPr>
            </w:pPr>
          </w:p>
        </w:tc>
        <w:tc>
          <w:tcPr>
            <w:tcW w:w="1405" w:type="dxa"/>
            <w:shd w:val="clear" w:color="auto" w:fill="auto"/>
            <w:vAlign w:val="center"/>
          </w:tcPr>
          <w:p w14:paraId="3C823ED2" w14:textId="77777777" w:rsidR="00210C2F" w:rsidRDefault="00210C2F">
            <w:pPr>
              <w:pStyle w:val="08-Tabelageral"/>
              <w:ind w:left="113"/>
              <w:rPr>
                <w:rFonts w:cs="Arial"/>
                <w:szCs w:val="14"/>
              </w:rPr>
            </w:pPr>
            <w:r>
              <w:rPr>
                <w:rFonts w:cs="Arial"/>
                <w:szCs w:val="14"/>
              </w:rPr>
              <w:t>2,990</w:t>
            </w:r>
          </w:p>
        </w:tc>
        <w:tc>
          <w:tcPr>
            <w:tcW w:w="1511" w:type="dxa"/>
            <w:shd w:val="clear" w:color="auto" w:fill="auto"/>
            <w:vAlign w:val="center"/>
          </w:tcPr>
          <w:p w14:paraId="6BB0D521" w14:textId="77777777" w:rsidR="00210C2F" w:rsidRDefault="00210C2F">
            <w:pPr>
              <w:pStyle w:val="08-Tabelageral"/>
              <w:ind w:left="113"/>
              <w:rPr>
                <w:rFonts w:cs="Arial"/>
                <w:szCs w:val="14"/>
              </w:rPr>
            </w:pPr>
            <w:r>
              <w:rPr>
                <w:rFonts w:cs="Arial"/>
                <w:szCs w:val="14"/>
              </w:rPr>
              <w:t>3,983</w:t>
            </w:r>
          </w:p>
        </w:tc>
      </w:tr>
      <w:tr w:rsidR="00210C2F" w:rsidRPr="001A1E07" w14:paraId="75D29BEC" w14:textId="77777777">
        <w:trPr>
          <w:trHeight w:val="238"/>
          <w:jc w:val="center"/>
        </w:trPr>
        <w:tc>
          <w:tcPr>
            <w:tcW w:w="3047" w:type="dxa"/>
            <w:shd w:val="clear" w:color="auto" w:fill="auto"/>
          </w:tcPr>
          <w:p w14:paraId="1DDD104F" w14:textId="77777777" w:rsidR="00210C2F" w:rsidRPr="00194FE1" w:rsidRDefault="00210C2F">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shd w:val="clear" w:color="auto" w:fill="auto"/>
          </w:tcPr>
          <w:p w14:paraId="44C773F3" w14:textId="77777777" w:rsidR="00210C2F" w:rsidRPr="00194FE1" w:rsidRDefault="00210C2F">
            <w:pPr>
              <w:pStyle w:val="08-Tabelageral"/>
              <w:ind w:left="113"/>
              <w:jc w:val="center"/>
              <w:rPr>
                <w:rFonts w:cs="Arial"/>
                <w:szCs w:val="14"/>
                <w:lang w:val="en-US"/>
              </w:rPr>
            </w:pPr>
          </w:p>
        </w:tc>
        <w:tc>
          <w:tcPr>
            <w:tcW w:w="1399" w:type="dxa"/>
            <w:shd w:val="clear" w:color="auto" w:fill="auto"/>
            <w:vAlign w:val="center"/>
          </w:tcPr>
          <w:p w14:paraId="32B81588" w14:textId="77777777" w:rsidR="00210C2F" w:rsidRPr="001A1E07" w:rsidRDefault="00210C2F">
            <w:pPr>
              <w:pStyle w:val="08-Tabelageral"/>
              <w:ind w:left="113"/>
              <w:rPr>
                <w:rFonts w:cs="Arial"/>
                <w:szCs w:val="14"/>
              </w:rPr>
            </w:pPr>
            <w:r>
              <w:rPr>
                <w:rFonts w:cs="Arial"/>
                <w:szCs w:val="14"/>
              </w:rPr>
              <w:t>--</w:t>
            </w:r>
          </w:p>
        </w:tc>
        <w:tc>
          <w:tcPr>
            <w:tcW w:w="1400" w:type="dxa"/>
            <w:shd w:val="clear" w:color="auto" w:fill="auto"/>
            <w:vAlign w:val="center"/>
          </w:tcPr>
          <w:p w14:paraId="5B1EDD98" w14:textId="77777777" w:rsidR="00210C2F" w:rsidRPr="001A1E07" w:rsidRDefault="00210C2F">
            <w:pPr>
              <w:pStyle w:val="08-Tabelageral"/>
              <w:ind w:left="113"/>
              <w:rPr>
                <w:rFonts w:cs="Arial"/>
                <w:szCs w:val="14"/>
              </w:rPr>
            </w:pPr>
            <w:r>
              <w:rPr>
                <w:rFonts w:cs="Arial"/>
                <w:szCs w:val="14"/>
              </w:rPr>
              <w:t>227</w:t>
            </w:r>
          </w:p>
        </w:tc>
        <w:tc>
          <w:tcPr>
            <w:tcW w:w="282" w:type="dxa"/>
            <w:shd w:val="clear" w:color="auto" w:fill="auto"/>
            <w:vAlign w:val="center"/>
          </w:tcPr>
          <w:p w14:paraId="4A27EC3B" w14:textId="77777777" w:rsidR="00210C2F" w:rsidRPr="001A1E07" w:rsidRDefault="00210C2F">
            <w:pPr>
              <w:pStyle w:val="08-Tabelageral"/>
              <w:ind w:left="113"/>
              <w:rPr>
                <w:rFonts w:cs="Arial"/>
                <w:szCs w:val="14"/>
              </w:rPr>
            </w:pPr>
          </w:p>
        </w:tc>
        <w:tc>
          <w:tcPr>
            <w:tcW w:w="1405" w:type="dxa"/>
            <w:shd w:val="clear" w:color="auto" w:fill="auto"/>
            <w:vAlign w:val="center"/>
          </w:tcPr>
          <w:p w14:paraId="789E6F5E" w14:textId="77777777" w:rsidR="00210C2F" w:rsidRPr="001A1E07" w:rsidRDefault="00210C2F">
            <w:pPr>
              <w:pStyle w:val="08-Tabelageral"/>
              <w:ind w:left="113"/>
              <w:rPr>
                <w:rFonts w:cs="Arial"/>
                <w:szCs w:val="14"/>
              </w:rPr>
            </w:pPr>
            <w:r>
              <w:rPr>
                <w:rFonts w:cs="Arial"/>
                <w:szCs w:val="14"/>
              </w:rPr>
              <w:t>530</w:t>
            </w:r>
          </w:p>
        </w:tc>
        <w:tc>
          <w:tcPr>
            <w:tcW w:w="1511" w:type="dxa"/>
            <w:shd w:val="clear" w:color="auto" w:fill="auto"/>
            <w:vAlign w:val="center"/>
          </w:tcPr>
          <w:p w14:paraId="7123647A" w14:textId="77777777" w:rsidR="00210C2F" w:rsidRPr="001A1E07" w:rsidRDefault="00210C2F">
            <w:pPr>
              <w:pStyle w:val="08-Tabelageral"/>
              <w:ind w:left="113"/>
              <w:rPr>
                <w:rFonts w:cs="Arial"/>
                <w:szCs w:val="14"/>
              </w:rPr>
            </w:pPr>
            <w:r>
              <w:rPr>
                <w:rFonts w:cs="Arial"/>
                <w:szCs w:val="14"/>
              </w:rPr>
              <w:t>5,863</w:t>
            </w:r>
          </w:p>
        </w:tc>
      </w:tr>
      <w:tr w:rsidR="00210C2F" w:rsidRPr="001A1E07" w14:paraId="63638364" w14:textId="77777777">
        <w:trPr>
          <w:trHeight w:val="238"/>
          <w:jc w:val="center"/>
        </w:trPr>
        <w:tc>
          <w:tcPr>
            <w:tcW w:w="3047" w:type="dxa"/>
            <w:tcBorders>
              <w:bottom w:val="nil"/>
            </w:tcBorders>
            <w:shd w:val="clear" w:color="auto" w:fill="auto"/>
          </w:tcPr>
          <w:p w14:paraId="2BB49376" w14:textId="77777777" w:rsidR="00210C2F" w:rsidRPr="001A1E07" w:rsidRDefault="00210C2F">
            <w:pPr>
              <w:pStyle w:val="08-Tabelageral"/>
              <w:ind w:left="113"/>
              <w:jc w:val="left"/>
              <w:rPr>
                <w:rFonts w:cs="Arial"/>
                <w:szCs w:val="14"/>
              </w:rPr>
            </w:pPr>
            <w:r>
              <w:rPr>
                <w:rFonts w:cs="Arial"/>
                <w:szCs w:val="14"/>
              </w:rPr>
              <w:t>Other</w:t>
            </w:r>
          </w:p>
        </w:tc>
        <w:tc>
          <w:tcPr>
            <w:tcW w:w="595" w:type="dxa"/>
            <w:tcBorders>
              <w:bottom w:val="nil"/>
            </w:tcBorders>
            <w:shd w:val="clear" w:color="auto" w:fill="auto"/>
          </w:tcPr>
          <w:p w14:paraId="4989F0E8" w14:textId="77777777" w:rsidR="00210C2F" w:rsidRPr="001A1E07" w:rsidRDefault="00210C2F">
            <w:pPr>
              <w:pStyle w:val="08-Tabelageral"/>
              <w:ind w:left="113"/>
              <w:jc w:val="center"/>
              <w:rPr>
                <w:rFonts w:cs="Arial"/>
                <w:szCs w:val="14"/>
              </w:rPr>
            </w:pPr>
          </w:p>
        </w:tc>
        <w:tc>
          <w:tcPr>
            <w:tcW w:w="1399" w:type="dxa"/>
            <w:tcBorders>
              <w:bottom w:val="nil"/>
            </w:tcBorders>
            <w:shd w:val="clear" w:color="auto" w:fill="auto"/>
            <w:vAlign w:val="center"/>
          </w:tcPr>
          <w:p w14:paraId="4BEBC25B" w14:textId="77777777" w:rsidR="00210C2F" w:rsidRPr="001A1E07" w:rsidRDefault="00210C2F">
            <w:pPr>
              <w:pStyle w:val="08-Tabelageral"/>
              <w:ind w:left="113"/>
              <w:rPr>
                <w:rFonts w:cs="Arial"/>
                <w:szCs w:val="14"/>
              </w:rPr>
            </w:pPr>
            <w:r>
              <w:rPr>
                <w:rFonts w:cs="Arial"/>
                <w:szCs w:val="14"/>
              </w:rPr>
              <w:t>109</w:t>
            </w:r>
          </w:p>
        </w:tc>
        <w:tc>
          <w:tcPr>
            <w:tcW w:w="1400" w:type="dxa"/>
            <w:tcBorders>
              <w:bottom w:val="nil"/>
            </w:tcBorders>
            <w:shd w:val="clear" w:color="auto" w:fill="auto"/>
            <w:vAlign w:val="center"/>
          </w:tcPr>
          <w:p w14:paraId="2E8C013D" w14:textId="77777777" w:rsidR="00210C2F" w:rsidRPr="001A1E07" w:rsidRDefault="00210C2F">
            <w:pPr>
              <w:pStyle w:val="08-Tabelageral"/>
              <w:ind w:left="113"/>
              <w:rPr>
                <w:rFonts w:cs="Arial"/>
                <w:szCs w:val="14"/>
              </w:rPr>
            </w:pPr>
            <w:r>
              <w:rPr>
                <w:rFonts w:cs="Arial"/>
                <w:szCs w:val="14"/>
              </w:rPr>
              <w:t>75</w:t>
            </w:r>
          </w:p>
        </w:tc>
        <w:tc>
          <w:tcPr>
            <w:tcW w:w="282" w:type="dxa"/>
            <w:tcBorders>
              <w:bottom w:val="nil"/>
            </w:tcBorders>
            <w:shd w:val="clear" w:color="auto" w:fill="auto"/>
            <w:vAlign w:val="center"/>
          </w:tcPr>
          <w:p w14:paraId="4C185561" w14:textId="77777777" w:rsidR="00210C2F" w:rsidRPr="001A1E07" w:rsidRDefault="00210C2F">
            <w:pPr>
              <w:pStyle w:val="08-Tabelageral"/>
              <w:ind w:left="113"/>
              <w:rPr>
                <w:rFonts w:cs="Arial"/>
                <w:szCs w:val="14"/>
              </w:rPr>
            </w:pPr>
          </w:p>
        </w:tc>
        <w:tc>
          <w:tcPr>
            <w:tcW w:w="1405" w:type="dxa"/>
            <w:tcBorders>
              <w:bottom w:val="nil"/>
            </w:tcBorders>
            <w:shd w:val="clear" w:color="auto" w:fill="auto"/>
            <w:vAlign w:val="center"/>
          </w:tcPr>
          <w:p w14:paraId="5C904A5F" w14:textId="77777777" w:rsidR="00210C2F" w:rsidRPr="001A1E07" w:rsidRDefault="00210C2F">
            <w:pPr>
              <w:pStyle w:val="08-Tabelageral"/>
              <w:ind w:left="113"/>
              <w:rPr>
                <w:rFonts w:cs="Arial"/>
                <w:szCs w:val="14"/>
              </w:rPr>
            </w:pPr>
            <w:r>
              <w:rPr>
                <w:rFonts w:cs="Arial"/>
                <w:szCs w:val="14"/>
              </w:rPr>
              <w:t>1,091</w:t>
            </w:r>
          </w:p>
        </w:tc>
        <w:tc>
          <w:tcPr>
            <w:tcW w:w="1511" w:type="dxa"/>
            <w:tcBorders>
              <w:bottom w:val="nil"/>
            </w:tcBorders>
            <w:shd w:val="clear" w:color="auto" w:fill="auto"/>
            <w:vAlign w:val="center"/>
          </w:tcPr>
          <w:p w14:paraId="2681FA13" w14:textId="77777777" w:rsidR="00210C2F" w:rsidRPr="001A1E07" w:rsidRDefault="00210C2F">
            <w:pPr>
              <w:pStyle w:val="08-Tabelageral"/>
              <w:ind w:left="113"/>
              <w:rPr>
                <w:rFonts w:cs="Arial"/>
                <w:szCs w:val="14"/>
              </w:rPr>
            </w:pPr>
            <w:r>
              <w:rPr>
                <w:rFonts w:cs="Arial"/>
                <w:szCs w:val="14"/>
              </w:rPr>
              <w:t>577</w:t>
            </w:r>
          </w:p>
        </w:tc>
      </w:tr>
      <w:tr w:rsidR="00210C2F" w:rsidRPr="001A1E07" w14:paraId="218DAA8A" w14:textId="77777777">
        <w:trPr>
          <w:trHeight w:val="238"/>
          <w:jc w:val="center"/>
        </w:trPr>
        <w:tc>
          <w:tcPr>
            <w:tcW w:w="3047" w:type="dxa"/>
            <w:tcBorders>
              <w:top w:val="nil"/>
              <w:bottom w:val="single" w:sz="2" w:space="0" w:color="1F3864" w:themeColor="accent1" w:themeShade="80"/>
            </w:tcBorders>
            <w:shd w:val="clear" w:color="auto" w:fill="auto"/>
          </w:tcPr>
          <w:p w14:paraId="7BB48105" w14:textId="77777777" w:rsidR="00210C2F" w:rsidRPr="001A1E07" w:rsidRDefault="00210C2F">
            <w:pPr>
              <w:pStyle w:val="08-Tabelageral"/>
              <w:jc w:val="left"/>
              <w:rPr>
                <w:rFonts w:cs="Arial"/>
                <w:b/>
                <w:szCs w:val="14"/>
              </w:rPr>
            </w:pPr>
            <w:r w:rsidRPr="001A1E07">
              <w:rPr>
                <w:rFonts w:cs="Arial"/>
                <w:b/>
              </w:rPr>
              <w:t xml:space="preserve">Total </w:t>
            </w:r>
          </w:p>
        </w:tc>
        <w:tc>
          <w:tcPr>
            <w:tcW w:w="595" w:type="dxa"/>
            <w:tcBorders>
              <w:top w:val="nil"/>
              <w:bottom w:val="single" w:sz="2" w:space="0" w:color="1F3864" w:themeColor="accent1" w:themeShade="80"/>
            </w:tcBorders>
            <w:shd w:val="clear" w:color="auto" w:fill="auto"/>
          </w:tcPr>
          <w:p w14:paraId="56C69A05" w14:textId="77777777" w:rsidR="00210C2F" w:rsidRPr="001A1E07" w:rsidRDefault="00210C2F">
            <w:pPr>
              <w:pStyle w:val="08-Tabelageral"/>
              <w:jc w:val="center"/>
              <w:rPr>
                <w:rFonts w:cs="Arial"/>
                <w:b/>
                <w:szCs w:val="14"/>
              </w:rPr>
            </w:pPr>
          </w:p>
        </w:tc>
        <w:tc>
          <w:tcPr>
            <w:tcW w:w="1399" w:type="dxa"/>
            <w:tcBorders>
              <w:top w:val="nil"/>
              <w:bottom w:val="single" w:sz="2" w:space="0" w:color="1F3864" w:themeColor="accent1" w:themeShade="80"/>
            </w:tcBorders>
            <w:shd w:val="clear" w:color="auto" w:fill="auto"/>
            <w:vAlign w:val="center"/>
          </w:tcPr>
          <w:p w14:paraId="1C0F9FBD" w14:textId="77777777" w:rsidR="00210C2F" w:rsidRPr="001A1E07" w:rsidRDefault="00210C2F">
            <w:pPr>
              <w:pStyle w:val="08-Tabelageral"/>
              <w:rPr>
                <w:rFonts w:cs="Arial"/>
                <w:b/>
                <w:szCs w:val="14"/>
              </w:rPr>
            </w:pPr>
            <w:r>
              <w:rPr>
                <w:rFonts w:cs="Arial"/>
                <w:b/>
                <w:szCs w:val="14"/>
              </w:rPr>
              <w:t>12,829</w:t>
            </w:r>
          </w:p>
        </w:tc>
        <w:tc>
          <w:tcPr>
            <w:tcW w:w="1400" w:type="dxa"/>
            <w:tcBorders>
              <w:top w:val="nil"/>
              <w:bottom w:val="single" w:sz="2" w:space="0" w:color="1F3864" w:themeColor="accent1" w:themeShade="80"/>
            </w:tcBorders>
            <w:shd w:val="clear" w:color="auto" w:fill="auto"/>
            <w:vAlign w:val="center"/>
          </w:tcPr>
          <w:p w14:paraId="1E6FDB0C" w14:textId="77777777" w:rsidR="00210C2F" w:rsidRPr="001A1E07" w:rsidRDefault="00210C2F">
            <w:pPr>
              <w:pStyle w:val="08-Tabelageral"/>
              <w:rPr>
                <w:rFonts w:cs="Arial"/>
                <w:b/>
                <w:szCs w:val="14"/>
              </w:rPr>
            </w:pPr>
            <w:r>
              <w:rPr>
                <w:rFonts w:cs="Arial"/>
                <w:b/>
                <w:szCs w:val="14"/>
              </w:rPr>
              <w:t>13,488</w:t>
            </w:r>
          </w:p>
        </w:tc>
        <w:tc>
          <w:tcPr>
            <w:tcW w:w="282" w:type="dxa"/>
            <w:tcBorders>
              <w:top w:val="nil"/>
              <w:bottom w:val="single" w:sz="2" w:space="0" w:color="1F3864" w:themeColor="accent1" w:themeShade="80"/>
            </w:tcBorders>
            <w:shd w:val="clear" w:color="auto" w:fill="auto"/>
            <w:vAlign w:val="center"/>
          </w:tcPr>
          <w:p w14:paraId="4433167A" w14:textId="77777777" w:rsidR="00210C2F" w:rsidRPr="001A1E07" w:rsidRDefault="00210C2F">
            <w:pPr>
              <w:pStyle w:val="08-Tabelageral"/>
              <w:rPr>
                <w:rFonts w:cs="Arial"/>
                <w:b/>
                <w:szCs w:val="14"/>
              </w:rPr>
            </w:pPr>
          </w:p>
        </w:tc>
        <w:tc>
          <w:tcPr>
            <w:tcW w:w="1405" w:type="dxa"/>
            <w:tcBorders>
              <w:top w:val="nil"/>
              <w:bottom w:val="single" w:sz="2" w:space="0" w:color="1F3864" w:themeColor="accent1" w:themeShade="80"/>
            </w:tcBorders>
            <w:shd w:val="clear" w:color="auto" w:fill="auto"/>
            <w:vAlign w:val="center"/>
          </w:tcPr>
          <w:p w14:paraId="76F22C38" w14:textId="77777777" w:rsidR="00210C2F" w:rsidRPr="001A1E07" w:rsidRDefault="00210C2F">
            <w:pPr>
              <w:pStyle w:val="08-Tabelageral"/>
              <w:rPr>
                <w:rFonts w:cs="Arial"/>
                <w:b/>
                <w:szCs w:val="14"/>
              </w:rPr>
            </w:pPr>
            <w:r>
              <w:rPr>
                <w:rFonts w:cs="Arial"/>
                <w:b/>
                <w:szCs w:val="14"/>
              </w:rPr>
              <w:t>92,781</w:t>
            </w:r>
          </w:p>
        </w:tc>
        <w:tc>
          <w:tcPr>
            <w:tcW w:w="1511" w:type="dxa"/>
            <w:tcBorders>
              <w:top w:val="nil"/>
              <w:bottom w:val="single" w:sz="2" w:space="0" w:color="1F3864" w:themeColor="accent1" w:themeShade="80"/>
            </w:tcBorders>
            <w:shd w:val="clear" w:color="auto" w:fill="auto"/>
            <w:vAlign w:val="center"/>
          </w:tcPr>
          <w:p w14:paraId="439761BF" w14:textId="77777777" w:rsidR="00210C2F" w:rsidRPr="001A1E07" w:rsidRDefault="00210C2F">
            <w:pPr>
              <w:pStyle w:val="08-Tabelageral"/>
              <w:rPr>
                <w:rFonts w:cs="Arial"/>
                <w:b/>
                <w:szCs w:val="14"/>
              </w:rPr>
            </w:pPr>
            <w:r>
              <w:rPr>
                <w:rFonts w:cs="Arial"/>
                <w:b/>
                <w:szCs w:val="14"/>
              </w:rPr>
              <w:t>103,447</w:t>
            </w:r>
          </w:p>
        </w:tc>
      </w:tr>
    </w:tbl>
    <w:p w14:paraId="5FE9C994" w14:textId="77777777" w:rsidR="0076233D" w:rsidRDefault="00210C2F" w:rsidP="00A76AF4">
      <w:pPr>
        <w:pStyle w:val="PargrafodaLista"/>
        <w:numPr>
          <w:ilvl w:val="0"/>
          <w:numId w:val="25"/>
        </w:numPr>
        <w:spacing w:line="276" w:lineRule="auto"/>
        <w:jc w:val="both"/>
        <w:rPr>
          <w:rFonts w:ascii="Arial" w:hAnsi="Arial" w:cs="Arial"/>
          <w:sz w:val="14"/>
          <w:szCs w:val="14"/>
          <w:lang w:val="en-US"/>
        </w:rPr>
      </w:pPr>
      <w:r w:rsidRPr="003C363E">
        <w:rPr>
          <w:rFonts w:ascii="Arial" w:hAnsi="Arial" w:cs="Arial"/>
          <w:sz w:val="14"/>
          <w:szCs w:val="14"/>
          <w:lang w:val="en-US"/>
        </w:rPr>
        <w:t xml:space="preserve">Refers to the apportionment of expenses calculated in accordance with the contract for sharing customer data, use of staff, distribution network and technological and administrative material resources, entered between Banco do </w:t>
      </w:r>
      <w:proofErr w:type="spellStart"/>
      <w:r w:rsidRPr="003C363E">
        <w:rPr>
          <w:rFonts w:ascii="Arial" w:hAnsi="Arial" w:cs="Arial"/>
          <w:sz w:val="14"/>
          <w:szCs w:val="14"/>
          <w:lang w:val="en-US"/>
        </w:rPr>
        <w:t>Brasil</w:t>
      </w:r>
      <w:proofErr w:type="spellEnd"/>
      <w:r w:rsidRPr="003C363E">
        <w:rPr>
          <w:rFonts w:ascii="Arial" w:hAnsi="Arial" w:cs="Arial"/>
          <w:sz w:val="14"/>
          <w:szCs w:val="14"/>
          <w:lang w:val="en-US"/>
        </w:rPr>
        <w:t xml:space="preserve">, BB </w:t>
      </w:r>
      <w:proofErr w:type="spellStart"/>
      <w:r w:rsidRPr="003C363E">
        <w:rPr>
          <w:rFonts w:ascii="Arial" w:hAnsi="Arial" w:cs="Arial"/>
          <w:sz w:val="14"/>
          <w:szCs w:val="14"/>
          <w:lang w:val="en-US"/>
        </w:rPr>
        <w:t>Seguridade</w:t>
      </w:r>
      <w:proofErr w:type="spellEnd"/>
      <w:r w:rsidRPr="003C363E">
        <w:rPr>
          <w:rFonts w:ascii="Arial" w:hAnsi="Arial" w:cs="Arial"/>
          <w:sz w:val="14"/>
          <w:szCs w:val="14"/>
          <w:lang w:val="en-US"/>
        </w:rPr>
        <w:t xml:space="preserve">, BB </w:t>
      </w:r>
      <w:proofErr w:type="spellStart"/>
      <w:r w:rsidRPr="003C363E">
        <w:rPr>
          <w:rFonts w:ascii="Arial" w:hAnsi="Arial" w:cs="Arial"/>
          <w:sz w:val="14"/>
          <w:szCs w:val="14"/>
          <w:lang w:val="en-US"/>
        </w:rPr>
        <w:t>Corretora</w:t>
      </w:r>
      <w:proofErr w:type="spellEnd"/>
      <w:r w:rsidRPr="003C363E">
        <w:rPr>
          <w:rFonts w:ascii="Arial" w:hAnsi="Arial" w:cs="Arial"/>
          <w:sz w:val="14"/>
          <w:szCs w:val="14"/>
          <w:lang w:val="en-US"/>
        </w:rPr>
        <w:t xml:space="preserve"> and BB </w:t>
      </w:r>
      <w:proofErr w:type="spellStart"/>
      <w:r w:rsidRPr="003C363E">
        <w:rPr>
          <w:rFonts w:ascii="Arial" w:hAnsi="Arial" w:cs="Arial"/>
          <w:sz w:val="14"/>
          <w:szCs w:val="14"/>
          <w:lang w:val="en-US"/>
        </w:rPr>
        <w:t>Seguros</w:t>
      </w:r>
      <w:proofErr w:type="spellEnd"/>
      <w:r w:rsidRPr="003C363E">
        <w:rPr>
          <w:rFonts w:ascii="Arial" w:hAnsi="Arial" w:cs="Arial"/>
          <w:sz w:val="14"/>
          <w:szCs w:val="14"/>
          <w:lang w:val="en-US"/>
        </w:rPr>
        <w:t>.</w:t>
      </w:r>
      <w:r w:rsidRPr="004C5A7A">
        <w:rPr>
          <w:rFonts w:ascii="Arial" w:hAnsi="Arial" w:cs="Arial"/>
          <w:lang w:val="en-US"/>
        </w:rPr>
        <w:t xml:space="preserve"> </w:t>
      </w:r>
      <w:r w:rsidRPr="003C363E">
        <w:rPr>
          <w:rFonts w:ascii="Arial" w:hAnsi="Arial" w:cs="Arial"/>
          <w:sz w:val="14"/>
          <w:szCs w:val="14"/>
          <w:lang w:val="en-US"/>
        </w:rPr>
        <w:t xml:space="preserve">In the Consolidated, it also includes amounts payable to related companies, resulting from brokerage commissions to be returned. </w:t>
      </w:r>
    </w:p>
    <w:p w14:paraId="52D434EB" w14:textId="7070ED25" w:rsidR="00210C2F" w:rsidRPr="003C363E" w:rsidRDefault="00210C2F" w:rsidP="00BF3BEA">
      <w:pPr>
        <w:pStyle w:val="PargrafodaLista"/>
        <w:numPr>
          <w:ilvl w:val="0"/>
          <w:numId w:val="25"/>
        </w:numPr>
        <w:spacing w:line="220" w:lineRule="atLeast"/>
        <w:ind w:left="357" w:hanging="357"/>
        <w:jc w:val="both"/>
        <w:rPr>
          <w:rFonts w:ascii="Arial" w:hAnsi="Arial" w:cs="Arial"/>
          <w:sz w:val="14"/>
          <w:szCs w:val="14"/>
          <w:lang w:val="en-US"/>
        </w:rPr>
      </w:pPr>
      <w:r w:rsidRPr="00513FD2">
        <w:rPr>
          <w:rFonts w:ascii="Arial" w:hAnsi="Arial" w:cs="Arial"/>
          <w:sz w:val="14"/>
          <w:szCs w:val="14"/>
          <w:lang w:val="en-US"/>
        </w:rPr>
        <w:t xml:space="preserve">In </w:t>
      </w:r>
      <w:r w:rsidR="00F70974">
        <w:rPr>
          <w:rFonts w:ascii="Arial" w:hAnsi="Arial" w:cs="Arial"/>
          <w:sz w:val="14"/>
          <w:szCs w:val="14"/>
          <w:lang w:val="en-US"/>
        </w:rPr>
        <w:t>fiscal year 2024</w:t>
      </w:r>
      <w:r w:rsidRPr="00513FD2">
        <w:rPr>
          <w:rFonts w:ascii="Arial" w:hAnsi="Arial" w:cs="Arial"/>
          <w:sz w:val="14"/>
          <w:szCs w:val="14"/>
          <w:lang w:val="en-US"/>
        </w:rPr>
        <w:t xml:space="preserve">, it </w:t>
      </w:r>
      <w:proofErr w:type="spellStart"/>
      <w:r w:rsidR="00EB22E4">
        <w:rPr>
          <w:rFonts w:ascii="Arial" w:hAnsi="Arial" w:cs="Arial"/>
          <w:sz w:val="14"/>
          <w:szCs w:val="14"/>
          <w:lang w:val="en-US"/>
        </w:rPr>
        <w:t>referes</w:t>
      </w:r>
      <w:proofErr w:type="spellEnd"/>
      <w:r w:rsidR="00EB22E4">
        <w:rPr>
          <w:rFonts w:ascii="Arial" w:hAnsi="Arial" w:cs="Arial"/>
          <w:sz w:val="14"/>
          <w:szCs w:val="14"/>
          <w:lang w:val="en-US"/>
        </w:rPr>
        <w:t xml:space="preserve"> to the provi</w:t>
      </w:r>
      <w:r w:rsidR="005E2F2E">
        <w:rPr>
          <w:rFonts w:ascii="Arial" w:hAnsi="Arial" w:cs="Arial"/>
          <w:sz w:val="14"/>
          <w:szCs w:val="14"/>
          <w:lang w:val="en-US"/>
        </w:rPr>
        <w:t>sion for the return of</w:t>
      </w:r>
      <w:r w:rsidRPr="00513FD2">
        <w:rPr>
          <w:rFonts w:ascii="Arial" w:hAnsi="Arial" w:cs="Arial"/>
          <w:sz w:val="14"/>
          <w:szCs w:val="14"/>
          <w:lang w:val="en-US"/>
        </w:rPr>
        <w:t xml:space="preserve"> brokerage </w:t>
      </w:r>
      <w:r w:rsidR="005E2F2E">
        <w:rPr>
          <w:rFonts w:ascii="Arial" w:hAnsi="Arial" w:cs="Arial"/>
          <w:sz w:val="14"/>
          <w:szCs w:val="14"/>
          <w:lang w:val="en-US"/>
        </w:rPr>
        <w:t xml:space="preserve">fees </w:t>
      </w:r>
      <w:r w:rsidRPr="00513FD2">
        <w:rPr>
          <w:rFonts w:ascii="Arial" w:hAnsi="Arial" w:cs="Arial"/>
          <w:sz w:val="14"/>
          <w:szCs w:val="14"/>
          <w:lang w:val="en-US"/>
        </w:rPr>
        <w:t xml:space="preserve">to </w:t>
      </w:r>
      <w:proofErr w:type="spellStart"/>
      <w:r w:rsidRPr="00513FD2">
        <w:rPr>
          <w:rFonts w:ascii="Arial" w:hAnsi="Arial" w:cs="Arial"/>
          <w:sz w:val="14"/>
          <w:szCs w:val="14"/>
          <w:lang w:val="en-US"/>
        </w:rPr>
        <w:t>Brasilprev</w:t>
      </w:r>
      <w:proofErr w:type="spellEnd"/>
      <w:r w:rsidRPr="00513FD2">
        <w:rPr>
          <w:rFonts w:ascii="Arial" w:hAnsi="Arial" w:cs="Arial"/>
          <w:sz w:val="14"/>
          <w:szCs w:val="14"/>
          <w:lang w:val="en-US"/>
        </w:rPr>
        <w:t>.</w:t>
      </w:r>
    </w:p>
    <w:p w14:paraId="08C02708" w14:textId="77777777" w:rsidR="00E14B2F" w:rsidRPr="004C5A7A" w:rsidRDefault="008E63BC" w:rsidP="009C17F3">
      <w:pPr>
        <w:pStyle w:val="02-TtulodeNota"/>
        <w:keepNext/>
        <w:pageBreakBefore/>
        <w:rPr>
          <w:rFonts w:cs="Arial"/>
          <w:color w:val="1F3864" w:themeColor="accent1" w:themeShade="80"/>
          <w:lang w:val="en-US"/>
        </w:rPr>
      </w:pPr>
      <w:bookmarkStart w:id="112" w:name="_Toc190680646"/>
      <w:r w:rsidRPr="004C5A7A">
        <w:rPr>
          <w:rFonts w:cs="Arial"/>
          <w:color w:val="1F3864" w:themeColor="accent1" w:themeShade="80"/>
          <w:lang w:val="en-US"/>
        </w:rPr>
        <w:lastRenderedPageBreak/>
        <w:t>25 – EQUITY</w:t>
      </w:r>
      <w:bookmarkStart w:id="113" w:name="_Toc149573411"/>
      <w:bookmarkEnd w:id="111"/>
      <w:bookmarkEnd w:id="112"/>
    </w:p>
    <w:p w14:paraId="2F366CDA" w14:textId="77777777" w:rsidR="006D0C37" w:rsidRPr="00C54178" w:rsidRDefault="006D0C37" w:rsidP="006D0C37">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55FAA6BC" w14:textId="77777777" w:rsidR="006D0C37" w:rsidRPr="003918D3" w:rsidRDefault="006D0C37" w:rsidP="006D0C37">
      <w:pPr>
        <w:pStyle w:val="05-Textonormal2"/>
        <w:rPr>
          <w:rFonts w:cs="Arial"/>
          <w:lang w:val="en-US"/>
        </w:rPr>
      </w:pPr>
      <w:r w:rsidRPr="00E2299D">
        <w:rPr>
          <w:rFonts w:cs="Arial"/>
          <w:lang w:val="en-US"/>
        </w:rPr>
        <w:t xml:space="preserve">The shareholders’ equity amounted </w:t>
      </w:r>
      <w:r w:rsidRPr="00E2299D">
        <w:rPr>
          <w:lang w:val="en-US"/>
        </w:rPr>
        <w:t xml:space="preserve">R$ </w:t>
      </w:r>
      <w:bookmarkStart w:id="114" w:name="_Hlk173243632"/>
      <w:r w:rsidRPr="00317067">
        <w:rPr>
          <w:lang w:val="en-US"/>
        </w:rPr>
        <w:t>9</w:t>
      </w:r>
      <w:r>
        <w:rPr>
          <w:lang w:val="en-US"/>
        </w:rPr>
        <w:t>,</w:t>
      </w:r>
      <w:r w:rsidRPr="00317067">
        <w:rPr>
          <w:lang w:val="en-US"/>
        </w:rPr>
        <w:t>695</w:t>
      </w:r>
      <w:bookmarkEnd w:id="114"/>
      <w:r>
        <w:rPr>
          <w:lang w:val="en-US"/>
        </w:rPr>
        <w:t>,</w:t>
      </w:r>
      <w:r w:rsidRPr="00317067">
        <w:rPr>
          <w:lang w:val="en-US"/>
        </w:rPr>
        <w:t xml:space="preserve">421 </w:t>
      </w:r>
      <w:r w:rsidRPr="00E2299D">
        <w:rPr>
          <w:rFonts w:cs="Arial"/>
          <w:lang w:val="en-US"/>
        </w:rPr>
        <w:t xml:space="preserve">thousand </w:t>
      </w:r>
      <w:r>
        <w:rPr>
          <w:rFonts w:cs="Arial"/>
          <w:lang w:val="en-US"/>
        </w:rPr>
        <w:t>on</w:t>
      </w:r>
      <w:r w:rsidRPr="00E2299D">
        <w:rPr>
          <w:rFonts w:cs="Arial"/>
          <w:lang w:val="en-US"/>
        </w:rPr>
        <w:t xml:space="preserve"> </w:t>
      </w:r>
      <w:r>
        <w:rPr>
          <w:rStyle w:val="rynqvb"/>
          <w:lang w:val="en-US"/>
        </w:rPr>
        <w:t>Dec 31, 2024</w:t>
      </w:r>
      <w:r w:rsidRPr="00E2299D">
        <w:rPr>
          <w:rFonts w:cs="Arial"/>
          <w:lang w:val="en-US"/>
        </w:rPr>
        <w:t xml:space="preserve"> (R$ </w:t>
      </w:r>
      <w:r w:rsidRPr="00FA4EB2">
        <w:rPr>
          <w:lang w:val="en-US"/>
        </w:rPr>
        <w:t>9</w:t>
      </w:r>
      <w:r>
        <w:rPr>
          <w:lang w:val="en-US"/>
        </w:rPr>
        <w:t>,</w:t>
      </w:r>
      <w:r w:rsidRPr="00FA4EB2">
        <w:rPr>
          <w:lang w:val="en-US"/>
        </w:rPr>
        <w:t>816</w:t>
      </w:r>
      <w:r>
        <w:rPr>
          <w:lang w:val="en-US"/>
        </w:rPr>
        <w:t>,</w:t>
      </w:r>
      <w:r w:rsidRPr="00FA4EB2">
        <w:rPr>
          <w:lang w:val="en-US"/>
        </w:rPr>
        <w:t xml:space="preserve">482 </w:t>
      </w:r>
      <w:r w:rsidRPr="00E2299D">
        <w:rPr>
          <w:rFonts w:cs="Arial"/>
          <w:lang w:val="en-US"/>
        </w:rPr>
        <w:t xml:space="preserve">thousand </w:t>
      </w:r>
      <w:r>
        <w:rPr>
          <w:rFonts w:cs="Arial"/>
          <w:lang w:val="en-US"/>
        </w:rPr>
        <w:t>on Dec 31, 2023</w:t>
      </w:r>
      <w:r w:rsidRPr="00FC5995">
        <w:rPr>
          <w:rFonts w:cs="Arial"/>
          <w:bCs/>
          <w:lang w:val="en-US"/>
        </w:rPr>
        <w:t>),</w:t>
      </w:r>
      <w:r w:rsidRPr="00E2299D">
        <w:rPr>
          <w:rFonts w:cs="Arial"/>
          <w:lang w:val="en-US"/>
        </w:rPr>
        <w:t xml:space="preserve"> corresponding a book value per share of R$ </w:t>
      </w:r>
      <w:r>
        <w:rPr>
          <w:rFonts w:cs="Arial"/>
          <w:lang w:val="en-US"/>
        </w:rPr>
        <w:t>4.85</w:t>
      </w:r>
      <w:r w:rsidRPr="00E2299D">
        <w:rPr>
          <w:lang w:val="en-US"/>
        </w:rPr>
        <w:t xml:space="preserve"> </w:t>
      </w:r>
      <w:r w:rsidRPr="00E2299D">
        <w:rPr>
          <w:rFonts w:cs="Arial"/>
          <w:lang w:val="en-US"/>
        </w:rPr>
        <w:t xml:space="preserve">per share </w:t>
      </w:r>
      <w:r>
        <w:rPr>
          <w:rFonts w:cs="Arial"/>
          <w:lang w:val="en-US"/>
        </w:rPr>
        <w:t>on Dec 31, 2024</w:t>
      </w:r>
      <w:r w:rsidRPr="00E2299D">
        <w:rPr>
          <w:rFonts w:cs="Arial"/>
          <w:lang w:val="en-US"/>
        </w:rPr>
        <w:t xml:space="preserve"> (R$ </w:t>
      </w:r>
      <w:r>
        <w:rPr>
          <w:rFonts w:cs="Arial"/>
          <w:lang w:val="en-US"/>
        </w:rPr>
        <w:t>4.91</w:t>
      </w:r>
      <w:r w:rsidRPr="00E2299D">
        <w:rPr>
          <w:rFonts w:cs="Arial"/>
          <w:lang w:val="en-US"/>
        </w:rPr>
        <w:t xml:space="preserve"> </w:t>
      </w:r>
      <w:r>
        <w:rPr>
          <w:rFonts w:cs="Arial"/>
          <w:lang w:val="en-US"/>
        </w:rPr>
        <w:t>on Dec 31, 2023</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6D0C37" w:rsidRPr="00CB272C" w14:paraId="6BAB119A" w14:textId="77777777">
        <w:trPr>
          <w:trHeight w:val="238"/>
        </w:trPr>
        <w:tc>
          <w:tcPr>
            <w:tcW w:w="6096" w:type="dxa"/>
            <w:tcBorders>
              <w:top w:val="single" w:sz="2" w:space="0" w:color="1F3864" w:themeColor="accent1" w:themeShade="80"/>
              <w:bottom w:val="nil"/>
            </w:tcBorders>
            <w:shd w:val="clear" w:color="auto" w:fill="auto"/>
            <w:vAlign w:val="center"/>
          </w:tcPr>
          <w:p w14:paraId="0BDB5557" w14:textId="77777777" w:rsidR="006D0C37" w:rsidRPr="005439A8" w:rsidRDefault="006D0C37">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78659250" w14:textId="77777777" w:rsidR="006D0C37" w:rsidRPr="003918D3" w:rsidRDefault="006D0C37">
            <w:pPr>
              <w:spacing w:after="0"/>
              <w:jc w:val="center"/>
              <w:rPr>
                <w:rFonts w:ascii="Arial" w:hAnsi="Arial" w:cs="Arial"/>
                <w:b/>
                <w:bCs/>
                <w:sz w:val="18"/>
                <w:szCs w:val="18"/>
              </w:rPr>
            </w:pPr>
            <w:r w:rsidRPr="003918D3">
              <w:rPr>
                <w:rFonts w:ascii="Arial" w:hAnsi="Arial" w:cs="Arial"/>
                <w:b/>
                <w:bCs/>
                <w:sz w:val="14"/>
                <w:szCs w:val="14"/>
                <w:lang w:val="en-US"/>
              </w:rPr>
              <w:t xml:space="preserve">Parent and </w:t>
            </w:r>
            <w:proofErr w:type="gramStart"/>
            <w:r w:rsidRPr="003918D3">
              <w:rPr>
                <w:rFonts w:ascii="Arial" w:hAnsi="Arial" w:cs="Arial"/>
                <w:b/>
                <w:bCs/>
                <w:sz w:val="14"/>
                <w:szCs w:val="14"/>
                <w:lang w:val="en-US"/>
              </w:rPr>
              <w:t>Consolidated</w:t>
            </w:r>
            <w:proofErr w:type="gramEnd"/>
          </w:p>
        </w:tc>
      </w:tr>
      <w:tr w:rsidR="006D0C37" w:rsidRPr="00CB272C" w14:paraId="45A86C3A" w14:textId="77777777">
        <w:trPr>
          <w:trHeight w:val="238"/>
        </w:trPr>
        <w:tc>
          <w:tcPr>
            <w:tcW w:w="6096" w:type="dxa"/>
            <w:tcBorders>
              <w:top w:val="nil"/>
              <w:bottom w:val="single" w:sz="2" w:space="0" w:color="1F3864" w:themeColor="accent1" w:themeShade="80"/>
            </w:tcBorders>
            <w:shd w:val="clear" w:color="auto" w:fill="auto"/>
            <w:vAlign w:val="center"/>
          </w:tcPr>
          <w:p w14:paraId="1CCF3B9B" w14:textId="77777777" w:rsidR="006D0C37" w:rsidRPr="00CB272C" w:rsidRDefault="006D0C37">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552E6A1F" w14:textId="77777777" w:rsidR="006D0C37" w:rsidRPr="00CB272C" w:rsidRDefault="006D0C37">
            <w:pPr>
              <w:pStyle w:val="08-Tabelageral"/>
              <w:rPr>
                <w:b/>
                <w:kern w:val="2"/>
              </w:rPr>
            </w:pPr>
            <w:proofErr w:type="spellStart"/>
            <w:r>
              <w:rPr>
                <w:rFonts w:cs="Arial"/>
                <w:b/>
              </w:rPr>
              <w:t>Dec</w:t>
            </w:r>
            <w:proofErr w:type="spellEnd"/>
            <w:r>
              <w:rPr>
                <w:rFonts w:cs="Arial"/>
                <w:b/>
              </w:rPr>
              <w:t xml:space="preserve"> 31, 2024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70AA05AB" w14:textId="77777777" w:rsidR="006D0C37" w:rsidRPr="00722D67" w:rsidRDefault="006D0C37">
            <w:pPr>
              <w:pStyle w:val="08-Tabelageral"/>
              <w:rPr>
                <w:rFonts w:cs="Arial"/>
                <w:b/>
              </w:rPr>
            </w:pPr>
            <w:proofErr w:type="spellStart"/>
            <w:r>
              <w:rPr>
                <w:rFonts w:cs="Arial"/>
                <w:b/>
              </w:rPr>
              <w:t>Dec</w:t>
            </w:r>
            <w:proofErr w:type="spellEnd"/>
            <w:r>
              <w:rPr>
                <w:rFonts w:cs="Arial"/>
                <w:b/>
              </w:rPr>
              <w:t xml:space="preserve"> 31, 2023</w:t>
            </w:r>
          </w:p>
        </w:tc>
      </w:tr>
      <w:tr w:rsidR="006D0C37" w:rsidRPr="00CB272C" w14:paraId="20E45393" w14:textId="77777777">
        <w:trPr>
          <w:trHeight w:val="238"/>
        </w:trPr>
        <w:tc>
          <w:tcPr>
            <w:tcW w:w="6096" w:type="dxa"/>
            <w:tcBorders>
              <w:top w:val="single" w:sz="2" w:space="0" w:color="1F3864" w:themeColor="accent1" w:themeShade="80"/>
            </w:tcBorders>
            <w:shd w:val="clear" w:color="auto" w:fill="auto"/>
          </w:tcPr>
          <w:p w14:paraId="694CD7B1" w14:textId="77777777" w:rsidR="006D0C37" w:rsidRPr="000023E9" w:rsidRDefault="006D0C37">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shd w:val="clear" w:color="auto" w:fill="auto"/>
            <w:vAlign w:val="center"/>
          </w:tcPr>
          <w:p w14:paraId="43FB8D59" w14:textId="77777777" w:rsidR="006D0C37" w:rsidRPr="00BE2370" w:rsidRDefault="006D0C37">
            <w:pPr>
              <w:pStyle w:val="08-Tabelageral"/>
              <w:ind w:left="113"/>
              <w:rPr>
                <w:rFonts w:cs="Arial"/>
                <w:bCs/>
                <w:szCs w:val="14"/>
              </w:rPr>
            </w:pPr>
            <w:r>
              <w:rPr>
                <w:rFonts w:cs="Arial"/>
                <w:bCs/>
                <w:szCs w:val="14"/>
              </w:rPr>
              <w:t>8,703,353</w:t>
            </w:r>
          </w:p>
        </w:tc>
        <w:tc>
          <w:tcPr>
            <w:tcW w:w="1559" w:type="dxa"/>
            <w:tcBorders>
              <w:top w:val="single" w:sz="2" w:space="0" w:color="1F3864" w:themeColor="accent1" w:themeShade="80"/>
            </w:tcBorders>
            <w:shd w:val="clear" w:color="auto" w:fill="auto"/>
            <w:vAlign w:val="center"/>
          </w:tcPr>
          <w:p w14:paraId="246A6653" w14:textId="77777777" w:rsidR="006D0C37" w:rsidRPr="00BE2370" w:rsidRDefault="006D0C37">
            <w:pPr>
              <w:pStyle w:val="08-Tabelageral"/>
              <w:ind w:left="113"/>
              <w:rPr>
                <w:rFonts w:cs="Arial"/>
                <w:bCs/>
                <w:szCs w:val="14"/>
              </w:rPr>
            </w:pPr>
            <w:r w:rsidRPr="00840036">
              <w:rPr>
                <w:rFonts w:cs="Arial"/>
                <w:bCs/>
                <w:szCs w:val="14"/>
              </w:rPr>
              <w:t>7</w:t>
            </w:r>
            <w:r>
              <w:rPr>
                <w:rFonts w:cs="Arial"/>
                <w:bCs/>
                <w:szCs w:val="14"/>
              </w:rPr>
              <w:t>,</w:t>
            </w:r>
            <w:r w:rsidRPr="00840036">
              <w:rPr>
                <w:rFonts w:cs="Arial"/>
                <w:bCs/>
                <w:szCs w:val="14"/>
              </w:rPr>
              <w:t>947</w:t>
            </w:r>
            <w:r>
              <w:rPr>
                <w:rFonts w:cs="Arial"/>
                <w:bCs/>
                <w:szCs w:val="14"/>
              </w:rPr>
              <w:t>,</w:t>
            </w:r>
            <w:r w:rsidRPr="00840036">
              <w:rPr>
                <w:rFonts w:cs="Arial"/>
                <w:bCs/>
                <w:szCs w:val="14"/>
              </w:rPr>
              <w:t>203</w:t>
            </w:r>
          </w:p>
        </w:tc>
      </w:tr>
      <w:tr w:rsidR="006D0C37" w:rsidRPr="00CB272C" w14:paraId="21DB741D" w14:textId="77777777">
        <w:trPr>
          <w:trHeight w:val="238"/>
        </w:trPr>
        <w:tc>
          <w:tcPr>
            <w:tcW w:w="6096" w:type="dxa"/>
            <w:tcBorders>
              <w:bottom w:val="nil"/>
            </w:tcBorders>
            <w:shd w:val="clear" w:color="auto" w:fill="auto"/>
          </w:tcPr>
          <w:p w14:paraId="7266E493" w14:textId="77777777" w:rsidR="006D0C37" w:rsidRPr="000023E9" w:rsidRDefault="006D0C37">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shd w:val="clear" w:color="auto" w:fill="auto"/>
          </w:tcPr>
          <w:p w14:paraId="705BC1C0" w14:textId="77777777" w:rsidR="006D0C37" w:rsidRPr="00BE2370" w:rsidRDefault="006D0C37">
            <w:pPr>
              <w:pStyle w:val="08-Tabelageral"/>
              <w:ind w:left="113"/>
              <w:rPr>
                <w:rFonts w:cs="Arial"/>
                <w:bCs/>
                <w:szCs w:val="14"/>
              </w:rPr>
            </w:pPr>
            <w:r w:rsidRPr="00E40AED">
              <w:rPr>
                <w:rFonts w:cs="Arial"/>
                <w:bCs/>
                <w:szCs w:val="14"/>
              </w:rPr>
              <w:t>1</w:t>
            </w:r>
            <w:r>
              <w:rPr>
                <w:rFonts w:cs="Arial"/>
                <w:bCs/>
                <w:szCs w:val="14"/>
              </w:rPr>
              <w:t>,</w:t>
            </w:r>
            <w:r w:rsidRPr="00E40AED">
              <w:rPr>
                <w:rFonts w:cs="Arial"/>
                <w:bCs/>
                <w:szCs w:val="14"/>
              </w:rPr>
              <w:t>953</w:t>
            </w:r>
            <w:r>
              <w:rPr>
                <w:rFonts w:cs="Arial"/>
                <w:bCs/>
                <w:szCs w:val="14"/>
              </w:rPr>
              <w:t>,</w:t>
            </w:r>
            <w:r w:rsidRPr="00E40AED">
              <w:rPr>
                <w:rFonts w:cs="Arial"/>
                <w:bCs/>
                <w:szCs w:val="14"/>
              </w:rPr>
              <w:t>414</w:t>
            </w:r>
            <w:r>
              <w:rPr>
                <w:rFonts w:cs="Arial"/>
                <w:bCs/>
                <w:szCs w:val="14"/>
              </w:rPr>
              <w:t>,</w:t>
            </w:r>
            <w:r w:rsidRPr="00E40AED">
              <w:rPr>
                <w:rFonts w:cs="Arial"/>
                <w:bCs/>
                <w:szCs w:val="14"/>
              </w:rPr>
              <w:t>779</w:t>
            </w:r>
          </w:p>
        </w:tc>
        <w:tc>
          <w:tcPr>
            <w:tcW w:w="1559" w:type="dxa"/>
            <w:tcBorders>
              <w:bottom w:val="nil"/>
            </w:tcBorders>
            <w:shd w:val="clear" w:color="auto" w:fill="auto"/>
          </w:tcPr>
          <w:p w14:paraId="0B24E7C0" w14:textId="77777777" w:rsidR="006D0C37" w:rsidRPr="00BE2370" w:rsidRDefault="006D0C37">
            <w:pPr>
              <w:pStyle w:val="08-Tabelageral"/>
              <w:ind w:left="113"/>
              <w:rPr>
                <w:rFonts w:cs="Arial"/>
                <w:bCs/>
                <w:szCs w:val="14"/>
              </w:rPr>
            </w:pPr>
            <w:r w:rsidRPr="00840036">
              <w:rPr>
                <w:rFonts w:cs="Arial"/>
                <w:bCs/>
                <w:szCs w:val="14"/>
              </w:rPr>
              <w:t>1</w:t>
            </w:r>
            <w:r>
              <w:rPr>
                <w:rFonts w:cs="Arial"/>
                <w:bCs/>
                <w:szCs w:val="14"/>
              </w:rPr>
              <w:t>,</w:t>
            </w:r>
            <w:r w:rsidRPr="00840036">
              <w:rPr>
                <w:rFonts w:cs="Arial"/>
                <w:bCs/>
                <w:szCs w:val="14"/>
              </w:rPr>
              <w:t>993</w:t>
            </w:r>
            <w:r>
              <w:rPr>
                <w:rFonts w:cs="Arial"/>
                <w:bCs/>
                <w:szCs w:val="14"/>
              </w:rPr>
              <w:t>,</w:t>
            </w:r>
            <w:r w:rsidRPr="00840036">
              <w:rPr>
                <w:rFonts w:cs="Arial"/>
                <w:bCs/>
                <w:szCs w:val="14"/>
              </w:rPr>
              <w:t>418</w:t>
            </w:r>
            <w:r>
              <w:rPr>
                <w:rFonts w:cs="Arial"/>
                <w:bCs/>
                <w:szCs w:val="14"/>
              </w:rPr>
              <w:t>,</w:t>
            </w:r>
            <w:r w:rsidRPr="00840036">
              <w:rPr>
                <w:rFonts w:cs="Arial"/>
                <w:bCs/>
                <w:szCs w:val="14"/>
              </w:rPr>
              <w:t>627</w:t>
            </w:r>
          </w:p>
        </w:tc>
      </w:tr>
      <w:tr w:rsidR="006D0C37" w:rsidRPr="00CB272C" w14:paraId="1B39B226" w14:textId="77777777">
        <w:trPr>
          <w:trHeight w:val="238"/>
        </w:trPr>
        <w:tc>
          <w:tcPr>
            <w:tcW w:w="6096" w:type="dxa"/>
            <w:tcBorders>
              <w:top w:val="nil"/>
              <w:bottom w:val="single" w:sz="2" w:space="0" w:color="1F3864" w:themeColor="accent1" w:themeShade="80"/>
            </w:tcBorders>
            <w:shd w:val="clear" w:color="auto" w:fill="auto"/>
          </w:tcPr>
          <w:p w14:paraId="7B023B52" w14:textId="77777777" w:rsidR="006D0C37" w:rsidRPr="000023E9" w:rsidRDefault="006D0C37">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shd w:val="clear" w:color="auto" w:fill="auto"/>
          </w:tcPr>
          <w:p w14:paraId="1FAAC13C" w14:textId="77777777" w:rsidR="006D0C37" w:rsidRPr="00BE2370" w:rsidRDefault="006D0C37">
            <w:pPr>
              <w:pStyle w:val="08-Tabelageral"/>
              <w:ind w:left="113"/>
              <w:rPr>
                <w:rFonts w:cs="Arial"/>
                <w:bCs/>
                <w:szCs w:val="14"/>
              </w:rPr>
            </w:pPr>
            <w:r>
              <w:rPr>
                <w:rFonts w:cs="Arial"/>
                <w:bCs/>
                <w:szCs w:val="14"/>
              </w:rPr>
              <w:t>4.46</w:t>
            </w:r>
          </w:p>
        </w:tc>
        <w:tc>
          <w:tcPr>
            <w:tcW w:w="1559" w:type="dxa"/>
            <w:tcBorders>
              <w:top w:val="nil"/>
              <w:bottom w:val="single" w:sz="2" w:space="0" w:color="1F3864" w:themeColor="accent1" w:themeShade="80"/>
            </w:tcBorders>
            <w:shd w:val="clear" w:color="auto" w:fill="auto"/>
          </w:tcPr>
          <w:p w14:paraId="74C3EBCB" w14:textId="77777777" w:rsidR="006D0C37" w:rsidRPr="00BE2370" w:rsidRDefault="006D0C37">
            <w:pPr>
              <w:pStyle w:val="08-Tabelageral"/>
              <w:ind w:left="113"/>
              <w:rPr>
                <w:rFonts w:cs="Arial"/>
                <w:bCs/>
                <w:szCs w:val="14"/>
              </w:rPr>
            </w:pPr>
            <w:r w:rsidRPr="00840036">
              <w:rPr>
                <w:rFonts w:cs="Arial"/>
                <w:bCs/>
                <w:szCs w:val="14"/>
              </w:rPr>
              <w:t>3</w:t>
            </w:r>
            <w:r>
              <w:rPr>
                <w:rFonts w:cs="Arial"/>
                <w:bCs/>
                <w:szCs w:val="14"/>
              </w:rPr>
              <w:t>.</w:t>
            </w:r>
            <w:r w:rsidRPr="00840036">
              <w:rPr>
                <w:rFonts w:cs="Arial"/>
                <w:bCs/>
                <w:szCs w:val="14"/>
              </w:rPr>
              <w:t>99</w:t>
            </w:r>
          </w:p>
        </w:tc>
      </w:tr>
    </w:tbl>
    <w:p w14:paraId="0F7428C2" w14:textId="77777777" w:rsidR="006D0C37" w:rsidRDefault="006D0C37" w:rsidP="006D0C37">
      <w:pPr>
        <w:pStyle w:val="05-Textonormal"/>
        <w:rPr>
          <w:lang w:val="en-US"/>
        </w:rPr>
      </w:pPr>
      <w:bookmarkStart w:id="115" w:name="_Hlk149671485"/>
      <w:r w:rsidRPr="00BC47DB">
        <w:rPr>
          <w:lang w:val="en-US"/>
        </w:rPr>
        <w:t>The weighted average number of shares of common stock outstanding during the period is the number of total shares of common stock held by shareholders at the beginning of the period, adjusted by the number of shares reacquired or issued during the period multiplied by the number of days the shares outstanding have been shareholders in proportion to the total number of days in the period.</w:t>
      </w:r>
    </w:p>
    <w:bookmarkEnd w:id="115"/>
    <w:p w14:paraId="764C62DB" w14:textId="77777777" w:rsidR="006D0C37" w:rsidRPr="002610C9" w:rsidRDefault="006D0C37" w:rsidP="006D0C37">
      <w:pPr>
        <w:pStyle w:val="05-Textonormal"/>
        <w:rPr>
          <w:lang w:val="en-US"/>
        </w:rPr>
      </w:pPr>
      <w:r w:rsidRPr="002610C9">
        <w:rPr>
          <w:lang w:val="en-US"/>
        </w:rPr>
        <w:t>The basic earnings per share</w:t>
      </w:r>
      <w:r w:rsidRPr="00D21457">
        <w:rPr>
          <w:lang w:val="en-US"/>
        </w:rPr>
        <w:t xml:space="preserve"> </w:t>
      </w:r>
      <w:r w:rsidRPr="002610C9">
        <w:rPr>
          <w:lang w:val="en-US"/>
        </w:rPr>
        <w:t>is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6B79573A" w14:textId="77777777" w:rsidR="006D0C37" w:rsidRPr="002610C9" w:rsidRDefault="006D0C37" w:rsidP="006D0C37">
      <w:pPr>
        <w:pStyle w:val="05-Textonormal"/>
        <w:rPr>
          <w:lang w:val="en-US"/>
        </w:rPr>
      </w:pPr>
      <w:r w:rsidRPr="002610C9">
        <w:rPr>
          <w:lang w:val="en-US"/>
        </w:rPr>
        <w:t>The diluted earnings per share</w:t>
      </w:r>
      <w:r w:rsidRPr="00D21457">
        <w:rPr>
          <w:lang w:val="en-US"/>
        </w:rPr>
        <w:t xml:space="preserve"> </w:t>
      </w:r>
      <w:r w:rsidRPr="002610C9">
        <w:rPr>
          <w:lang w:val="en-US"/>
        </w:rPr>
        <w:t>is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29144D06" w14:textId="77777777" w:rsidR="006D0C37" w:rsidRPr="005439A8" w:rsidRDefault="006D0C37" w:rsidP="006D0C37">
      <w:pPr>
        <w:pStyle w:val="05-Textonormal"/>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of subscription or its equivalents which provide their holder the right to acquire shares. Thus, the basic and diluted earnings per share are equal</w:t>
      </w:r>
      <w:r>
        <w:rPr>
          <w:lang w:val="en-US"/>
        </w:rPr>
        <w:t xml:space="preserve"> </w:t>
      </w:r>
      <w:r w:rsidRPr="00E311FA">
        <w:rPr>
          <w:lang w:val="en-US"/>
        </w:rPr>
        <w:t>and was calculated by dividing the profit attributable to the holders of common shares of the company by the weighted average number of common shares held by shareholders during the period.</w:t>
      </w:r>
    </w:p>
    <w:p w14:paraId="0ADBA9E3" w14:textId="5E66863B" w:rsidR="006D0C37" w:rsidRDefault="006D0C37" w:rsidP="006D0C37">
      <w:pPr>
        <w:pStyle w:val="03-SubttulodeNota"/>
        <w:rPr>
          <w:color w:val="1F3864" w:themeColor="accent1" w:themeShade="80"/>
          <w:sz w:val="18"/>
          <w:szCs w:val="18"/>
          <w:lang w:val="en-US"/>
        </w:rPr>
      </w:pPr>
      <w:r w:rsidRPr="005439A8">
        <w:rPr>
          <w:color w:val="1F3864" w:themeColor="accent1" w:themeShade="80"/>
          <w:sz w:val="18"/>
          <w:szCs w:val="18"/>
          <w:lang w:val="en-US"/>
        </w:rPr>
        <w:t>b) Dividends</w:t>
      </w:r>
    </w:p>
    <w:p w14:paraId="2811209D" w14:textId="77777777" w:rsidR="006D0C37" w:rsidRPr="00B61A68" w:rsidRDefault="006D0C37" w:rsidP="006D0C37">
      <w:pPr>
        <w:spacing w:after="0"/>
        <w:jc w:val="right"/>
        <w:rPr>
          <w:rFonts w:ascii="Arial" w:eastAsia="Times New Roman" w:hAnsi="Arial" w:cs="Times New Roman"/>
          <w:b/>
          <w:spacing w:val="-2"/>
          <w:sz w:val="14"/>
          <w:szCs w:val="18"/>
          <w:lang w:val="en-US" w:eastAsia="pt-BR"/>
        </w:rPr>
      </w:pPr>
      <w:r w:rsidRPr="00B61A68">
        <w:rPr>
          <w:rFonts w:ascii="Arial" w:eastAsia="Times New Roman" w:hAnsi="Arial" w:cs="Times New Roman"/>
          <w:b/>
          <w:spacing w:val="-2"/>
          <w:sz w:val="14"/>
          <w:szCs w:val="18"/>
          <w:lang w:val="en-US" w:eastAsia="pt-BR"/>
        </w:rPr>
        <w:t>R$ thousand</w:t>
      </w:r>
    </w:p>
    <w:tbl>
      <w:tblPr>
        <w:tblStyle w:val="TabeladeLista6Colorida-nfase51"/>
        <w:tblW w:w="9639" w:type="dxa"/>
        <w:jc w:val="center"/>
        <w:shd w:val="clear" w:color="auto" w:fill="FFFFFF" w:themeFill="background1"/>
        <w:tblLook w:val="04A0" w:firstRow="1" w:lastRow="0" w:firstColumn="1" w:lastColumn="0" w:noHBand="0" w:noVBand="1"/>
      </w:tblPr>
      <w:tblGrid>
        <w:gridCol w:w="6630"/>
        <w:gridCol w:w="1504"/>
        <w:gridCol w:w="1505"/>
      </w:tblGrid>
      <w:tr w:rsidR="006D0C37" w:rsidRPr="00733B61" w14:paraId="2C5B1F89" w14:textId="77777777" w:rsidTr="00485E64">
        <w:trPr>
          <w:cnfStyle w:val="100000000000" w:firstRow="1" w:lastRow="0" w:firstColumn="0" w:lastColumn="0" w:oddVBand="0" w:evenVBand="0" w:oddHBand="0" w:evenHBand="0" w:firstRowFirstColumn="0" w:firstRowLastColumn="0" w:lastRowFirstColumn="0" w:lastRowLastColumn="0"/>
          <w:trHeight w:hRule="exact" w:val="325"/>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41CF4E3" w14:textId="77777777" w:rsidR="006D0C37" w:rsidRPr="00733B61" w:rsidRDefault="006D0C37">
            <w:pPr>
              <w:keepNext/>
              <w:keepLines/>
              <w:spacing w:before="40" w:after="40"/>
              <w:rPr>
                <w:rFonts w:eastAsia="Times New Roman" w:cs="Arial"/>
                <w:spacing w:val="-2"/>
                <w:sz w:val="14"/>
                <w:szCs w:val="18"/>
                <w:highlight w:val="yellow"/>
                <w:lang w:eastAsia="pt-BR"/>
              </w:rPr>
            </w:pPr>
          </w:p>
        </w:tc>
        <w:tc>
          <w:tcPr>
            <w:tcW w:w="1504" w:type="dxa"/>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55EB77BD" w14:textId="77777777" w:rsidR="006D0C37" w:rsidRPr="005868FC" w:rsidRDefault="006D0C37">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2</w:t>
            </w:r>
            <w:r>
              <w:t>024</w:t>
            </w:r>
          </w:p>
        </w:tc>
        <w:tc>
          <w:tcPr>
            <w:tcW w:w="1505" w:type="dxa"/>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455D6E3E" w14:textId="77777777" w:rsidR="006D0C37" w:rsidRPr="005868FC" w:rsidRDefault="006D0C37">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2</w:t>
            </w:r>
            <w:r>
              <w:t>023</w:t>
            </w:r>
          </w:p>
        </w:tc>
      </w:tr>
      <w:tr w:rsidR="006D0C37" w:rsidRPr="00733B61" w14:paraId="79CA4C15" w14:textId="77777777" w:rsidTr="00485E6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left w:val="nil"/>
              <w:bottom w:val="nil"/>
              <w:right w:val="nil"/>
            </w:tcBorders>
            <w:shd w:val="clear" w:color="auto" w:fill="FFFFFF" w:themeFill="background1"/>
            <w:hideMark/>
          </w:tcPr>
          <w:p w14:paraId="3ED58A89" w14:textId="77777777" w:rsidR="006D0C37" w:rsidRPr="00C759C7" w:rsidRDefault="006D0C37">
            <w:pPr>
              <w:pStyle w:val="08-Tabelageral"/>
              <w:jc w:val="left"/>
              <w:rPr>
                <w:rFonts w:cs="Arial"/>
                <w:b w:val="0"/>
                <w:bCs w:val="0"/>
                <w:highlight w:val="yellow"/>
                <w:vertAlign w:val="superscript"/>
                <w:lang w:eastAsia="en-US"/>
              </w:rPr>
            </w:pPr>
            <w:r w:rsidRPr="00BC1485">
              <w:rPr>
                <w:rFonts w:cs="Arial"/>
                <w:b w:val="0"/>
                <w:bCs w:val="0"/>
                <w:lang w:eastAsia="en-US"/>
              </w:rPr>
              <w:t>(1) - N</w:t>
            </w:r>
            <w:r w:rsidRPr="00BC1485">
              <w:rPr>
                <w:rFonts w:cs="Arial"/>
                <w:b w:val="0"/>
                <w:bCs w:val="0"/>
              </w:rPr>
              <w:t>et income</w:t>
            </w:r>
            <w:r>
              <w:rPr>
                <w:rFonts w:cs="Arial"/>
                <w:b w:val="0"/>
                <w:bCs w:val="0"/>
              </w:rPr>
              <w:t xml:space="preserve"> </w:t>
            </w:r>
            <w:r>
              <w:rPr>
                <w:rFonts w:cs="Arial"/>
                <w:b w:val="0"/>
                <w:bCs w:val="0"/>
                <w:vertAlign w:val="superscript"/>
              </w:rPr>
              <w:t>(1)</w:t>
            </w:r>
          </w:p>
        </w:tc>
        <w:tc>
          <w:tcPr>
            <w:tcW w:w="1504" w:type="dxa"/>
            <w:tcBorders>
              <w:top w:val="single" w:sz="2" w:space="0" w:color="1F3864" w:themeColor="accent1" w:themeShade="80"/>
              <w:left w:val="nil"/>
              <w:bottom w:val="nil"/>
              <w:right w:val="nil"/>
            </w:tcBorders>
            <w:shd w:val="clear" w:color="auto" w:fill="FFFFFF" w:themeFill="background1"/>
            <w:vAlign w:val="center"/>
          </w:tcPr>
          <w:p w14:paraId="2130735A"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rFonts w:cs="Arial"/>
                <w:bCs/>
              </w:rPr>
            </w:pPr>
            <w:r w:rsidRPr="008F2A20">
              <w:rPr>
                <w:rFonts w:cs="Arial"/>
                <w:color w:val="000000"/>
                <w:szCs w:val="14"/>
              </w:rPr>
              <w:t>8</w:t>
            </w:r>
            <w:r>
              <w:rPr>
                <w:rFonts w:cs="Arial"/>
                <w:color w:val="000000"/>
                <w:szCs w:val="14"/>
              </w:rPr>
              <w:t>,</w:t>
            </w:r>
            <w:r w:rsidRPr="008F2A20">
              <w:rPr>
                <w:rFonts w:cs="Arial"/>
                <w:color w:val="000000"/>
                <w:szCs w:val="14"/>
              </w:rPr>
              <w:t>703</w:t>
            </w:r>
            <w:r>
              <w:rPr>
                <w:rFonts w:cs="Arial"/>
                <w:color w:val="000000"/>
                <w:szCs w:val="14"/>
              </w:rPr>
              <w:t>,</w:t>
            </w:r>
            <w:r w:rsidRPr="008F2A20">
              <w:rPr>
                <w:rFonts w:cs="Arial"/>
                <w:color w:val="000000"/>
                <w:szCs w:val="14"/>
              </w:rPr>
              <w:t>353</w:t>
            </w:r>
          </w:p>
        </w:tc>
        <w:tc>
          <w:tcPr>
            <w:tcW w:w="1505" w:type="dxa"/>
            <w:tcBorders>
              <w:top w:val="single" w:sz="2" w:space="0" w:color="1F3864" w:themeColor="accent1" w:themeShade="80"/>
              <w:left w:val="nil"/>
              <w:bottom w:val="nil"/>
              <w:right w:val="nil"/>
            </w:tcBorders>
            <w:shd w:val="clear" w:color="auto" w:fill="FFFFFF" w:themeFill="background1"/>
            <w:vAlign w:val="center"/>
          </w:tcPr>
          <w:p w14:paraId="5AC60568"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5868FC">
              <w:rPr>
                <w:rFonts w:cs="Arial"/>
                <w:bCs/>
              </w:rPr>
              <w:t>7,947,203</w:t>
            </w:r>
          </w:p>
        </w:tc>
      </w:tr>
      <w:tr w:rsidR="006D0C37" w:rsidRPr="00733B61" w14:paraId="1E3A2ADB" w14:textId="77777777" w:rsidTr="00485E6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60D5B1A5" w14:textId="77777777" w:rsidR="006D0C37" w:rsidRPr="007E01A3" w:rsidRDefault="006D0C37">
            <w:pPr>
              <w:pStyle w:val="08-Tabelageral"/>
              <w:jc w:val="left"/>
              <w:rPr>
                <w:rFonts w:cs="Arial"/>
                <w:b w:val="0"/>
                <w:highlight w:val="yellow"/>
                <w:lang w:val="en-US" w:eastAsia="en-US"/>
              </w:rPr>
            </w:pPr>
            <w:r w:rsidRPr="00E2299D">
              <w:rPr>
                <w:rFonts w:cs="Arial"/>
                <w:b w:val="0"/>
                <w:bCs w:val="0"/>
                <w:lang w:val="en-US" w:eastAsia="en-US"/>
              </w:rPr>
              <w:t xml:space="preserve">(2) - </w:t>
            </w:r>
            <w:r w:rsidRPr="00BC1485">
              <w:rPr>
                <w:rFonts w:cs="Arial"/>
                <w:b w:val="0"/>
                <w:bCs w:val="0"/>
                <w:lang w:val="en-US"/>
              </w:rPr>
              <w:t>Legal reserve in the period</w:t>
            </w:r>
          </w:p>
        </w:tc>
        <w:tc>
          <w:tcPr>
            <w:tcW w:w="1504" w:type="dxa"/>
            <w:tcBorders>
              <w:top w:val="nil"/>
              <w:left w:val="nil"/>
              <w:bottom w:val="nil"/>
              <w:right w:val="nil"/>
            </w:tcBorders>
            <w:shd w:val="clear" w:color="auto" w:fill="FFFFFF" w:themeFill="background1"/>
            <w:vAlign w:val="center"/>
          </w:tcPr>
          <w:p w14:paraId="010CF610" w14:textId="77777777" w:rsidR="006D0C37" w:rsidRPr="005868FC" w:rsidRDefault="006D0C3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w:t>
            </w:r>
            <w:r w:rsidRPr="008F2A20">
              <w:rPr>
                <w:rFonts w:cs="Arial"/>
                <w:color w:val="000000"/>
                <w:szCs w:val="14"/>
              </w:rPr>
              <w:t>435</w:t>
            </w:r>
            <w:r>
              <w:rPr>
                <w:rFonts w:cs="Arial"/>
                <w:color w:val="000000"/>
                <w:szCs w:val="14"/>
              </w:rPr>
              <w:t>,</w:t>
            </w:r>
            <w:r w:rsidRPr="008F2A20">
              <w:rPr>
                <w:rFonts w:cs="Arial"/>
                <w:color w:val="000000"/>
                <w:szCs w:val="14"/>
              </w:rPr>
              <w:t>168</w:t>
            </w:r>
            <w:r>
              <w:rPr>
                <w:rFonts w:cs="Arial"/>
                <w:color w:val="000000"/>
                <w:szCs w:val="14"/>
              </w:rPr>
              <w:t>)</w:t>
            </w:r>
          </w:p>
        </w:tc>
        <w:tc>
          <w:tcPr>
            <w:tcW w:w="1505" w:type="dxa"/>
            <w:tcBorders>
              <w:top w:val="nil"/>
              <w:left w:val="nil"/>
              <w:bottom w:val="nil"/>
              <w:right w:val="nil"/>
            </w:tcBorders>
            <w:shd w:val="clear" w:color="auto" w:fill="FFFFFF" w:themeFill="background1"/>
            <w:vAlign w:val="center"/>
          </w:tcPr>
          <w:p w14:paraId="69488599"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5868FC">
              <w:rPr>
                <w:rFonts w:cs="Arial"/>
                <w:szCs w:val="14"/>
                <w:lang w:eastAsia="en-US"/>
              </w:rPr>
              <w:t>(397,360)</w:t>
            </w:r>
          </w:p>
        </w:tc>
      </w:tr>
      <w:tr w:rsidR="006D0C37" w:rsidRPr="00733B61" w14:paraId="684096AA" w14:textId="77777777" w:rsidTr="00485E6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388AE48F" w14:textId="77777777" w:rsidR="006D0C37" w:rsidRPr="00733B61" w:rsidRDefault="006D0C37">
            <w:pPr>
              <w:pStyle w:val="08-Tabelageral"/>
              <w:jc w:val="left"/>
              <w:rPr>
                <w:rFonts w:cs="Arial"/>
                <w:highlight w:val="yellow"/>
                <w:lang w:eastAsia="en-US"/>
              </w:rPr>
            </w:pPr>
            <w:r w:rsidRPr="00BC1485">
              <w:rPr>
                <w:rFonts w:cs="Arial"/>
                <w:lang w:eastAsia="en-US"/>
              </w:rPr>
              <w:t xml:space="preserve">(=) </w:t>
            </w:r>
            <w:proofErr w:type="spellStart"/>
            <w:r w:rsidRPr="00BC1485">
              <w:rPr>
                <w:rFonts w:cs="Arial"/>
                <w:lang w:eastAsia="en-US"/>
              </w:rPr>
              <w:t>Calculation</w:t>
            </w:r>
            <w:proofErr w:type="spellEnd"/>
            <w:r w:rsidRPr="00BC1485">
              <w:rPr>
                <w:rFonts w:cs="Arial"/>
                <w:lang w:eastAsia="en-US"/>
              </w:rPr>
              <w:t xml:space="preserve"> </w:t>
            </w:r>
            <w:proofErr w:type="spellStart"/>
            <w:r w:rsidRPr="00BC1485">
              <w:rPr>
                <w:rFonts w:cs="Arial"/>
                <w:lang w:eastAsia="en-US"/>
              </w:rPr>
              <w:t>basis</w:t>
            </w:r>
            <w:proofErr w:type="spellEnd"/>
            <w:r w:rsidRPr="00BC1485">
              <w:rPr>
                <w:rFonts w:cs="Arial"/>
                <w:lang w:eastAsia="en-US"/>
              </w:rPr>
              <w:t xml:space="preserve"> (1 - 2)</w:t>
            </w:r>
          </w:p>
        </w:tc>
        <w:tc>
          <w:tcPr>
            <w:tcW w:w="1504" w:type="dxa"/>
            <w:tcBorders>
              <w:top w:val="nil"/>
              <w:left w:val="nil"/>
              <w:bottom w:val="nil"/>
              <w:right w:val="nil"/>
            </w:tcBorders>
            <w:shd w:val="clear" w:color="auto" w:fill="FFFFFF" w:themeFill="background1"/>
            <w:vAlign w:val="center"/>
          </w:tcPr>
          <w:p w14:paraId="436F02FD" w14:textId="77777777" w:rsidR="006D0C37" w:rsidRPr="005868FC" w:rsidRDefault="006D0C37">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8F2A20">
              <w:rPr>
                <w:rFonts w:cs="Arial"/>
                <w:b/>
                <w:bCs/>
                <w:color w:val="000000"/>
                <w:szCs w:val="14"/>
              </w:rPr>
              <w:t>8</w:t>
            </w:r>
            <w:r>
              <w:rPr>
                <w:rFonts w:cs="Arial"/>
                <w:b/>
                <w:bCs/>
                <w:color w:val="000000"/>
                <w:szCs w:val="14"/>
              </w:rPr>
              <w:t>,</w:t>
            </w:r>
            <w:r w:rsidRPr="008F2A20">
              <w:rPr>
                <w:rFonts w:cs="Arial"/>
                <w:b/>
                <w:bCs/>
                <w:color w:val="000000"/>
                <w:szCs w:val="14"/>
              </w:rPr>
              <w:t>268</w:t>
            </w:r>
            <w:r>
              <w:rPr>
                <w:rFonts w:cs="Arial"/>
                <w:b/>
                <w:bCs/>
                <w:color w:val="000000"/>
                <w:szCs w:val="14"/>
              </w:rPr>
              <w:t>,</w:t>
            </w:r>
            <w:r w:rsidRPr="008F2A20">
              <w:rPr>
                <w:rFonts w:cs="Arial"/>
                <w:b/>
                <w:bCs/>
                <w:color w:val="000000"/>
                <w:szCs w:val="14"/>
              </w:rPr>
              <w:t>185</w:t>
            </w:r>
          </w:p>
        </w:tc>
        <w:tc>
          <w:tcPr>
            <w:tcW w:w="1505" w:type="dxa"/>
            <w:tcBorders>
              <w:top w:val="nil"/>
              <w:left w:val="nil"/>
              <w:bottom w:val="nil"/>
              <w:right w:val="nil"/>
            </w:tcBorders>
            <w:shd w:val="clear" w:color="auto" w:fill="FFFFFF" w:themeFill="background1"/>
            <w:vAlign w:val="center"/>
          </w:tcPr>
          <w:p w14:paraId="14D270DD"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sidRPr="005868FC">
              <w:rPr>
                <w:rFonts w:cs="Arial"/>
                <w:b/>
                <w:szCs w:val="14"/>
                <w:lang w:eastAsia="en-US"/>
              </w:rPr>
              <w:t>7,549,843</w:t>
            </w:r>
          </w:p>
        </w:tc>
      </w:tr>
      <w:tr w:rsidR="006D0C37" w:rsidRPr="00733B61" w14:paraId="4C5E6BD9" w14:textId="77777777" w:rsidTr="00485E6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10E0E36F" w14:textId="77777777" w:rsidR="006D0C37" w:rsidRPr="00733B61" w:rsidRDefault="006D0C37">
            <w:pPr>
              <w:pStyle w:val="08-Tabelageral"/>
              <w:jc w:val="left"/>
              <w:rPr>
                <w:rFonts w:cs="Arial"/>
                <w:b w:val="0"/>
                <w:highlight w:val="yellow"/>
                <w:lang w:eastAsia="en-US"/>
              </w:rPr>
            </w:pPr>
            <w:r w:rsidRPr="00BC1485">
              <w:rPr>
                <w:rFonts w:cs="Arial"/>
                <w:b w:val="0"/>
                <w:lang w:eastAsia="en-US"/>
              </w:rPr>
              <w:t xml:space="preserve">(3) - </w:t>
            </w:r>
            <w:proofErr w:type="spellStart"/>
            <w:r w:rsidRPr="00BC1485">
              <w:rPr>
                <w:rFonts w:cs="Arial"/>
                <w:b w:val="0"/>
                <w:bCs w:val="0"/>
              </w:rPr>
              <w:t>Minimum</w:t>
            </w:r>
            <w:proofErr w:type="spellEnd"/>
            <w:r w:rsidRPr="00BC1485">
              <w:rPr>
                <w:rFonts w:cs="Arial"/>
                <w:b w:val="0"/>
                <w:bCs w:val="0"/>
              </w:rPr>
              <w:t xml:space="preserve"> </w:t>
            </w:r>
            <w:proofErr w:type="spellStart"/>
            <w:r w:rsidRPr="00BC1485">
              <w:rPr>
                <w:rFonts w:cs="Arial"/>
                <w:b w:val="0"/>
                <w:bCs w:val="0"/>
              </w:rPr>
              <w:t>mandatory</w:t>
            </w:r>
            <w:proofErr w:type="spellEnd"/>
            <w:r w:rsidRPr="00BC1485">
              <w:rPr>
                <w:rFonts w:cs="Arial"/>
                <w:b w:val="0"/>
                <w:bCs w:val="0"/>
              </w:rPr>
              <w:t xml:space="preserve"> </w:t>
            </w:r>
            <w:proofErr w:type="spellStart"/>
            <w:r w:rsidRPr="00BC1485">
              <w:rPr>
                <w:rFonts w:cs="Arial"/>
                <w:b w:val="0"/>
                <w:bCs w:val="0"/>
              </w:rPr>
              <w:t>dividend</w:t>
            </w:r>
            <w:proofErr w:type="spellEnd"/>
          </w:p>
        </w:tc>
        <w:tc>
          <w:tcPr>
            <w:tcW w:w="1504" w:type="dxa"/>
            <w:tcBorders>
              <w:top w:val="nil"/>
              <w:left w:val="nil"/>
              <w:bottom w:val="nil"/>
              <w:right w:val="nil"/>
            </w:tcBorders>
            <w:shd w:val="clear" w:color="auto" w:fill="FFFFFF" w:themeFill="background1"/>
            <w:vAlign w:val="center"/>
          </w:tcPr>
          <w:p w14:paraId="1E81CD7A" w14:textId="77777777" w:rsidR="006D0C37" w:rsidRPr="005868FC" w:rsidRDefault="006D0C3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8F2A20">
              <w:rPr>
                <w:rFonts w:cs="Arial"/>
                <w:color w:val="000000"/>
                <w:szCs w:val="14"/>
              </w:rPr>
              <w:t xml:space="preserve"> 2</w:t>
            </w:r>
            <w:r>
              <w:rPr>
                <w:rFonts w:cs="Arial"/>
                <w:color w:val="000000"/>
                <w:szCs w:val="14"/>
              </w:rPr>
              <w:t>,</w:t>
            </w:r>
            <w:r w:rsidRPr="008F2A20">
              <w:rPr>
                <w:rFonts w:cs="Arial"/>
                <w:color w:val="000000"/>
                <w:szCs w:val="14"/>
              </w:rPr>
              <w:t>067</w:t>
            </w:r>
            <w:r>
              <w:rPr>
                <w:rFonts w:cs="Arial"/>
                <w:color w:val="000000"/>
                <w:szCs w:val="14"/>
              </w:rPr>
              <w:t>,</w:t>
            </w:r>
            <w:r w:rsidRPr="008F2A20">
              <w:rPr>
                <w:rFonts w:cs="Arial"/>
                <w:color w:val="000000"/>
                <w:szCs w:val="14"/>
              </w:rPr>
              <w:t xml:space="preserve">046 </w:t>
            </w:r>
          </w:p>
        </w:tc>
        <w:tc>
          <w:tcPr>
            <w:tcW w:w="1505" w:type="dxa"/>
            <w:tcBorders>
              <w:top w:val="nil"/>
              <w:left w:val="nil"/>
              <w:bottom w:val="nil"/>
              <w:right w:val="nil"/>
            </w:tcBorders>
            <w:shd w:val="clear" w:color="auto" w:fill="FFFFFF" w:themeFill="background1"/>
            <w:vAlign w:val="center"/>
          </w:tcPr>
          <w:p w14:paraId="74B484FA"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5868FC">
              <w:rPr>
                <w:rFonts w:cs="Arial"/>
                <w:szCs w:val="14"/>
                <w:lang w:eastAsia="en-US"/>
              </w:rPr>
              <w:t>1,887,461</w:t>
            </w:r>
          </w:p>
        </w:tc>
      </w:tr>
      <w:tr w:rsidR="006D0C37" w:rsidRPr="00733B61" w14:paraId="39BAFA10" w14:textId="77777777" w:rsidTr="00485E6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5D5C3594" w14:textId="77777777" w:rsidR="006D0C37" w:rsidRPr="00733B61" w:rsidRDefault="006D0C37">
            <w:pPr>
              <w:pStyle w:val="08-Tabelageral"/>
              <w:jc w:val="left"/>
              <w:rPr>
                <w:rFonts w:cs="Arial"/>
                <w:b w:val="0"/>
                <w:highlight w:val="yellow"/>
                <w:lang w:eastAsia="en-US"/>
              </w:rPr>
            </w:pPr>
            <w:r w:rsidRPr="00BC1485">
              <w:rPr>
                <w:rFonts w:cs="Arial"/>
                <w:b w:val="0"/>
                <w:lang w:eastAsia="en-US"/>
              </w:rPr>
              <w:t xml:space="preserve">(4) - </w:t>
            </w:r>
            <w:proofErr w:type="spellStart"/>
            <w:r w:rsidRPr="00BC1485">
              <w:rPr>
                <w:rFonts w:cs="Arial"/>
                <w:b w:val="0"/>
                <w:bCs w:val="0"/>
              </w:rPr>
              <w:t>Additional</w:t>
            </w:r>
            <w:proofErr w:type="spellEnd"/>
            <w:r w:rsidRPr="00BC1485">
              <w:rPr>
                <w:rFonts w:cs="Arial"/>
                <w:b w:val="0"/>
                <w:bCs w:val="0"/>
              </w:rPr>
              <w:t xml:space="preserve"> </w:t>
            </w:r>
            <w:proofErr w:type="spellStart"/>
            <w:r w:rsidRPr="00BC1485">
              <w:rPr>
                <w:rFonts w:cs="Arial"/>
                <w:b w:val="0"/>
                <w:bCs w:val="0"/>
              </w:rPr>
              <w:t>dividend</w:t>
            </w:r>
            <w:proofErr w:type="spellEnd"/>
          </w:p>
        </w:tc>
        <w:tc>
          <w:tcPr>
            <w:tcW w:w="1504" w:type="dxa"/>
            <w:tcBorders>
              <w:top w:val="nil"/>
              <w:left w:val="nil"/>
              <w:bottom w:val="nil"/>
              <w:right w:val="nil"/>
            </w:tcBorders>
            <w:shd w:val="clear" w:color="auto" w:fill="FFFFFF" w:themeFill="background1"/>
            <w:vAlign w:val="center"/>
          </w:tcPr>
          <w:p w14:paraId="35804F20" w14:textId="77777777" w:rsidR="006D0C37" w:rsidRPr="005868FC" w:rsidRDefault="006D0C37">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8F2A20">
              <w:rPr>
                <w:rFonts w:cs="Arial"/>
                <w:color w:val="000000"/>
                <w:szCs w:val="14"/>
              </w:rPr>
              <w:t xml:space="preserve"> 5</w:t>
            </w:r>
            <w:r>
              <w:rPr>
                <w:rFonts w:cs="Arial"/>
                <w:color w:val="000000"/>
                <w:szCs w:val="14"/>
              </w:rPr>
              <w:t>,</w:t>
            </w:r>
            <w:r w:rsidRPr="008F2A20">
              <w:rPr>
                <w:rFonts w:cs="Arial"/>
                <w:color w:val="000000"/>
                <w:szCs w:val="14"/>
              </w:rPr>
              <w:t>043</w:t>
            </w:r>
            <w:r>
              <w:rPr>
                <w:rFonts w:cs="Arial"/>
                <w:color w:val="000000"/>
                <w:szCs w:val="14"/>
              </w:rPr>
              <w:t>,</w:t>
            </w:r>
            <w:r w:rsidRPr="008F2A20">
              <w:rPr>
                <w:rFonts w:cs="Arial"/>
                <w:color w:val="000000"/>
                <w:szCs w:val="14"/>
              </w:rPr>
              <w:t xml:space="preserve">954 </w:t>
            </w:r>
          </w:p>
        </w:tc>
        <w:tc>
          <w:tcPr>
            <w:tcW w:w="1505" w:type="dxa"/>
            <w:tcBorders>
              <w:top w:val="nil"/>
              <w:left w:val="nil"/>
              <w:bottom w:val="nil"/>
              <w:right w:val="nil"/>
            </w:tcBorders>
            <w:shd w:val="clear" w:color="auto" w:fill="FFFFFF" w:themeFill="background1"/>
            <w:vAlign w:val="center"/>
          </w:tcPr>
          <w:p w14:paraId="166848BB"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5868FC">
              <w:rPr>
                <w:rFonts w:cs="Arial"/>
                <w:szCs w:val="14"/>
                <w:lang w:eastAsia="en-US"/>
              </w:rPr>
              <w:t>3,777,539</w:t>
            </w:r>
          </w:p>
        </w:tc>
      </w:tr>
      <w:tr w:rsidR="006D0C37" w:rsidRPr="00733B61" w14:paraId="30EC5CD2" w14:textId="77777777" w:rsidTr="00485E6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55180044" w14:textId="77777777" w:rsidR="006D0C37" w:rsidRPr="00733B61" w:rsidRDefault="006D0C37">
            <w:pPr>
              <w:pStyle w:val="08-Tabelageral"/>
              <w:jc w:val="left"/>
              <w:rPr>
                <w:rFonts w:cs="Arial"/>
                <w:highlight w:val="yellow"/>
                <w:lang w:eastAsia="en-US"/>
              </w:rPr>
            </w:pPr>
            <w:r w:rsidRPr="00BC1485">
              <w:rPr>
                <w:rFonts w:cs="Arial"/>
                <w:b w:val="0"/>
                <w:lang w:eastAsia="en-US"/>
              </w:rPr>
              <w:t xml:space="preserve">(5) - </w:t>
            </w:r>
            <w:proofErr w:type="spellStart"/>
            <w:r w:rsidRPr="00BC1485">
              <w:rPr>
                <w:rFonts w:cs="Arial"/>
                <w:b w:val="0"/>
                <w:bCs w:val="0"/>
              </w:rPr>
              <w:t>Statutory</w:t>
            </w:r>
            <w:proofErr w:type="spellEnd"/>
            <w:r w:rsidRPr="00BC1485">
              <w:rPr>
                <w:rFonts w:cs="Arial"/>
                <w:b w:val="0"/>
                <w:bCs w:val="0"/>
              </w:rPr>
              <w:t xml:space="preserve"> reserve</w:t>
            </w:r>
          </w:p>
        </w:tc>
        <w:tc>
          <w:tcPr>
            <w:tcW w:w="1504" w:type="dxa"/>
            <w:tcBorders>
              <w:top w:val="nil"/>
              <w:left w:val="nil"/>
              <w:bottom w:val="nil"/>
              <w:right w:val="nil"/>
            </w:tcBorders>
            <w:shd w:val="clear" w:color="auto" w:fill="FFFFFF" w:themeFill="background1"/>
            <w:vAlign w:val="center"/>
          </w:tcPr>
          <w:p w14:paraId="14CF2359" w14:textId="77777777" w:rsidR="006D0C37" w:rsidRPr="005868FC" w:rsidRDefault="006D0C3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8F2A20">
              <w:rPr>
                <w:rFonts w:cs="Arial"/>
                <w:color w:val="000000"/>
                <w:szCs w:val="14"/>
              </w:rPr>
              <w:t>1</w:t>
            </w:r>
            <w:r>
              <w:rPr>
                <w:rFonts w:cs="Arial"/>
                <w:color w:val="000000"/>
                <w:szCs w:val="14"/>
              </w:rPr>
              <w:t>,</w:t>
            </w:r>
            <w:r w:rsidRPr="008F2A20">
              <w:rPr>
                <w:rFonts w:cs="Arial"/>
                <w:color w:val="000000"/>
                <w:szCs w:val="14"/>
              </w:rPr>
              <w:t>157</w:t>
            </w:r>
            <w:r>
              <w:rPr>
                <w:rFonts w:cs="Arial"/>
                <w:color w:val="000000"/>
                <w:szCs w:val="14"/>
              </w:rPr>
              <w:t>,</w:t>
            </w:r>
            <w:r w:rsidRPr="008F2A20">
              <w:rPr>
                <w:rFonts w:cs="Arial"/>
                <w:color w:val="000000"/>
                <w:szCs w:val="14"/>
              </w:rPr>
              <w:t>185</w:t>
            </w:r>
          </w:p>
        </w:tc>
        <w:tc>
          <w:tcPr>
            <w:tcW w:w="1505" w:type="dxa"/>
            <w:tcBorders>
              <w:top w:val="nil"/>
              <w:left w:val="nil"/>
              <w:bottom w:val="nil"/>
              <w:right w:val="nil"/>
            </w:tcBorders>
            <w:shd w:val="clear" w:color="auto" w:fill="FFFFFF" w:themeFill="background1"/>
            <w:vAlign w:val="center"/>
          </w:tcPr>
          <w:p w14:paraId="698BBD5C"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5868FC">
              <w:rPr>
                <w:rFonts w:cs="Arial"/>
                <w:szCs w:val="14"/>
                <w:lang w:eastAsia="en-US"/>
              </w:rPr>
              <w:t>1,884,843</w:t>
            </w:r>
          </w:p>
        </w:tc>
      </w:tr>
      <w:tr w:rsidR="006D0C37" w:rsidRPr="00733B61" w14:paraId="4EAD32B0" w14:textId="77777777" w:rsidTr="00485E6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76B1BB6D" w14:textId="77777777" w:rsidR="006D0C37" w:rsidRPr="007E01A3" w:rsidRDefault="006D0C37">
            <w:pPr>
              <w:pStyle w:val="08-Tabelageral"/>
              <w:jc w:val="left"/>
              <w:rPr>
                <w:rFonts w:cs="Arial"/>
                <w:highlight w:val="yellow"/>
                <w:lang w:val="en-US" w:eastAsia="en-US"/>
              </w:rPr>
            </w:pPr>
            <w:r w:rsidRPr="00E2299D">
              <w:rPr>
                <w:rFonts w:cs="Arial"/>
                <w:bCs w:val="0"/>
                <w:lang w:val="en-US" w:eastAsia="en-US"/>
              </w:rPr>
              <w:t xml:space="preserve">(=) </w:t>
            </w:r>
            <w:r w:rsidRPr="00E2299D">
              <w:rPr>
                <w:rFonts w:cs="Arial"/>
                <w:bCs w:val="0"/>
                <w:lang w:val="en-US"/>
              </w:rPr>
              <w:t xml:space="preserve">Balance of net income after allocation </w:t>
            </w:r>
            <w:r w:rsidRPr="00E2299D">
              <w:rPr>
                <w:rFonts w:cs="Arial"/>
                <w:bCs w:val="0"/>
                <w:lang w:val="en-US" w:eastAsia="en-US"/>
              </w:rPr>
              <w:t>(1-2-3-4-5)</w:t>
            </w:r>
          </w:p>
        </w:tc>
        <w:tc>
          <w:tcPr>
            <w:tcW w:w="1504" w:type="dxa"/>
            <w:tcBorders>
              <w:top w:val="nil"/>
              <w:left w:val="nil"/>
              <w:bottom w:val="nil"/>
              <w:right w:val="nil"/>
            </w:tcBorders>
            <w:shd w:val="clear" w:color="auto" w:fill="FFFFFF" w:themeFill="background1"/>
            <w:vAlign w:val="center"/>
          </w:tcPr>
          <w:p w14:paraId="1B704E52" w14:textId="77777777" w:rsidR="006D0C37" w:rsidRPr="005868FC" w:rsidRDefault="006D0C37">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781F9F">
              <w:rPr>
                <w:rFonts w:cs="Arial"/>
                <w:b/>
                <w:bCs/>
                <w:color w:val="000000"/>
                <w:szCs w:val="14"/>
                <w:lang w:val="en-US"/>
              </w:rPr>
              <w:t xml:space="preserve">           </w:t>
            </w:r>
            <w:r>
              <w:rPr>
                <w:rFonts w:cs="Arial"/>
                <w:b/>
                <w:bCs/>
                <w:color w:val="000000"/>
                <w:szCs w:val="14"/>
              </w:rPr>
              <w:t>-</w:t>
            </w:r>
            <w:r w:rsidRPr="008F2A20">
              <w:rPr>
                <w:rFonts w:cs="Arial"/>
                <w:b/>
                <w:bCs/>
                <w:color w:val="000000"/>
                <w:szCs w:val="14"/>
              </w:rPr>
              <w:t xml:space="preserve">-   </w:t>
            </w:r>
          </w:p>
        </w:tc>
        <w:tc>
          <w:tcPr>
            <w:tcW w:w="1505" w:type="dxa"/>
            <w:tcBorders>
              <w:top w:val="nil"/>
              <w:left w:val="nil"/>
              <w:bottom w:val="nil"/>
              <w:right w:val="nil"/>
            </w:tcBorders>
            <w:shd w:val="clear" w:color="auto" w:fill="FFFFFF" w:themeFill="background1"/>
            <w:vAlign w:val="center"/>
          </w:tcPr>
          <w:p w14:paraId="3E794DDF"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sidRPr="005868FC">
              <w:rPr>
                <w:rFonts w:cs="Arial"/>
                <w:b/>
                <w:szCs w:val="14"/>
                <w:lang w:eastAsia="en-US"/>
              </w:rPr>
              <w:t>--</w:t>
            </w:r>
          </w:p>
        </w:tc>
      </w:tr>
      <w:tr w:rsidR="006D0C37" w:rsidRPr="00733B61" w14:paraId="4C4929B2" w14:textId="77777777" w:rsidTr="00485E6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tcPr>
          <w:p w14:paraId="657E5922" w14:textId="77777777" w:rsidR="006D0C37" w:rsidRPr="00733B61" w:rsidRDefault="006D0C37">
            <w:pPr>
              <w:pStyle w:val="08-Tabelageral"/>
              <w:jc w:val="left"/>
              <w:rPr>
                <w:rFonts w:cs="Arial"/>
                <w:highlight w:val="yellow"/>
                <w:lang w:eastAsia="en-US"/>
              </w:rPr>
            </w:pPr>
          </w:p>
        </w:tc>
        <w:tc>
          <w:tcPr>
            <w:tcW w:w="1504" w:type="dxa"/>
            <w:tcBorders>
              <w:top w:val="nil"/>
              <w:left w:val="nil"/>
              <w:bottom w:val="nil"/>
              <w:right w:val="nil"/>
            </w:tcBorders>
            <w:shd w:val="clear" w:color="auto" w:fill="FFFFFF" w:themeFill="background1"/>
            <w:vAlign w:val="center"/>
          </w:tcPr>
          <w:p w14:paraId="3B2E6D54" w14:textId="77777777" w:rsidR="006D0C37" w:rsidRPr="005868FC" w:rsidRDefault="006D0C37">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505" w:type="dxa"/>
            <w:tcBorders>
              <w:top w:val="nil"/>
              <w:left w:val="nil"/>
              <w:bottom w:val="nil"/>
              <w:right w:val="nil"/>
            </w:tcBorders>
            <w:shd w:val="clear" w:color="auto" w:fill="FFFFFF" w:themeFill="background1"/>
            <w:vAlign w:val="center"/>
          </w:tcPr>
          <w:p w14:paraId="7F2512A4"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b/>
                <w:lang w:eastAsia="en-US"/>
              </w:rPr>
            </w:pPr>
          </w:p>
        </w:tc>
      </w:tr>
      <w:tr w:rsidR="006D0C37" w:rsidRPr="00733B61" w14:paraId="547F7B0E" w14:textId="77777777" w:rsidTr="00485E6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2DD15EEB" w14:textId="77777777" w:rsidR="006D0C37" w:rsidRPr="00733B61" w:rsidRDefault="006D0C37">
            <w:pPr>
              <w:pStyle w:val="08-Tabelageral"/>
              <w:jc w:val="left"/>
              <w:rPr>
                <w:rFonts w:cs="Arial"/>
                <w:b w:val="0"/>
                <w:bCs w:val="0"/>
                <w:highlight w:val="yellow"/>
                <w:lang w:eastAsia="en-US"/>
              </w:rPr>
            </w:pPr>
            <w:r w:rsidRPr="00BC1485">
              <w:rPr>
                <w:rFonts w:cs="Arial"/>
                <w:b w:val="0"/>
                <w:bCs w:val="0"/>
                <w:lang w:eastAsia="en-US"/>
              </w:rPr>
              <w:t xml:space="preserve">(6) - </w:t>
            </w:r>
            <w:proofErr w:type="spellStart"/>
            <w:r w:rsidRPr="00BC1485">
              <w:rPr>
                <w:rFonts w:cs="Arial"/>
                <w:b w:val="0"/>
                <w:bCs w:val="0"/>
                <w:lang w:eastAsia="en-US"/>
              </w:rPr>
              <w:t>Proposed</w:t>
            </w:r>
            <w:proofErr w:type="spellEnd"/>
            <w:r w:rsidRPr="00BC1485">
              <w:rPr>
                <w:rFonts w:cs="Arial"/>
                <w:b w:val="0"/>
                <w:bCs w:val="0"/>
                <w:lang w:eastAsia="en-US"/>
              </w:rPr>
              <w:t xml:space="preserve"> </w:t>
            </w:r>
            <w:proofErr w:type="spellStart"/>
            <w:r w:rsidRPr="00BC1485">
              <w:rPr>
                <w:rFonts w:cs="Arial"/>
                <w:b w:val="0"/>
                <w:bCs w:val="0"/>
                <w:lang w:eastAsia="en-US"/>
              </w:rPr>
              <w:t>dividends</w:t>
            </w:r>
            <w:proofErr w:type="spellEnd"/>
            <w:r w:rsidRPr="00BC1485">
              <w:rPr>
                <w:rFonts w:cs="Arial"/>
                <w:b w:val="0"/>
                <w:bCs w:val="0"/>
                <w:lang w:eastAsia="en-US"/>
              </w:rPr>
              <w:t xml:space="preserve"> (3+4)</w:t>
            </w:r>
          </w:p>
        </w:tc>
        <w:tc>
          <w:tcPr>
            <w:tcW w:w="1504" w:type="dxa"/>
            <w:tcBorders>
              <w:top w:val="nil"/>
              <w:left w:val="nil"/>
              <w:bottom w:val="nil"/>
              <w:right w:val="nil"/>
            </w:tcBorders>
            <w:shd w:val="clear" w:color="auto" w:fill="FFFFFF" w:themeFill="background1"/>
            <w:vAlign w:val="center"/>
          </w:tcPr>
          <w:p w14:paraId="54331B43" w14:textId="77777777" w:rsidR="006D0C37" w:rsidRPr="005868FC" w:rsidRDefault="006D0C37">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8F2A20">
              <w:rPr>
                <w:rFonts w:cs="Arial"/>
                <w:color w:val="000000"/>
                <w:szCs w:val="14"/>
              </w:rPr>
              <w:t xml:space="preserve"> 7</w:t>
            </w:r>
            <w:r>
              <w:rPr>
                <w:rFonts w:cs="Arial"/>
                <w:color w:val="000000"/>
                <w:szCs w:val="14"/>
              </w:rPr>
              <w:t>,</w:t>
            </w:r>
            <w:r w:rsidRPr="008F2A20">
              <w:rPr>
                <w:rFonts w:cs="Arial"/>
                <w:color w:val="000000"/>
                <w:szCs w:val="14"/>
              </w:rPr>
              <w:t>111</w:t>
            </w:r>
            <w:r>
              <w:rPr>
                <w:rFonts w:cs="Arial"/>
                <w:color w:val="000000"/>
                <w:szCs w:val="14"/>
              </w:rPr>
              <w:t>,</w:t>
            </w:r>
            <w:r w:rsidRPr="008F2A20">
              <w:rPr>
                <w:rFonts w:cs="Arial"/>
                <w:color w:val="000000"/>
                <w:szCs w:val="14"/>
              </w:rPr>
              <w:t xml:space="preserve">000 </w:t>
            </w:r>
          </w:p>
        </w:tc>
        <w:tc>
          <w:tcPr>
            <w:tcW w:w="1505" w:type="dxa"/>
            <w:tcBorders>
              <w:top w:val="nil"/>
              <w:left w:val="nil"/>
              <w:bottom w:val="nil"/>
              <w:right w:val="nil"/>
            </w:tcBorders>
            <w:shd w:val="clear" w:color="auto" w:fill="FFFFFF" w:themeFill="background1"/>
            <w:vAlign w:val="center"/>
          </w:tcPr>
          <w:p w14:paraId="47A9B487"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5868FC">
              <w:rPr>
                <w:rFonts w:cs="Arial"/>
                <w:szCs w:val="14"/>
                <w:lang w:eastAsia="en-US"/>
              </w:rPr>
              <w:t>5,665,000</w:t>
            </w:r>
          </w:p>
        </w:tc>
      </w:tr>
      <w:tr w:rsidR="006D0C37" w:rsidRPr="00733B61" w14:paraId="638152E8" w14:textId="77777777" w:rsidTr="00485E6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39A0A406" w14:textId="77777777" w:rsidR="006D0C37" w:rsidRPr="00733B61" w:rsidRDefault="006D0C37">
            <w:pPr>
              <w:pStyle w:val="08-Tabelageral"/>
              <w:jc w:val="left"/>
              <w:rPr>
                <w:rFonts w:cs="Arial"/>
                <w:highlight w:val="yellow"/>
                <w:lang w:eastAsia="en-US"/>
              </w:rPr>
            </w:pPr>
            <w:r w:rsidRPr="00BC1485">
              <w:rPr>
                <w:rFonts w:cs="Arial"/>
                <w:b w:val="0"/>
                <w:lang w:eastAsia="en-US"/>
              </w:rPr>
              <w:t xml:space="preserve">(7) - </w:t>
            </w:r>
            <w:proofErr w:type="spellStart"/>
            <w:r w:rsidRPr="00BC1485">
              <w:rPr>
                <w:rFonts w:cs="Arial"/>
                <w:b w:val="0"/>
                <w:bCs w:val="0"/>
              </w:rPr>
              <w:t>Prescribed</w:t>
            </w:r>
            <w:proofErr w:type="spellEnd"/>
            <w:r w:rsidRPr="00BC1485">
              <w:rPr>
                <w:rFonts w:cs="Arial"/>
                <w:b w:val="0"/>
                <w:bCs w:val="0"/>
              </w:rPr>
              <w:t xml:space="preserve"> </w:t>
            </w:r>
            <w:proofErr w:type="spellStart"/>
            <w:r w:rsidRPr="00BC1485">
              <w:rPr>
                <w:rFonts w:cs="Arial"/>
                <w:b w:val="0"/>
                <w:bCs w:val="0"/>
              </w:rPr>
              <w:t>dividends</w:t>
            </w:r>
            <w:proofErr w:type="spellEnd"/>
          </w:p>
        </w:tc>
        <w:tc>
          <w:tcPr>
            <w:tcW w:w="1504" w:type="dxa"/>
            <w:tcBorders>
              <w:top w:val="nil"/>
              <w:left w:val="nil"/>
              <w:bottom w:val="nil"/>
              <w:right w:val="nil"/>
            </w:tcBorders>
            <w:shd w:val="clear" w:color="auto" w:fill="FFFFFF" w:themeFill="background1"/>
            <w:vAlign w:val="center"/>
          </w:tcPr>
          <w:p w14:paraId="62C14F26" w14:textId="77777777" w:rsidR="006D0C37" w:rsidRPr="005868FC" w:rsidRDefault="006D0C37">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8F2A20">
              <w:rPr>
                <w:rFonts w:cs="Arial"/>
                <w:color w:val="000000"/>
                <w:szCs w:val="14"/>
              </w:rPr>
              <w:t>26</w:t>
            </w:r>
          </w:p>
        </w:tc>
        <w:tc>
          <w:tcPr>
            <w:tcW w:w="1505" w:type="dxa"/>
            <w:tcBorders>
              <w:top w:val="nil"/>
              <w:left w:val="nil"/>
              <w:bottom w:val="nil"/>
              <w:right w:val="nil"/>
            </w:tcBorders>
            <w:shd w:val="clear" w:color="auto" w:fill="FFFFFF" w:themeFill="background1"/>
            <w:vAlign w:val="center"/>
          </w:tcPr>
          <w:p w14:paraId="2D063DE5"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5868FC">
              <w:rPr>
                <w:rFonts w:cs="Arial"/>
                <w:szCs w:val="14"/>
                <w:lang w:eastAsia="en-US"/>
              </w:rPr>
              <w:t>72</w:t>
            </w:r>
          </w:p>
        </w:tc>
      </w:tr>
      <w:tr w:rsidR="006D0C37" w:rsidRPr="00733B61" w14:paraId="4752426F" w14:textId="77777777" w:rsidTr="00485E6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73566A84" w14:textId="77777777" w:rsidR="006D0C37" w:rsidRPr="00733B61" w:rsidRDefault="006D0C37">
            <w:pPr>
              <w:pStyle w:val="08-Tabelageral"/>
              <w:jc w:val="left"/>
              <w:rPr>
                <w:rFonts w:cs="Arial"/>
                <w:highlight w:val="yellow"/>
                <w:lang w:eastAsia="en-US"/>
              </w:rPr>
            </w:pPr>
            <w:r w:rsidRPr="00BC1485">
              <w:rPr>
                <w:rFonts w:cs="Arial"/>
                <w:b w:val="0"/>
                <w:lang w:eastAsia="en-US"/>
              </w:rPr>
              <w:t xml:space="preserve">(8) - </w:t>
            </w:r>
            <w:proofErr w:type="spellStart"/>
            <w:r w:rsidRPr="00BC1485">
              <w:rPr>
                <w:rFonts w:cs="Arial"/>
                <w:b w:val="0"/>
                <w:lang w:eastAsia="en-US"/>
              </w:rPr>
              <w:t>Dividends</w:t>
            </w:r>
            <w:proofErr w:type="spellEnd"/>
            <w:r w:rsidRPr="00BC1485">
              <w:rPr>
                <w:rFonts w:cs="Arial"/>
                <w:b w:val="0"/>
                <w:lang w:eastAsia="en-US"/>
              </w:rPr>
              <w:t xml:space="preserve"> </w:t>
            </w:r>
            <w:proofErr w:type="spellStart"/>
            <w:r w:rsidRPr="00BC1485">
              <w:rPr>
                <w:rFonts w:cs="Arial"/>
                <w:b w:val="0"/>
                <w:lang w:eastAsia="en-US"/>
              </w:rPr>
              <w:t>paid</w:t>
            </w:r>
            <w:proofErr w:type="spellEnd"/>
          </w:p>
        </w:tc>
        <w:tc>
          <w:tcPr>
            <w:tcW w:w="1504" w:type="dxa"/>
            <w:tcBorders>
              <w:top w:val="nil"/>
              <w:left w:val="nil"/>
              <w:bottom w:val="nil"/>
              <w:right w:val="nil"/>
            </w:tcBorders>
            <w:shd w:val="clear" w:color="auto" w:fill="FFFFFF" w:themeFill="background1"/>
            <w:vAlign w:val="center"/>
          </w:tcPr>
          <w:p w14:paraId="55413ACB" w14:textId="77777777" w:rsidR="006D0C37" w:rsidRPr="005868FC" w:rsidRDefault="006D0C37">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8F2A20">
              <w:rPr>
                <w:rFonts w:cs="Arial"/>
                <w:color w:val="000000"/>
                <w:szCs w:val="14"/>
              </w:rPr>
              <w:t xml:space="preserve"> 2</w:t>
            </w:r>
            <w:r>
              <w:rPr>
                <w:rFonts w:cs="Arial"/>
                <w:color w:val="000000"/>
                <w:szCs w:val="14"/>
              </w:rPr>
              <w:t>,</w:t>
            </w:r>
            <w:r w:rsidRPr="008F2A20">
              <w:rPr>
                <w:rFonts w:cs="Arial"/>
                <w:color w:val="000000"/>
                <w:szCs w:val="14"/>
              </w:rPr>
              <w:t>700</w:t>
            </w:r>
            <w:r>
              <w:rPr>
                <w:rFonts w:cs="Arial"/>
                <w:color w:val="000000"/>
                <w:szCs w:val="14"/>
              </w:rPr>
              <w:t>,</w:t>
            </w:r>
            <w:r w:rsidRPr="008F2A20">
              <w:rPr>
                <w:rFonts w:cs="Arial"/>
                <w:color w:val="000000"/>
                <w:szCs w:val="14"/>
              </w:rPr>
              <w:t xml:space="preserve">012 </w:t>
            </w:r>
          </w:p>
        </w:tc>
        <w:tc>
          <w:tcPr>
            <w:tcW w:w="1505" w:type="dxa"/>
            <w:tcBorders>
              <w:top w:val="nil"/>
              <w:left w:val="nil"/>
              <w:bottom w:val="nil"/>
              <w:right w:val="nil"/>
            </w:tcBorders>
            <w:shd w:val="clear" w:color="auto" w:fill="FFFFFF" w:themeFill="background1"/>
            <w:vAlign w:val="center"/>
          </w:tcPr>
          <w:p w14:paraId="42796CDD" w14:textId="77777777" w:rsidR="006D0C37" w:rsidRPr="005868FC" w:rsidRDefault="006D0C37">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5868FC">
              <w:rPr>
                <w:rFonts w:cs="Arial"/>
                <w:szCs w:val="14"/>
                <w:lang w:eastAsia="en-US"/>
              </w:rPr>
              <w:t>3,210,050</w:t>
            </w:r>
          </w:p>
        </w:tc>
      </w:tr>
      <w:tr w:rsidR="006D0C37" w:rsidRPr="00733B61" w14:paraId="736A6C4C" w14:textId="77777777" w:rsidTr="00485E64">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single" w:sz="2" w:space="0" w:color="1F3864" w:themeColor="accent1" w:themeShade="80"/>
              <w:right w:val="nil"/>
            </w:tcBorders>
            <w:shd w:val="clear" w:color="auto" w:fill="FFFFFF" w:themeFill="background1"/>
            <w:hideMark/>
          </w:tcPr>
          <w:p w14:paraId="39CB8899" w14:textId="77777777" w:rsidR="006D0C37" w:rsidRPr="00733B61" w:rsidRDefault="006D0C37">
            <w:pPr>
              <w:pStyle w:val="08-Tabelageral"/>
              <w:jc w:val="left"/>
              <w:rPr>
                <w:rFonts w:cs="Arial"/>
                <w:bCs w:val="0"/>
                <w:highlight w:val="yellow"/>
                <w:lang w:eastAsia="en-US"/>
              </w:rPr>
            </w:pPr>
            <w:r w:rsidRPr="00BC1485">
              <w:rPr>
                <w:rFonts w:cs="Arial"/>
                <w:bCs w:val="0"/>
                <w:lang w:eastAsia="en-US"/>
              </w:rPr>
              <w:t xml:space="preserve">(=) </w:t>
            </w:r>
            <w:proofErr w:type="spellStart"/>
            <w:r w:rsidRPr="00BC1485">
              <w:rPr>
                <w:rFonts w:cs="Arial"/>
                <w:bCs w:val="0"/>
                <w:lang w:eastAsia="en-US"/>
              </w:rPr>
              <w:t>Dividends</w:t>
            </w:r>
            <w:proofErr w:type="spellEnd"/>
            <w:r w:rsidRPr="00BC1485">
              <w:rPr>
                <w:rFonts w:cs="Arial"/>
                <w:bCs w:val="0"/>
                <w:lang w:eastAsia="en-US"/>
              </w:rPr>
              <w:t xml:space="preserve"> </w:t>
            </w:r>
            <w:proofErr w:type="spellStart"/>
            <w:r w:rsidRPr="00BC1485">
              <w:rPr>
                <w:rFonts w:cs="Arial"/>
                <w:bCs w:val="0"/>
                <w:lang w:eastAsia="en-US"/>
              </w:rPr>
              <w:t>payable</w:t>
            </w:r>
            <w:proofErr w:type="spellEnd"/>
            <w:r w:rsidRPr="00BC1485">
              <w:rPr>
                <w:rFonts w:cs="Arial"/>
                <w:bCs w:val="0"/>
                <w:lang w:eastAsia="en-US"/>
              </w:rPr>
              <w:t xml:space="preserve"> (6+7-8)</w:t>
            </w:r>
          </w:p>
        </w:tc>
        <w:tc>
          <w:tcPr>
            <w:tcW w:w="1504" w:type="dxa"/>
            <w:tcBorders>
              <w:top w:val="nil"/>
              <w:left w:val="nil"/>
              <w:bottom w:val="single" w:sz="2" w:space="0" w:color="1F3864" w:themeColor="accent1" w:themeShade="80"/>
              <w:right w:val="nil"/>
            </w:tcBorders>
            <w:shd w:val="clear" w:color="auto" w:fill="FFFFFF" w:themeFill="background1"/>
            <w:vAlign w:val="center"/>
          </w:tcPr>
          <w:p w14:paraId="50441B1D"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8F2A20">
              <w:rPr>
                <w:rFonts w:cs="Arial"/>
                <w:b/>
                <w:bCs/>
                <w:color w:val="000000"/>
                <w:szCs w:val="14"/>
              </w:rPr>
              <w:t xml:space="preserve">    4</w:t>
            </w:r>
            <w:r>
              <w:rPr>
                <w:rFonts w:cs="Arial"/>
                <w:b/>
                <w:bCs/>
                <w:color w:val="000000"/>
                <w:szCs w:val="14"/>
              </w:rPr>
              <w:t>,</w:t>
            </w:r>
            <w:r w:rsidRPr="008F2A20">
              <w:rPr>
                <w:rFonts w:cs="Arial"/>
                <w:b/>
                <w:bCs/>
                <w:color w:val="000000"/>
                <w:szCs w:val="14"/>
              </w:rPr>
              <w:t>411</w:t>
            </w:r>
            <w:r>
              <w:rPr>
                <w:rFonts w:cs="Arial"/>
                <w:b/>
                <w:bCs/>
                <w:color w:val="000000"/>
                <w:szCs w:val="14"/>
              </w:rPr>
              <w:t>,</w:t>
            </w:r>
            <w:r w:rsidRPr="008F2A20">
              <w:rPr>
                <w:rFonts w:cs="Arial"/>
                <w:b/>
                <w:bCs/>
                <w:color w:val="000000"/>
                <w:szCs w:val="14"/>
              </w:rPr>
              <w:t xml:space="preserve">014 </w:t>
            </w:r>
          </w:p>
        </w:tc>
        <w:tc>
          <w:tcPr>
            <w:tcW w:w="1505" w:type="dxa"/>
            <w:tcBorders>
              <w:top w:val="nil"/>
              <w:left w:val="nil"/>
              <w:bottom w:val="single" w:sz="2" w:space="0" w:color="1F3864" w:themeColor="accent1" w:themeShade="80"/>
              <w:right w:val="nil"/>
            </w:tcBorders>
            <w:shd w:val="clear" w:color="auto" w:fill="FFFFFF" w:themeFill="background1"/>
            <w:vAlign w:val="center"/>
          </w:tcPr>
          <w:p w14:paraId="5FD116F4" w14:textId="77777777" w:rsidR="006D0C37" w:rsidRPr="005868FC" w:rsidRDefault="006D0C37">
            <w:pPr>
              <w:pStyle w:val="08-Tabelageral"/>
              <w:cnfStyle w:val="000000010000" w:firstRow="0" w:lastRow="0" w:firstColumn="0" w:lastColumn="0" w:oddVBand="0" w:evenVBand="0" w:oddHBand="0" w:evenHBand="1" w:firstRowFirstColumn="0" w:firstRowLastColumn="0" w:lastRowFirstColumn="0" w:lastRowLastColumn="0"/>
              <w:rPr>
                <w:b/>
                <w:lang w:eastAsia="en-US"/>
              </w:rPr>
            </w:pPr>
            <w:r w:rsidRPr="005868FC">
              <w:rPr>
                <w:rFonts w:cs="Arial"/>
                <w:b/>
                <w:szCs w:val="14"/>
                <w:lang w:eastAsia="en-US"/>
              </w:rPr>
              <w:t>2,455,022</w:t>
            </w:r>
          </w:p>
        </w:tc>
      </w:tr>
    </w:tbl>
    <w:p w14:paraId="54C9A1C2" w14:textId="77777777" w:rsidR="006D0C37" w:rsidRPr="001A25C7" w:rsidRDefault="006D0C37" w:rsidP="00781F9F">
      <w:pPr>
        <w:pStyle w:val="PargrafodaLista"/>
        <w:numPr>
          <w:ilvl w:val="0"/>
          <w:numId w:val="51"/>
        </w:numPr>
        <w:spacing w:before="40" w:after="0" w:line="240" w:lineRule="auto"/>
        <w:ind w:left="284" w:hanging="284"/>
        <w:jc w:val="both"/>
        <w:rPr>
          <w:rFonts w:ascii="Arial" w:hAnsi="Arial" w:cs="Arial"/>
          <w:sz w:val="14"/>
          <w:szCs w:val="14"/>
          <w:lang w:val="en-US"/>
        </w:rPr>
      </w:pPr>
      <w:r w:rsidRPr="000A2317">
        <w:rPr>
          <w:rFonts w:ascii="Arial" w:eastAsia="Times New Roman" w:hAnsi="Arial" w:cs="Times New Roman"/>
          <w:spacing w:val="-2"/>
          <w:sz w:val="14"/>
          <w:szCs w:val="18"/>
          <w:lang w:val="en-US" w:eastAsia="pt-BR"/>
        </w:rPr>
        <w:t xml:space="preserve">In the 2023 fiscal year, the net profit distributed does not include the amounts related to accumulated profits arising from the initial adoption of CPC 48 and </w:t>
      </w:r>
      <w:proofErr w:type="gramStart"/>
      <w:r w:rsidRPr="000A2317">
        <w:rPr>
          <w:rFonts w:ascii="Arial" w:eastAsia="Times New Roman" w:hAnsi="Arial" w:cs="Times New Roman"/>
          <w:spacing w:val="-2"/>
          <w:sz w:val="14"/>
          <w:szCs w:val="18"/>
          <w:lang w:val="en-US" w:eastAsia="pt-BR"/>
        </w:rPr>
        <w:t>50,</w:t>
      </w:r>
      <w:proofErr w:type="gramEnd"/>
      <w:r w:rsidRPr="000A2317">
        <w:rPr>
          <w:rFonts w:ascii="Arial" w:eastAsia="Times New Roman" w:hAnsi="Arial" w:cs="Times New Roman"/>
          <w:spacing w:val="-2"/>
          <w:sz w:val="14"/>
          <w:szCs w:val="18"/>
          <w:lang w:val="en-US" w:eastAsia="pt-BR"/>
        </w:rPr>
        <w:t xml:space="preserve"> of R$ 635,574 thousand.</w:t>
      </w:r>
    </w:p>
    <w:p w14:paraId="564F7CF2" w14:textId="77777777" w:rsidR="006D0C37" w:rsidRPr="006C4448" w:rsidRDefault="006D0C37" w:rsidP="006D0C37">
      <w:pPr>
        <w:pStyle w:val="01-Textonormal"/>
        <w:rPr>
          <w:rStyle w:val="rynqvb"/>
          <w:lang w:val="en"/>
        </w:rPr>
      </w:pPr>
      <w:bookmarkStart w:id="116" w:name="_Hlk149646813"/>
      <w:r w:rsidRPr="006C4448">
        <w:rPr>
          <w:rStyle w:val="rynqvb"/>
          <w:lang w:val="en"/>
        </w:rPr>
        <w:t xml:space="preserve">BB </w:t>
      </w:r>
      <w:proofErr w:type="spellStart"/>
      <w:r w:rsidRPr="006C4448">
        <w:rPr>
          <w:rStyle w:val="rynqvb"/>
          <w:lang w:val="en"/>
        </w:rPr>
        <w:t>Seguridade</w:t>
      </w:r>
      <w:proofErr w:type="spellEnd"/>
      <w:r w:rsidRPr="006C4448">
        <w:rPr>
          <w:rStyle w:val="rynqvb"/>
          <w:lang w:val="en"/>
        </w:rPr>
        <w:t xml:space="preserve"> has a Dividend Policy, available on the Investor Relations website, and this Policy is revised at least every three years, or, extraordinarily, at any time, and submitted to the Board of Directors for approval, with the last one occurring on </w:t>
      </w:r>
      <w:r>
        <w:rPr>
          <w:rStyle w:val="rynqvb"/>
          <w:lang w:val="en"/>
        </w:rPr>
        <w:t xml:space="preserve">May 27, </w:t>
      </w:r>
      <w:r w:rsidRPr="006C4448">
        <w:rPr>
          <w:rStyle w:val="rynqvb"/>
          <w:lang w:val="en"/>
        </w:rPr>
        <w:t>2022.</w:t>
      </w:r>
    </w:p>
    <w:p w14:paraId="42793837" w14:textId="27431F26" w:rsidR="006D0C37" w:rsidRPr="00D71BC1" w:rsidRDefault="006D0C37" w:rsidP="006D0C37">
      <w:pPr>
        <w:pStyle w:val="01-Textonormal"/>
        <w:rPr>
          <w:lang w:val="en-US"/>
        </w:rPr>
      </w:pPr>
      <w:r w:rsidRPr="00347D7C">
        <w:rPr>
          <w:lang w:val="en"/>
        </w:rPr>
        <w:t xml:space="preserve">BB </w:t>
      </w:r>
      <w:proofErr w:type="spellStart"/>
      <w:r w:rsidRPr="00347D7C">
        <w:rPr>
          <w:lang w:val="en"/>
        </w:rPr>
        <w:t>Seguridade</w:t>
      </w:r>
      <w:proofErr w:type="spellEnd"/>
      <w:r w:rsidRPr="00347D7C">
        <w:rPr>
          <w:lang w:val="en"/>
        </w:rPr>
        <w:t xml:space="preserve"> paid, in February 2024, the amount of R$ 2,455,000 thousand in dividends referring to the profit for the </w:t>
      </w:r>
      <w:r w:rsidR="000D5517">
        <w:rPr>
          <w:lang w:val="en"/>
        </w:rPr>
        <w:br/>
      </w:r>
      <w:r w:rsidRPr="00347D7C">
        <w:rPr>
          <w:lang w:val="en"/>
        </w:rPr>
        <w:t xml:space="preserve">2nd semester/2023, </w:t>
      </w:r>
      <w:r>
        <w:rPr>
          <w:lang w:val="en"/>
        </w:rPr>
        <w:t>and</w:t>
      </w:r>
      <w:r w:rsidRPr="00347D7C">
        <w:rPr>
          <w:lang w:val="en"/>
        </w:rPr>
        <w:t xml:space="preserve"> R$ 22 thousand in prescribed dividends, as approved by the Board of Directors on 12/15/2023. </w:t>
      </w:r>
      <w:r w:rsidRPr="00D71BC1">
        <w:rPr>
          <w:lang w:val="en-US"/>
        </w:rPr>
        <w:t>On these values, R$ 38,377 thousand of monetary adjustment was applied, using the Selic rate, totaling R$ 2,493,399 thousand.</w:t>
      </w:r>
    </w:p>
    <w:p w14:paraId="3F6E69D3" w14:textId="77777777" w:rsidR="006D0C37" w:rsidRDefault="006D0C37" w:rsidP="006D0C37">
      <w:pPr>
        <w:pStyle w:val="01-Textonormal"/>
        <w:rPr>
          <w:lang w:val="en"/>
        </w:rPr>
      </w:pPr>
      <w:r w:rsidRPr="00D71BC1">
        <w:rPr>
          <w:lang w:val="en"/>
        </w:rPr>
        <w:t xml:space="preserve">On 08/30/2024, BB </w:t>
      </w:r>
      <w:proofErr w:type="spellStart"/>
      <w:r w:rsidRPr="00D71BC1">
        <w:rPr>
          <w:lang w:val="en"/>
        </w:rPr>
        <w:t>Seguridade</w:t>
      </w:r>
      <w:proofErr w:type="spellEnd"/>
      <w:r w:rsidRPr="00D71BC1">
        <w:rPr>
          <w:lang w:val="en"/>
        </w:rPr>
        <w:t xml:space="preserve"> paid R$ 2,700,000 thousand in interim dividends referring to the profit for the 1st half of 2024 and R$ 12 thousand in dividends prescribed in the period, as approved by the Board of Directors of BB </w:t>
      </w:r>
      <w:proofErr w:type="spellStart"/>
      <w:r w:rsidRPr="00D71BC1">
        <w:rPr>
          <w:lang w:val="en"/>
        </w:rPr>
        <w:t>Seguridade</w:t>
      </w:r>
      <w:proofErr w:type="spellEnd"/>
      <w:r w:rsidRPr="00D71BC1">
        <w:rPr>
          <w:lang w:val="en"/>
        </w:rPr>
        <w:t xml:space="preserve"> on 06/21/2024.</w:t>
      </w:r>
    </w:p>
    <w:p w14:paraId="09DEA750" w14:textId="52F54B15" w:rsidR="006D0C37" w:rsidRPr="00317067" w:rsidRDefault="006D0C37" w:rsidP="006D0C37">
      <w:pPr>
        <w:pStyle w:val="01-Textonormal"/>
        <w:rPr>
          <w:lang w:val="en"/>
        </w:rPr>
      </w:pPr>
      <w:r w:rsidRPr="00317067">
        <w:rPr>
          <w:lang w:val="en"/>
        </w:rPr>
        <w:t>On December 20, 2024, the Board of Directors approved, in addition to the interim dividends relating to the profit for the first half of 2024 (R$</w:t>
      </w:r>
      <w:r w:rsidR="00EB3728">
        <w:rPr>
          <w:lang w:val="en"/>
        </w:rPr>
        <w:t xml:space="preserve"> </w:t>
      </w:r>
      <w:r w:rsidRPr="00317067">
        <w:rPr>
          <w:lang w:val="en"/>
        </w:rPr>
        <w:t>2,700,000 thousand), the distribution of R$</w:t>
      </w:r>
      <w:r w:rsidR="00EB3728">
        <w:rPr>
          <w:lang w:val="en"/>
        </w:rPr>
        <w:t xml:space="preserve"> </w:t>
      </w:r>
      <w:r w:rsidRPr="00317067">
        <w:rPr>
          <w:lang w:val="en"/>
        </w:rPr>
        <w:t>4,411,000 thousand, thus adding up to R$</w:t>
      </w:r>
      <w:r w:rsidR="00EB3728">
        <w:rPr>
          <w:lang w:val="en"/>
        </w:rPr>
        <w:t xml:space="preserve"> </w:t>
      </w:r>
      <w:r w:rsidRPr="00317067">
        <w:rPr>
          <w:lang w:val="en"/>
        </w:rPr>
        <w:t>7,111,000 thousand in dividends on the profit for the year; and R$14 thousand in prescribed dividends in the second half, totaling R$</w:t>
      </w:r>
      <w:r w:rsidR="00EB3728">
        <w:rPr>
          <w:lang w:val="en"/>
        </w:rPr>
        <w:t xml:space="preserve"> </w:t>
      </w:r>
      <w:r w:rsidRPr="00317067">
        <w:rPr>
          <w:lang w:val="en"/>
        </w:rPr>
        <w:t>26 thousand in prescribed dividends for the year (R$</w:t>
      </w:r>
      <w:r w:rsidR="00EB3728">
        <w:rPr>
          <w:lang w:val="en"/>
        </w:rPr>
        <w:t xml:space="preserve"> </w:t>
      </w:r>
      <w:r w:rsidRPr="00317067">
        <w:rPr>
          <w:lang w:val="en"/>
        </w:rPr>
        <w:t>12 thousand relating to the first half).</w:t>
      </w:r>
    </w:p>
    <w:p w14:paraId="54EE6A7B" w14:textId="39D3E847" w:rsidR="006D0C37" w:rsidRPr="00F55DD0" w:rsidRDefault="006D0C37" w:rsidP="009C17F3">
      <w:pPr>
        <w:pStyle w:val="01-Textonormal"/>
        <w:keepNext/>
        <w:rPr>
          <w:b/>
          <w:color w:val="1F3864" w:themeColor="accent1" w:themeShade="80"/>
        </w:rPr>
      </w:pPr>
      <w:r>
        <w:rPr>
          <w:b/>
          <w:color w:val="1F3864" w:themeColor="accent1" w:themeShade="80"/>
        </w:rPr>
        <w:lastRenderedPageBreak/>
        <w:t>b</w:t>
      </w:r>
      <w:r w:rsidRPr="00F55DD0">
        <w:rPr>
          <w:b/>
          <w:color w:val="1F3864" w:themeColor="accent1" w:themeShade="80"/>
        </w:rPr>
        <w:t xml:space="preserve">.1) </w:t>
      </w:r>
      <w:proofErr w:type="spellStart"/>
      <w:r w:rsidRPr="00F55DD0">
        <w:rPr>
          <w:b/>
          <w:color w:val="1F3864" w:themeColor="accent1" w:themeShade="80"/>
        </w:rPr>
        <w:t>Dividends</w:t>
      </w:r>
      <w:proofErr w:type="spellEnd"/>
      <w:r w:rsidRPr="00F55DD0">
        <w:rPr>
          <w:b/>
          <w:color w:val="1F3864" w:themeColor="accent1" w:themeShade="80"/>
        </w:rPr>
        <w:t xml:space="preserve"> per </w:t>
      </w:r>
      <w:proofErr w:type="spellStart"/>
      <w:r w:rsidRPr="00F55DD0">
        <w:rPr>
          <w:b/>
          <w:color w:val="1F3864" w:themeColor="accent1" w:themeShade="80"/>
        </w:rPr>
        <w:t>Share</w:t>
      </w:r>
      <w:proofErr w:type="spellEnd"/>
    </w:p>
    <w:tbl>
      <w:tblPr>
        <w:tblStyle w:val="TabeladeLista6Colorida-nfase5"/>
        <w:tblW w:w="9639" w:type="dxa"/>
        <w:jc w:val="center"/>
        <w:tblLayout w:type="fixed"/>
        <w:tblLook w:val="04A0" w:firstRow="1" w:lastRow="0" w:firstColumn="1" w:lastColumn="0" w:noHBand="0" w:noVBand="1"/>
      </w:tblPr>
      <w:tblGrid>
        <w:gridCol w:w="831"/>
        <w:gridCol w:w="1122"/>
        <w:gridCol w:w="996"/>
        <w:gridCol w:w="257"/>
        <w:gridCol w:w="1115"/>
        <w:gridCol w:w="952"/>
        <w:gridCol w:w="162"/>
        <w:gridCol w:w="88"/>
        <w:gridCol w:w="174"/>
        <w:gridCol w:w="946"/>
        <w:gridCol w:w="954"/>
        <w:gridCol w:w="57"/>
        <w:gridCol w:w="1057"/>
        <w:gridCol w:w="928"/>
      </w:tblGrid>
      <w:tr w:rsidR="006D0C37" w:rsidRPr="00044EE6" w14:paraId="77B7AD7A" w14:textId="77777777">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831" w:type="dxa"/>
            <w:tcBorders>
              <w:top w:val="single" w:sz="2" w:space="0" w:color="1F3864" w:themeColor="accent1" w:themeShade="80"/>
              <w:left w:val="nil"/>
              <w:bottom w:val="single" w:sz="2" w:space="0" w:color="9CC2E5" w:themeColor="accent5" w:themeTint="99"/>
              <w:right w:val="nil"/>
            </w:tcBorders>
            <w:shd w:val="clear" w:color="auto" w:fill="auto"/>
            <w:vAlign w:val="center"/>
          </w:tcPr>
          <w:p w14:paraId="5977C99F" w14:textId="77777777" w:rsidR="006D0C37" w:rsidRPr="00044EE6" w:rsidRDefault="006D0C37">
            <w:pPr>
              <w:pStyle w:val="08-Tabelageral"/>
              <w:jc w:val="center"/>
              <w:rPr>
                <w:b w:val="0"/>
                <w:highlight w:val="yellow"/>
                <w:lang w:eastAsia="en-US"/>
              </w:rPr>
            </w:pPr>
          </w:p>
        </w:tc>
        <w:tc>
          <w:tcPr>
            <w:tcW w:w="211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37EC9E7" w14:textId="77777777" w:rsidR="006D0C37" w:rsidRPr="00044EE6" w:rsidRDefault="006D0C37">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2</w:t>
            </w:r>
            <w:r w:rsidRPr="00373371">
              <w:rPr>
                <w:rFonts w:cs="Arial"/>
                <w:kern w:val="2"/>
                <w:szCs w:val="14"/>
                <w:vertAlign w:val="superscript"/>
                <w:lang w:eastAsia="en-US"/>
              </w:rPr>
              <w:t>nd</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202</w:t>
            </w:r>
            <w:r>
              <w:rPr>
                <w:rFonts w:cs="Arial"/>
                <w:kern w:val="2"/>
                <w:szCs w:val="14"/>
                <w:lang w:eastAsia="en-US"/>
              </w:rPr>
              <w:t>4</w:t>
            </w:r>
          </w:p>
        </w:tc>
        <w:tc>
          <w:tcPr>
            <w:tcW w:w="2486" w:type="dxa"/>
            <w:gridSpan w:val="4"/>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2148766" w14:textId="77777777" w:rsidR="006D0C37" w:rsidRPr="00044EE6" w:rsidRDefault="006D0C37">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1</w:t>
            </w:r>
            <w:r w:rsidRPr="00373371">
              <w:rPr>
                <w:rFonts w:cs="Arial"/>
                <w:kern w:val="2"/>
                <w:szCs w:val="14"/>
                <w:vertAlign w:val="superscript"/>
                <w:lang w:eastAsia="en-US"/>
              </w:rPr>
              <w:t xml:space="preserve">st </w:t>
            </w:r>
            <w:r w:rsidRPr="00BC1485">
              <w:rPr>
                <w:rFonts w:cs="Arial"/>
                <w:kern w:val="2"/>
                <w:szCs w:val="14"/>
                <w:lang w:eastAsia="en-US"/>
              </w:rPr>
              <w:t>Half</w:t>
            </w:r>
            <w:r>
              <w:rPr>
                <w:rFonts w:cs="Arial"/>
                <w:kern w:val="2"/>
                <w:szCs w:val="14"/>
                <w:lang w:eastAsia="en-US"/>
              </w:rPr>
              <w:t xml:space="preserve"> 2</w:t>
            </w:r>
            <w:r w:rsidRPr="00BC1485">
              <w:rPr>
                <w:rFonts w:cs="Arial"/>
                <w:kern w:val="2"/>
                <w:szCs w:val="14"/>
                <w:lang w:eastAsia="en-US"/>
              </w:rPr>
              <w:t>02</w:t>
            </w:r>
            <w:r>
              <w:rPr>
                <w:rFonts w:cs="Arial"/>
                <w:kern w:val="2"/>
                <w:szCs w:val="14"/>
                <w:lang w:eastAsia="en-US"/>
              </w:rPr>
              <w:t>4</w:t>
            </w:r>
          </w:p>
        </w:tc>
        <w:tc>
          <w:tcPr>
            <w:tcW w:w="262" w:type="dxa"/>
            <w:gridSpan w:val="2"/>
            <w:tcBorders>
              <w:top w:val="single" w:sz="2" w:space="0" w:color="1F3864" w:themeColor="accent1" w:themeShade="80"/>
              <w:left w:val="nil"/>
              <w:bottom w:val="nil"/>
              <w:right w:val="nil"/>
            </w:tcBorders>
            <w:shd w:val="clear" w:color="auto" w:fill="auto"/>
          </w:tcPr>
          <w:p w14:paraId="389B1DC9" w14:textId="77777777" w:rsidR="006D0C37" w:rsidRPr="00044EE6" w:rsidRDefault="006D0C37">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p>
        </w:tc>
        <w:tc>
          <w:tcPr>
            <w:tcW w:w="1957" w:type="dxa"/>
            <w:gridSpan w:val="3"/>
            <w:tcBorders>
              <w:top w:val="single" w:sz="2" w:space="0" w:color="1F3864" w:themeColor="accent1" w:themeShade="80"/>
              <w:left w:val="nil"/>
              <w:bottom w:val="single" w:sz="2" w:space="0" w:color="9CC2E5" w:themeColor="accent5" w:themeTint="99"/>
              <w:right w:val="nil"/>
            </w:tcBorders>
            <w:shd w:val="clear" w:color="auto" w:fill="auto"/>
            <w:hideMark/>
          </w:tcPr>
          <w:p w14:paraId="31D277AB" w14:textId="77777777" w:rsidR="006D0C37" w:rsidRPr="00044EE6" w:rsidRDefault="006D0C37">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2</w:t>
            </w:r>
            <w:r w:rsidRPr="00373371">
              <w:rPr>
                <w:rFonts w:cs="Arial"/>
                <w:kern w:val="2"/>
                <w:szCs w:val="14"/>
                <w:vertAlign w:val="superscript"/>
                <w:lang w:eastAsia="en-US"/>
              </w:rPr>
              <w:t>nd</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23</w:t>
            </w:r>
          </w:p>
        </w:tc>
        <w:tc>
          <w:tcPr>
            <w:tcW w:w="1985" w:type="dxa"/>
            <w:gridSpan w:val="2"/>
            <w:tcBorders>
              <w:top w:val="single" w:sz="2" w:space="0" w:color="1F3864" w:themeColor="accent1" w:themeShade="80"/>
              <w:left w:val="nil"/>
              <w:bottom w:val="nil"/>
              <w:right w:val="nil"/>
            </w:tcBorders>
            <w:shd w:val="clear" w:color="auto" w:fill="auto"/>
            <w:hideMark/>
          </w:tcPr>
          <w:p w14:paraId="7245B82E" w14:textId="77777777" w:rsidR="006D0C37" w:rsidRPr="00044EE6" w:rsidRDefault="006D0C37">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highlight w:val="yellow"/>
                <w:lang w:eastAsia="en-US"/>
              </w:rPr>
            </w:pPr>
            <w:r w:rsidRPr="00BC1485">
              <w:rPr>
                <w:rFonts w:cs="Arial"/>
                <w:kern w:val="2"/>
                <w:szCs w:val="14"/>
                <w:lang w:eastAsia="en-US"/>
              </w:rPr>
              <w:t>1</w:t>
            </w:r>
            <w:r w:rsidRPr="00373371">
              <w:rPr>
                <w:rFonts w:cs="Arial"/>
                <w:kern w:val="2"/>
                <w:szCs w:val="14"/>
                <w:vertAlign w:val="superscript"/>
                <w:lang w:eastAsia="en-US"/>
              </w:rPr>
              <w:t>st</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23</w:t>
            </w:r>
          </w:p>
        </w:tc>
      </w:tr>
      <w:tr w:rsidR="006D0C37" w14:paraId="5CA2A258" w14:textId="77777777">
        <w:trPr>
          <w:cnfStyle w:val="000000100000" w:firstRow="0" w:lastRow="0" w:firstColumn="0" w:lastColumn="0" w:oddVBand="0" w:evenVBand="0" w:oddHBand="1" w:evenHBand="0" w:firstRowFirstColumn="0" w:firstRowLastColumn="0" w:lastRowFirstColumn="0" w:lastRowLastColumn="0"/>
          <w:trHeight w:hRule="exact" w:val="545"/>
          <w:jc w:val="center"/>
        </w:trPr>
        <w:tc>
          <w:tcPr>
            <w:cnfStyle w:val="001000000000" w:firstRow="0" w:lastRow="0" w:firstColumn="1" w:lastColumn="0" w:oddVBand="0" w:evenVBand="0" w:oddHBand="0" w:evenHBand="0" w:firstRowFirstColumn="0" w:firstRowLastColumn="0" w:lastRowFirstColumn="0" w:lastRowLastColumn="0"/>
            <w:tcW w:w="831" w:type="dxa"/>
            <w:tcBorders>
              <w:top w:val="single" w:sz="2" w:space="0" w:color="1F3864" w:themeColor="accent1" w:themeShade="80"/>
              <w:left w:val="nil"/>
              <w:bottom w:val="single" w:sz="2" w:space="0" w:color="1F3864" w:themeColor="accent1" w:themeShade="80"/>
              <w:right w:val="nil"/>
            </w:tcBorders>
            <w:shd w:val="clear" w:color="auto" w:fill="auto"/>
            <w:hideMark/>
          </w:tcPr>
          <w:p w14:paraId="5C870965" w14:textId="77777777" w:rsidR="006D0C37" w:rsidRPr="00051BD1" w:rsidRDefault="006D0C37">
            <w:pPr>
              <w:pStyle w:val="08-Tabelageral"/>
              <w:jc w:val="left"/>
              <w:rPr>
                <w:b w:val="0"/>
                <w:lang w:eastAsia="en-US"/>
              </w:rPr>
            </w:pPr>
          </w:p>
        </w:tc>
        <w:tc>
          <w:tcPr>
            <w:tcW w:w="11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3804D12"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99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197C2A"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25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BD1BD1"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1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E1027C"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95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29158F"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250" w:type="dxa"/>
            <w:gridSpan w:val="2"/>
            <w:tcBorders>
              <w:top w:val="single" w:sz="2" w:space="0" w:color="1F3864" w:themeColor="accent1" w:themeShade="80"/>
              <w:left w:val="nil"/>
              <w:bottom w:val="single" w:sz="2" w:space="0" w:color="1F3864" w:themeColor="accent1" w:themeShade="80"/>
              <w:right w:val="nil"/>
            </w:tcBorders>
            <w:shd w:val="clear" w:color="auto" w:fill="auto"/>
          </w:tcPr>
          <w:p w14:paraId="2B2CBF81"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12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EBB8650"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954"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2B1C8BB9"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1114"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128F7FA"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Thousand)</w:t>
            </w:r>
          </w:p>
        </w:tc>
        <w:tc>
          <w:tcPr>
            <w:tcW w:w="928"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BBDD50A" w14:textId="77777777" w:rsidR="006D0C37" w:rsidRPr="00051BD1" w:rsidRDefault="006D0C37">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r>
      <w:tr w:rsidR="006D0C37" w14:paraId="4AA0E24E" w14:textId="77777777">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831" w:type="dxa"/>
            <w:tcBorders>
              <w:top w:val="single" w:sz="2" w:space="0" w:color="1F3864" w:themeColor="accent1" w:themeShade="80"/>
              <w:left w:val="nil"/>
              <w:bottom w:val="single" w:sz="2" w:space="0" w:color="1F3864" w:themeColor="accent1" w:themeShade="80"/>
              <w:right w:val="nil"/>
            </w:tcBorders>
            <w:shd w:val="clear" w:color="auto" w:fill="auto"/>
          </w:tcPr>
          <w:p w14:paraId="663AFAC5" w14:textId="77777777" w:rsidR="006D0C37" w:rsidRPr="00051BD1" w:rsidRDefault="006D0C37">
            <w:pPr>
              <w:pStyle w:val="08-Tabelageral"/>
              <w:jc w:val="left"/>
              <w:rPr>
                <w:lang w:eastAsia="en-US"/>
              </w:rPr>
            </w:pPr>
            <w:r w:rsidRPr="00051BD1">
              <w:rPr>
                <w:b w:val="0"/>
                <w:lang w:eastAsia="en-US"/>
              </w:rPr>
              <w:t>Dividendos</w:t>
            </w:r>
          </w:p>
        </w:tc>
        <w:tc>
          <w:tcPr>
            <w:tcW w:w="112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B35631"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4,411,014</w:t>
            </w:r>
          </w:p>
        </w:tc>
        <w:tc>
          <w:tcPr>
            <w:tcW w:w="99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DFE94F5"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2.2723</w:t>
            </w:r>
          </w:p>
        </w:tc>
        <w:tc>
          <w:tcPr>
            <w:tcW w:w="25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A537EC"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1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5F2610"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2,700,012</w:t>
            </w:r>
          </w:p>
        </w:tc>
        <w:tc>
          <w:tcPr>
            <w:tcW w:w="95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43F8AC"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1.3909</w:t>
            </w:r>
          </w:p>
        </w:tc>
        <w:tc>
          <w:tcPr>
            <w:tcW w:w="250" w:type="dxa"/>
            <w:gridSpan w:val="2"/>
            <w:tcBorders>
              <w:top w:val="single" w:sz="2" w:space="0" w:color="1F3864" w:themeColor="accent1" w:themeShade="80"/>
              <w:left w:val="nil"/>
              <w:bottom w:val="single" w:sz="2" w:space="0" w:color="1F3864" w:themeColor="accent1" w:themeShade="80"/>
              <w:right w:val="nil"/>
            </w:tcBorders>
            <w:shd w:val="clear" w:color="auto" w:fill="auto"/>
          </w:tcPr>
          <w:p w14:paraId="0AA7B58E"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12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5EECBE9C"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051BD1">
              <w:rPr>
                <w:lang w:eastAsia="en-US"/>
              </w:rPr>
              <w:t>2</w:t>
            </w:r>
            <w:r>
              <w:rPr>
                <w:lang w:eastAsia="en-US"/>
              </w:rPr>
              <w:t>,</w:t>
            </w:r>
            <w:r w:rsidRPr="00051BD1">
              <w:rPr>
                <w:lang w:eastAsia="en-US"/>
              </w:rPr>
              <w:t>455</w:t>
            </w:r>
            <w:r>
              <w:rPr>
                <w:lang w:eastAsia="en-US"/>
              </w:rPr>
              <w:t>,</w:t>
            </w:r>
            <w:r w:rsidRPr="00051BD1">
              <w:rPr>
                <w:lang w:eastAsia="en-US"/>
              </w:rPr>
              <w:t>022</w:t>
            </w:r>
          </w:p>
        </w:tc>
        <w:tc>
          <w:tcPr>
            <w:tcW w:w="95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593F16"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051BD1">
              <w:rPr>
                <w:lang w:eastAsia="en-US"/>
              </w:rPr>
              <w:t>1.2419</w:t>
            </w:r>
          </w:p>
        </w:tc>
        <w:tc>
          <w:tcPr>
            <w:tcW w:w="1114"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69D615B7"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051BD1">
              <w:rPr>
                <w:lang w:eastAsia="en-US"/>
              </w:rPr>
              <w:t>3</w:t>
            </w:r>
            <w:r>
              <w:rPr>
                <w:lang w:eastAsia="en-US"/>
              </w:rPr>
              <w:t>,</w:t>
            </w:r>
            <w:r w:rsidRPr="00051BD1">
              <w:rPr>
                <w:lang w:eastAsia="en-US"/>
              </w:rPr>
              <w:t>210</w:t>
            </w:r>
            <w:r>
              <w:rPr>
                <w:lang w:eastAsia="en-US"/>
              </w:rPr>
              <w:t>,</w:t>
            </w:r>
            <w:r w:rsidRPr="00051BD1">
              <w:rPr>
                <w:lang w:eastAsia="en-US"/>
              </w:rPr>
              <w:t>050</w:t>
            </w:r>
          </w:p>
        </w:tc>
        <w:tc>
          <w:tcPr>
            <w:tcW w:w="92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0C0ECE" w14:textId="77777777" w:rsidR="006D0C37" w:rsidRPr="00051BD1" w:rsidRDefault="006D0C37">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051BD1">
              <w:rPr>
                <w:lang w:eastAsia="en-US"/>
              </w:rPr>
              <w:t>1.6076</w:t>
            </w:r>
          </w:p>
        </w:tc>
      </w:tr>
    </w:tbl>
    <w:p w14:paraId="1916B2A4" w14:textId="77777777" w:rsidR="006D0C37" w:rsidRPr="00D71BC1" w:rsidRDefault="006D0C37" w:rsidP="006D0C37">
      <w:pPr>
        <w:pStyle w:val="01-Textonormal"/>
        <w:rPr>
          <w:lang w:val="en"/>
        </w:rPr>
      </w:pPr>
    </w:p>
    <w:bookmarkEnd w:id="116"/>
    <w:p w14:paraId="16CFEB10" w14:textId="77777777" w:rsidR="006D0C37" w:rsidRPr="00E621E1" w:rsidRDefault="006D0C37" w:rsidP="006D0C37">
      <w:pPr>
        <w:pStyle w:val="03-SubttulodeNota"/>
        <w:rPr>
          <w:color w:val="1F3864" w:themeColor="accent1" w:themeShade="80"/>
          <w:sz w:val="18"/>
          <w:szCs w:val="18"/>
          <w:lang w:val="en-US"/>
        </w:rPr>
      </w:pPr>
      <w:r>
        <w:rPr>
          <w:color w:val="1F3864" w:themeColor="accent1" w:themeShade="80"/>
          <w:sz w:val="18"/>
          <w:szCs w:val="18"/>
          <w:lang w:val="en-US"/>
        </w:rPr>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6D0C37" w:rsidRPr="005A7A8D" w14:paraId="50916F9B" w14:textId="77777777">
        <w:trPr>
          <w:trHeight w:val="238"/>
        </w:trPr>
        <w:tc>
          <w:tcPr>
            <w:tcW w:w="5006" w:type="dxa"/>
            <w:vMerge w:val="restart"/>
            <w:tcBorders>
              <w:top w:val="single" w:sz="2" w:space="0" w:color="1F3864" w:themeColor="accent1" w:themeShade="80"/>
              <w:bottom w:val="nil"/>
            </w:tcBorders>
            <w:shd w:val="clear" w:color="auto" w:fill="auto"/>
          </w:tcPr>
          <w:p w14:paraId="4179821B" w14:textId="77777777" w:rsidR="006D0C37" w:rsidRPr="00F4659C" w:rsidRDefault="006D0C37">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shd w:val="clear" w:color="auto" w:fill="auto"/>
            <w:vAlign w:val="center"/>
          </w:tcPr>
          <w:p w14:paraId="6D810F9C" w14:textId="77777777" w:rsidR="006D0C37" w:rsidRPr="001A25C7" w:rsidRDefault="006D0C37">
            <w:pPr>
              <w:pStyle w:val="08-Tabelageral"/>
              <w:ind w:left="-443" w:firstLine="443"/>
              <w:jc w:val="center"/>
              <w:rPr>
                <w:b/>
                <w:bCs/>
              </w:rPr>
            </w:pPr>
            <w:r w:rsidRPr="001A25C7">
              <w:rPr>
                <w:rFonts w:cs="Arial"/>
                <w:b/>
                <w:bCs/>
                <w:szCs w:val="14"/>
                <w:lang w:val="en-US"/>
              </w:rPr>
              <w:t>Dec 31, 2024</w:t>
            </w:r>
          </w:p>
        </w:tc>
        <w:tc>
          <w:tcPr>
            <w:tcW w:w="2491" w:type="dxa"/>
            <w:gridSpan w:val="4"/>
            <w:tcBorders>
              <w:top w:val="single" w:sz="2" w:space="0" w:color="1F3864" w:themeColor="accent1" w:themeShade="80"/>
              <w:bottom w:val="nil"/>
            </w:tcBorders>
            <w:shd w:val="clear" w:color="auto" w:fill="auto"/>
            <w:vAlign w:val="center"/>
          </w:tcPr>
          <w:p w14:paraId="0B40D0A8" w14:textId="77777777" w:rsidR="006D0C37" w:rsidRPr="00F4659C" w:rsidRDefault="006D0C37">
            <w:pPr>
              <w:pStyle w:val="08-Tabelageral"/>
              <w:ind w:left="-443" w:firstLine="443"/>
              <w:jc w:val="center"/>
              <w:rPr>
                <w:b/>
                <w:bCs/>
              </w:rPr>
            </w:pPr>
            <w:r w:rsidRPr="00F4659C">
              <w:rPr>
                <w:rFonts w:cs="Arial"/>
                <w:b/>
                <w:bCs/>
                <w:szCs w:val="14"/>
                <w:lang w:val="en-US"/>
              </w:rPr>
              <w:t>Dec 31, 2023</w:t>
            </w:r>
          </w:p>
        </w:tc>
      </w:tr>
      <w:tr w:rsidR="006D0C37" w:rsidRPr="005A7A8D" w14:paraId="6C7B425C" w14:textId="77777777">
        <w:trPr>
          <w:trHeight w:val="238"/>
        </w:trPr>
        <w:tc>
          <w:tcPr>
            <w:tcW w:w="5006" w:type="dxa"/>
            <w:vMerge/>
            <w:tcBorders>
              <w:top w:val="nil"/>
              <w:bottom w:val="single" w:sz="2" w:space="0" w:color="1F3864" w:themeColor="accent1" w:themeShade="80"/>
            </w:tcBorders>
            <w:shd w:val="clear" w:color="auto" w:fill="auto"/>
          </w:tcPr>
          <w:p w14:paraId="76737E73" w14:textId="77777777" w:rsidR="006D0C37" w:rsidRPr="005A7A8D" w:rsidRDefault="006D0C37">
            <w:pPr>
              <w:pStyle w:val="08-Tabelageral"/>
              <w:rPr>
                <w:b/>
              </w:rPr>
            </w:pPr>
          </w:p>
        </w:tc>
        <w:tc>
          <w:tcPr>
            <w:tcW w:w="1373" w:type="dxa"/>
            <w:tcBorders>
              <w:top w:val="single" w:sz="2" w:space="0" w:color="1F3864" w:themeColor="accent1" w:themeShade="80"/>
              <w:bottom w:val="single" w:sz="2" w:space="0" w:color="1F3864" w:themeColor="accent1" w:themeShade="80"/>
            </w:tcBorders>
            <w:shd w:val="clear" w:color="auto" w:fill="auto"/>
            <w:vAlign w:val="center"/>
          </w:tcPr>
          <w:p w14:paraId="47C6E642" w14:textId="77777777" w:rsidR="006D0C37" w:rsidRPr="005A7A8D" w:rsidRDefault="006D0C37">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shd w:val="clear" w:color="auto" w:fill="auto"/>
            <w:vAlign w:val="center"/>
          </w:tcPr>
          <w:p w14:paraId="347C3BC8" w14:textId="77777777" w:rsidR="006D0C37" w:rsidRPr="005A7A8D" w:rsidRDefault="006D0C37">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shd w:val="clear" w:color="auto" w:fill="auto"/>
            <w:vAlign w:val="center"/>
          </w:tcPr>
          <w:p w14:paraId="1D0E3E47" w14:textId="77777777" w:rsidR="006D0C37" w:rsidRPr="005A7A8D" w:rsidRDefault="006D0C37">
            <w:pPr>
              <w:pStyle w:val="08-Tabelageral"/>
              <w:jc w:val="center"/>
              <w:rPr>
                <w:b/>
              </w:rPr>
            </w:pPr>
          </w:p>
        </w:tc>
        <w:tc>
          <w:tcPr>
            <w:tcW w:w="1247" w:type="dxa"/>
            <w:tcBorders>
              <w:top w:val="single" w:sz="2" w:space="0" w:color="1F3864" w:themeColor="accent1" w:themeShade="80"/>
              <w:bottom w:val="single" w:sz="2" w:space="0" w:color="1F3864" w:themeColor="accent1" w:themeShade="80"/>
            </w:tcBorders>
            <w:shd w:val="clear" w:color="auto" w:fill="auto"/>
            <w:vAlign w:val="center"/>
          </w:tcPr>
          <w:p w14:paraId="4677DC5F" w14:textId="77777777" w:rsidR="006D0C37" w:rsidRPr="005A7A8D" w:rsidRDefault="006D0C37">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shd w:val="clear" w:color="auto" w:fill="auto"/>
            <w:vAlign w:val="center"/>
          </w:tcPr>
          <w:p w14:paraId="7F4DF349" w14:textId="77777777" w:rsidR="006D0C37" w:rsidRPr="005A7A8D" w:rsidRDefault="006D0C37">
            <w:pPr>
              <w:pStyle w:val="08-Tabelageral"/>
              <w:jc w:val="center"/>
              <w:rPr>
                <w:rFonts w:cs="Arial"/>
                <w:b/>
                <w:bCs/>
                <w:kern w:val="2"/>
                <w:szCs w:val="14"/>
              </w:rPr>
            </w:pPr>
            <w:r w:rsidRPr="005A7A8D">
              <w:rPr>
                <w:rFonts w:cs="Arial"/>
                <w:b/>
                <w:bCs/>
                <w:kern w:val="2"/>
                <w:szCs w:val="14"/>
              </w:rPr>
              <w:t>% Total</w:t>
            </w:r>
          </w:p>
        </w:tc>
      </w:tr>
      <w:tr w:rsidR="006D0C37" w:rsidRPr="005A7A8D" w14:paraId="29EAC4BA" w14:textId="77777777">
        <w:trPr>
          <w:trHeight w:val="238"/>
        </w:trPr>
        <w:tc>
          <w:tcPr>
            <w:tcW w:w="5006" w:type="dxa"/>
            <w:tcBorders>
              <w:top w:val="single" w:sz="2" w:space="0" w:color="1F3864" w:themeColor="accent1" w:themeShade="80"/>
              <w:bottom w:val="nil"/>
            </w:tcBorders>
            <w:shd w:val="clear" w:color="auto" w:fill="auto"/>
          </w:tcPr>
          <w:p w14:paraId="4FADB397" w14:textId="77777777" w:rsidR="006D0C37" w:rsidRPr="005A7A8D" w:rsidRDefault="006D0C37">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shd w:val="clear" w:color="auto" w:fill="auto"/>
            <w:vAlign w:val="bottom"/>
          </w:tcPr>
          <w:p w14:paraId="55CF7E8C" w14:textId="77777777" w:rsidR="006D0C37" w:rsidRPr="008B4696" w:rsidRDefault="006D0C37">
            <w:pPr>
              <w:pStyle w:val="08-Tabelageral"/>
              <w:ind w:left="113"/>
            </w:pPr>
            <w:r w:rsidRPr="001D5CEB">
              <w:t>1</w:t>
            </w:r>
            <w:r>
              <w:t>,</w:t>
            </w:r>
            <w:r w:rsidRPr="001D5CEB">
              <w:t>325</w:t>
            </w:r>
            <w:r>
              <w:t>,</w:t>
            </w:r>
            <w:r w:rsidRPr="001D5CEB">
              <w:t>000</w:t>
            </w:r>
            <w:r>
              <w:t>,</w:t>
            </w:r>
            <w:r w:rsidRPr="001D5CEB">
              <w:t>000</w:t>
            </w:r>
          </w:p>
        </w:tc>
        <w:tc>
          <w:tcPr>
            <w:tcW w:w="769" w:type="dxa"/>
            <w:tcBorders>
              <w:top w:val="single" w:sz="2" w:space="0" w:color="1F3864" w:themeColor="accent1" w:themeShade="80"/>
            </w:tcBorders>
            <w:shd w:val="clear" w:color="auto" w:fill="auto"/>
            <w:vAlign w:val="bottom"/>
          </w:tcPr>
          <w:p w14:paraId="1436A0C5" w14:textId="77777777" w:rsidR="006D0C37" w:rsidRPr="008B4696" w:rsidRDefault="006D0C37">
            <w:pPr>
              <w:pStyle w:val="08-Tabelageral"/>
              <w:ind w:left="113"/>
            </w:pPr>
            <w:r>
              <w:t>66.25</w:t>
            </w:r>
          </w:p>
        </w:tc>
        <w:tc>
          <w:tcPr>
            <w:tcW w:w="338" w:type="dxa"/>
            <w:tcBorders>
              <w:top w:val="single" w:sz="2" w:space="0" w:color="1F3864" w:themeColor="accent1" w:themeShade="80"/>
            </w:tcBorders>
            <w:shd w:val="clear" w:color="auto" w:fill="auto"/>
            <w:vAlign w:val="center"/>
          </w:tcPr>
          <w:p w14:paraId="0EC26C3A" w14:textId="77777777" w:rsidR="006D0C37" w:rsidRPr="005A7A8D" w:rsidRDefault="006D0C37">
            <w:pPr>
              <w:pStyle w:val="08-Tabelageral"/>
            </w:pPr>
          </w:p>
        </w:tc>
        <w:tc>
          <w:tcPr>
            <w:tcW w:w="1277" w:type="dxa"/>
            <w:gridSpan w:val="2"/>
            <w:tcBorders>
              <w:top w:val="single" w:sz="2" w:space="0" w:color="1F3864" w:themeColor="accent1" w:themeShade="80"/>
            </w:tcBorders>
            <w:shd w:val="clear" w:color="auto" w:fill="auto"/>
          </w:tcPr>
          <w:p w14:paraId="53BEAB8F" w14:textId="77777777" w:rsidR="006D0C37" w:rsidRPr="005A7A8D" w:rsidRDefault="006D0C37">
            <w:pPr>
              <w:pStyle w:val="08-Tabelageral"/>
              <w:ind w:left="113"/>
              <w:rPr>
                <w:rFonts w:cs="Arial"/>
                <w:szCs w:val="14"/>
              </w:rPr>
            </w:pPr>
            <w:r w:rsidRPr="001D5CEB">
              <w:t>1</w:t>
            </w:r>
            <w:r>
              <w:t>,</w:t>
            </w:r>
            <w:r w:rsidRPr="001D5CEB">
              <w:t>325</w:t>
            </w:r>
            <w:r>
              <w:t>,</w:t>
            </w:r>
            <w:r w:rsidRPr="001D5CEB">
              <w:t>000</w:t>
            </w:r>
            <w:r>
              <w:t>,</w:t>
            </w:r>
            <w:r w:rsidRPr="001D5CEB">
              <w:t>000</w:t>
            </w:r>
          </w:p>
        </w:tc>
        <w:tc>
          <w:tcPr>
            <w:tcW w:w="876" w:type="dxa"/>
            <w:tcBorders>
              <w:top w:val="single" w:sz="2" w:space="0" w:color="1F3864" w:themeColor="accent1" w:themeShade="80"/>
            </w:tcBorders>
            <w:shd w:val="clear" w:color="auto" w:fill="auto"/>
          </w:tcPr>
          <w:p w14:paraId="54C87985" w14:textId="77777777" w:rsidR="006D0C37" w:rsidRPr="005A7A8D" w:rsidRDefault="006D0C37">
            <w:pPr>
              <w:pStyle w:val="08-Tabelageral"/>
              <w:ind w:left="113"/>
              <w:rPr>
                <w:rFonts w:cs="Arial"/>
                <w:szCs w:val="14"/>
              </w:rPr>
            </w:pPr>
            <w:r w:rsidRPr="001D5CEB">
              <w:t>66</w:t>
            </w:r>
            <w:r>
              <w:t>.</w:t>
            </w:r>
            <w:r w:rsidRPr="001D5CEB">
              <w:t>25</w:t>
            </w:r>
          </w:p>
        </w:tc>
      </w:tr>
      <w:tr w:rsidR="006D0C37" w:rsidRPr="005A7A8D" w14:paraId="570C931F" w14:textId="77777777">
        <w:trPr>
          <w:trHeight w:val="60"/>
        </w:trPr>
        <w:tc>
          <w:tcPr>
            <w:tcW w:w="5006" w:type="dxa"/>
            <w:tcBorders>
              <w:top w:val="nil"/>
            </w:tcBorders>
            <w:shd w:val="clear" w:color="auto" w:fill="auto"/>
          </w:tcPr>
          <w:p w14:paraId="2E89CC24" w14:textId="77777777" w:rsidR="006D0C37" w:rsidRPr="005A7A8D" w:rsidRDefault="006D0C37">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shd w:val="clear" w:color="auto" w:fill="auto"/>
            <w:vAlign w:val="bottom"/>
          </w:tcPr>
          <w:p w14:paraId="7769603C" w14:textId="77777777" w:rsidR="006D0C37" w:rsidRPr="00A651EF" w:rsidRDefault="006D0C37">
            <w:pPr>
              <w:pStyle w:val="08-Tabelageral"/>
              <w:ind w:left="113"/>
            </w:pPr>
            <w:r w:rsidRPr="00843433">
              <w:t>616</w:t>
            </w:r>
            <w:r>
              <w:t>,</w:t>
            </w:r>
            <w:r w:rsidRPr="00843433">
              <w:t>186</w:t>
            </w:r>
            <w:r>
              <w:t>,</w:t>
            </w:r>
            <w:r w:rsidRPr="00843433">
              <w:t>019</w:t>
            </w:r>
          </w:p>
        </w:tc>
        <w:tc>
          <w:tcPr>
            <w:tcW w:w="769" w:type="dxa"/>
            <w:shd w:val="clear" w:color="auto" w:fill="auto"/>
            <w:vAlign w:val="bottom"/>
          </w:tcPr>
          <w:p w14:paraId="209DD1DD" w14:textId="77777777" w:rsidR="006D0C37" w:rsidRPr="00A651EF" w:rsidRDefault="006D0C37">
            <w:pPr>
              <w:pStyle w:val="08-Tabelageral"/>
              <w:ind w:left="113"/>
            </w:pPr>
            <w:r>
              <w:t>30.81</w:t>
            </w:r>
          </w:p>
        </w:tc>
        <w:tc>
          <w:tcPr>
            <w:tcW w:w="338" w:type="dxa"/>
            <w:shd w:val="clear" w:color="auto" w:fill="auto"/>
            <w:vAlign w:val="center"/>
          </w:tcPr>
          <w:p w14:paraId="6188CCB2" w14:textId="77777777" w:rsidR="006D0C37" w:rsidRPr="005A7A8D" w:rsidRDefault="006D0C37">
            <w:pPr>
              <w:pStyle w:val="08-Tabelageral"/>
            </w:pPr>
          </w:p>
        </w:tc>
        <w:tc>
          <w:tcPr>
            <w:tcW w:w="1277" w:type="dxa"/>
            <w:gridSpan w:val="2"/>
            <w:shd w:val="clear" w:color="auto" w:fill="auto"/>
          </w:tcPr>
          <w:p w14:paraId="5821B875" w14:textId="77777777" w:rsidR="006D0C37" w:rsidRPr="005A7A8D" w:rsidRDefault="006D0C37">
            <w:pPr>
              <w:pStyle w:val="08-Tabelageral"/>
              <w:ind w:left="113"/>
              <w:rPr>
                <w:rFonts w:cs="Arial"/>
                <w:szCs w:val="14"/>
              </w:rPr>
            </w:pPr>
            <w:r w:rsidRPr="001D5CEB">
              <w:t>651</w:t>
            </w:r>
            <w:r>
              <w:t>,</w:t>
            </w:r>
            <w:r w:rsidRPr="001D5CEB">
              <w:t>866</w:t>
            </w:r>
            <w:r>
              <w:t>,</w:t>
            </w:r>
            <w:r w:rsidRPr="001D5CEB">
              <w:t>668</w:t>
            </w:r>
          </w:p>
        </w:tc>
        <w:tc>
          <w:tcPr>
            <w:tcW w:w="876" w:type="dxa"/>
            <w:shd w:val="clear" w:color="auto" w:fill="auto"/>
          </w:tcPr>
          <w:p w14:paraId="20AE3AA5" w14:textId="77777777" w:rsidR="006D0C37" w:rsidRPr="005A7A8D" w:rsidRDefault="006D0C37">
            <w:pPr>
              <w:pStyle w:val="08-Tabelageral"/>
              <w:ind w:left="113"/>
              <w:rPr>
                <w:rFonts w:cs="Arial"/>
                <w:szCs w:val="14"/>
              </w:rPr>
            </w:pPr>
            <w:r w:rsidRPr="001D5CEB">
              <w:t>32</w:t>
            </w:r>
            <w:r>
              <w:t>.</w:t>
            </w:r>
            <w:r w:rsidRPr="001D5CEB">
              <w:t>59</w:t>
            </w:r>
          </w:p>
        </w:tc>
      </w:tr>
      <w:tr w:rsidR="006D0C37" w:rsidRPr="005A7A8D" w14:paraId="4EE34CF5" w14:textId="77777777">
        <w:trPr>
          <w:trHeight w:val="238"/>
        </w:trPr>
        <w:tc>
          <w:tcPr>
            <w:tcW w:w="5006" w:type="dxa"/>
            <w:shd w:val="clear" w:color="auto" w:fill="auto"/>
          </w:tcPr>
          <w:p w14:paraId="1874FB88" w14:textId="77777777" w:rsidR="006D0C37" w:rsidRPr="005A7A8D" w:rsidRDefault="006D0C37">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shd w:val="clear" w:color="auto" w:fill="auto"/>
            <w:vAlign w:val="bottom"/>
          </w:tcPr>
          <w:p w14:paraId="5AE26021" w14:textId="77777777" w:rsidR="006D0C37" w:rsidRPr="005A7A8D" w:rsidRDefault="006D0C37">
            <w:pPr>
              <w:pStyle w:val="08-Tabelageral"/>
              <w:ind w:left="113"/>
            </w:pPr>
            <w:r w:rsidRPr="00843433">
              <w:t>58</w:t>
            </w:r>
            <w:r>
              <w:t>,</w:t>
            </w:r>
            <w:r w:rsidRPr="00843433">
              <w:t>813</w:t>
            </w:r>
            <w:r>
              <w:t>,</w:t>
            </w:r>
            <w:r w:rsidRPr="00843433">
              <w:t>981</w:t>
            </w:r>
          </w:p>
        </w:tc>
        <w:tc>
          <w:tcPr>
            <w:tcW w:w="769" w:type="dxa"/>
            <w:shd w:val="clear" w:color="auto" w:fill="auto"/>
            <w:vAlign w:val="bottom"/>
          </w:tcPr>
          <w:p w14:paraId="398EB605" w14:textId="77777777" w:rsidR="006D0C37" w:rsidRPr="005A7A8D" w:rsidRDefault="006D0C37">
            <w:pPr>
              <w:pStyle w:val="08-Tabelageral"/>
              <w:ind w:left="113"/>
            </w:pPr>
            <w:r>
              <w:t>2.94</w:t>
            </w:r>
          </w:p>
        </w:tc>
        <w:tc>
          <w:tcPr>
            <w:tcW w:w="338" w:type="dxa"/>
            <w:shd w:val="clear" w:color="auto" w:fill="auto"/>
            <w:vAlign w:val="center"/>
          </w:tcPr>
          <w:p w14:paraId="32E9A41A" w14:textId="77777777" w:rsidR="006D0C37" w:rsidRPr="005A7A8D" w:rsidRDefault="006D0C37">
            <w:pPr>
              <w:pStyle w:val="08-Tabelageral"/>
            </w:pPr>
          </w:p>
        </w:tc>
        <w:tc>
          <w:tcPr>
            <w:tcW w:w="1277" w:type="dxa"/>
            <w:gridSpan w:val="2"/>
            <w:shd w:val="clear" w:color="auto" w:fill="auto"/>
          </w:tcPr>
          <w:p w14:paraId="48493B75" w14:textId="77777777" w:rsidR="006D0C37" w:rsidRPr="005A7A8D" w:rsidRDefault="006D0C37">
            <w:pPr>
              <w:pStyle w:val="08-Tabelageral"/>
              <w:ind w:left="113"/>
              <w:rPr>
                <w:rFonts w:cs="Arial"/>
                <w:szCs w:val="14"/>
              </w:rPr>
            </w:pPr>
            <w:r w:rsidRPr="001D5CEB">
              <w:t>23</w:t>
            </w:r>
            <w:r>
              <w:t>,</w:t>
            </w:r>
            <w:r w:rsidRPr="001D5CEB">
              <w:t>133</w:t>
            </w:r>
            <w:r>
              <w:t>,</w:t>
            </w:r>
            <w:r w:rsidRPr="001D5CEB">
              <w:t>332</w:t>
            </w:r>
          </w:p>
        </w:tc>
        <w:tc>
          <w:tcPr>
            <w:tcW w:w="876" w:type="dxa"/>
            <w:shd w:val="clear" w:color="auto" w:fill="auto"/>
          </w:tcPr>
          <w:p w14:paraId="3C7AD251" w14:textId="77777777" w:rsidR="006D0C37" w:rsidRPr="005A7A8D" w:rsidRDefault="006D0C37">
            <w:pPr>
              <w:pStyle w:val="08-Tabelageral"/>
              <w:ind w:left="113"/>
              <w:rPr>
                <w:rFonts w:cs="Arial"/>
                <w:szCs w:val="14"/>
              </w:rPr>
            </w:pPr>
            <w:r w:rsidRPr="001D5CEB">
              <w:t>1</w:t>
            </w:r>
            <w:r>
              <w:t>.</w:t>
            </w:r>
            <w:r w:rsidRPr="001D5CEB">
              <w:t>16</w:t>
            </w:r>
          </w:p>
        </w:tc>
      </w:tr>
      <w:tr w:rsidR="006D0C37" w:rsidRPr="005A7A8D" w14:paraId="3CD6472A" w14:textId="77777777">
        <w:trPr>
          <w:trHeight w:val="238"/>
        </w:trPr>
        <w:tc>
          <w:tcPr>
            <w:tcW w:w="5006" w:type="dxa"/>
            <w:shd w:val="clear" w:color="auto" w:fill="auto"/>
          </w:tcPr>
          <w:p w14:paraId="010C438D" w14:textId="77777777" w:rsidR="006D0C37" w:rsidRPr="005A7A8D" w:rsidRDefault="006D0C37">
            <w:pPr>
              <w:pStyle w:val="070-TabelaPadro"/>
              <w:jc w:val="left"/>
              <w:rPr>
                <w:b/>
              </w:rPr>
            </w:pPr>
            <w:r w:rsidRPr="005A7A8D">
              <w:rPr>
                <w:b/>
              </w:rPr>
              <w:t>Total</w:t>
            </w:r>
          </w:p>
        </w:tc>
        <w:tc>
          <w:tcPr>
            <w:tcW w:w="1373" w:type="dxa"/>
            <w:shd w:val="clear" w:color="auto" w:fill="auto"/>
          </w:tcPr>
          <w:p w14:paraId="4E8824F4" w14:textId="77777777" w:rsidR="006D0C37" w:rsidRPr="00B56B53" w:rsidRDefault="006D0C37">
            <w:pPr>
              <w:pStyle w:val="08-Tabelageral"/>
              <w:ind w:left="113"/>
              <w:rPr>
                <w:b/>
              </w:rPr>
            </w:pPr>
            <w:r w:rsidRPr="005D4359">
              <w:rPr>
                <w:b/>
                <w:bCs/>
              </w:rPr>
              <w:t>2</w:t>
            </w:r>
            <w:r>
              <w:rPr>
                <w:b/>
                <w:bCs/>
              </w:rPr>
              <w:t>,</w:t>
            </w:r>
            <w:r w:rsidRPr="005D4359">
              <w:rPr>
                <w:b/>
                <w:bCs/>
              </w:rPr>
              <w:t>000</w:t>
            </w:r>
            <w:r>
              <w:rPr>
                <w:b/>
                <w:bCs/>
              </w:rPr>
              <w:t>,</w:t>
            </w:r>
            <w:r w:rsidRPr="005D4359">
              <w:rPr>
                <w:b/>
                <w:bCs/>
              </w:rPr>
              <w:t>000</w:t>
            </w:r>
            <w:r>
              <w:rPr>
                <w:b/>
                <w:bCs/>
              </w:rPr>
              <w:t>,</w:t>
            </w:r>
            <w:r w:rsidRPr="005D4359">
              <w:rPr>
                <w:b/>
                <w:bCs/>
              </w:rPr>
              <w:t>000</w:t>
            </w:r>
          </w:p>
        </w:tc>
        <w:tc>
          <w:tcPr>
            <w:tcW w:w="769" w:type="dxa"/>
            <w:shd w:val="clear" w:color="auto" w:fill="auto"/>
          </w:tcPr>
          <w:p w14:paraId="57FE8F57" w14:textId="77777777" w:rsidR="006D0C37" w:rsidRPr="00B56B53" w:rsidRDefault="006D0C37">
            <w:pPr>
              <w:pStyle w:val="08-Tabelageral"/>
              <w:ind w:left="113"/>
              <w:rPr>
                <w:b/>
              </w:rPr>
            </w:pPr>
            <w:r w:rsidRPr="005D4359">
              <w:rPr>
                <w:b/>
                <w:bCs/>
              </w:rPr>
              <w:t>100</w:t>
            </w:r>
            <w:r>
              <w:rPr>
                <w:b/>
                <w:bCs/>
              </w:rPr>
              <w:t>.</w:t>
            </w:r>
            <w:r w:rsidRPr="005D4359">
              <w:rPr>
                <w:b/>
                <w:bCs/>
              </w:rPr>
              <w:t>00</w:t>
            </w:r>
          </w:p>
        </w:tc>
        <w:tc>
          <w:tcPr>
            <w:tcW w:w="338" w:type="dxa"/>
            <w:shd w:val="clear" w:color="auto" w:fill="auto"/>
            <w:vAlign w:val="center"/>
          </w:tcPr>
          <w:p w14:paraId="5BCDD4B8" w14:textId="77777777" w:rsidR="006D0C37" w:rsidRPr="00B56B53" w:rsidRDefault="006D0C37">
            <w:pPr>
              <w:pStyle w:val="08-Tabelageral"/>
              <w:rPr>
                <w:b/>
              </w:rPr>
            </w:pPr>
          </w:p>
        </w:tc>
        <w:tc>
          <w:tcPr>
            <w:tcW w:w="1277" w:type="dxa"/>
            <w:gridSpan w:val="2"/>
            <w:shd w:val="clear" w:color="auto" w:fill="auto"/>
          </w:tcPr>
          <w:p w14:paraId="02668811" w14:textId="77777777" w:rsidR="006D0C37" w:rsidRPr="005D4359" w:rsidRDefault="006D0C37">
            <w:pPr>
              <w:pStyle w:val="08-Tabelageral"/>
              <w:ind w:left="113"/>
              <w:rPr>
                <w:rFonts w:cs="Arial"/>
                <w:b/>
                <w:bCs/>
                <w:szCs w:val="14"/>
              </w:rPr>
            </w:pPr>
            <w:r w:rsidRPr="005D4359">
              <w:rPr>
                <w:b/>
                <w:bCs/>
              </w:rPr>
              <w:t>2</w:t>
            </w:r>
            <w:r>
              <w:rPr>
                <w:b/>
                <w:bCs/>
              </w:rPr>
              <w:t>,</w:t>
            </w:r>
            <w:r w:rsidRPr="005D4359">
              <w:rPr>
                <w:b/>
                <w:bCs/>
              </w:rPr>
              <w:t>000</w:t>
            </w:r>
            <w:r>
              <w:rPr>
                <w:b/>
                <w:bCs/>
              </w:rPr>
              <w:t>,</w:t>
            </w:r>
            <w:r w:rsidRPr="005D4359">
              <w:rPr>
                <w:b/>
                <w:bCs/>
              </w:rPr>
              <w:t>000</w:t>
            </w:r>
            <w:r>
              <w:rPr>
                <w:b/>
                <w:bCs/>
              </w:rPr>
              <w:t>,</w:t>
            </w:r>
            <w:r w:rsidRPr="005D4359">
              <w:rPr>
                <w:b/>
                <w:bCs/>
              </w:rPr>
              <w:t>000</w:t>
            </w:r>
          </w:p>
        </w:tc>
        <w:tc>
          <w:tcPr>
            <w:tcW w:w="876" w:type="dxa"/>
            <w:shd w:val="clear" w:color="auto" w:fill="auto"/>
          </w:tcPr>
          <w:p w14:paraId="327E92E6" w14:textId="77777777" w:rsidR="006D0C37" w:rsidRPr="005D4359" w:rsidRDefault="006D0C37">
            <w:pPr>
              <w:pStyle w:val="08-Tabelageral"/>
              <w:ind w:left="113"/>
              <w:rPr>
                <w:rFonts w:cs="Arial"/>
                <w:b/>
                <w:bCs/>
                <w:szCs w:val="14"/>
              </w:rPr>
            </w:pPr>
            <w:r w:rsidRPr="005D4359">
              <w:rPr>
                <w:b/>
                <w:bCs/>
              </w:rPr>
              <w:t>100</w:t>
            </w:r>
            <w:r>
              <w:rPr>
                <w:b/>
                <w:bCs/>
              </w:rPr>
              <w:t>.</w:t>
            </w:r>
            <w:r w:rsidRPr="005D4359">
              <w:rPr>
                <w:b/>
                <w:bCs/>
              </w:rPr>
              <w:t>00</w:t>
            </w:r>
          </w:p>
        </w:tc>
      </w:tr>
      <w:tr w:rsidR="006D0C37" w:rsidRPr="005A7A8D" w14:paraId="4C93E605" w14:textId="77777777">
        <w:trPr>
          <w:trHeight w:val="238"/>
        </w:trPr>
        <w:tc>
          <w:tcPr>
            <w:tcW w:w="5006" w:type="dxa"/>
            <w:tcBorders>
              <w:bottom w:val="nil"/>
            </w:tcBorders>
            <w:shd w:val="clear" w:color="auto" w:fill="auto"/>
          </w:tcPr>
          <w:p w14:paraId="0374FD4A" w14:textId="77777777" w:rsidR="006D0C37" w:rsidRPr="005A7A8D" w:rsidRDefault="006D0C37">
            <w:pPr>
              <w:pStyle w:val="070-TabelaPadro"/>
              <w:ind w:left="113"/>
              <w:jc w:val="left"/>
            </w:pPr>
            <w:proofErr w:type="spellStart"/>
            <w:r w:rsidRPr="008057C9">
              <w:rPr>
                <w:rFonts w:cs="Arial"/>
                <w:szCs w:val="14"/>
              </w:rPr>
              <w:t>Locals</w:t>
            </w:r>
            <w:proofErr w:type="spellEnd"/>
          </w:p>
        </w:tc>
        <w:tc>
          <w:tcPr>
            <w:tcW w:w="1373" w:type="dxa"/>
            <w:tcBorders>
              <w:bottom w:val="nil"/>
            </w:tcBorders>
            <w:shd w:val="clear" w:color="auto" w:fill="auto"/>
            <w:vAlign w:val="bottom"/>
          </w:tcPr>
          <w:p w14:paraId="3A25A9FE" w14:textId="77777777" w:rsidR="006D0C37" w:rsidRPr="004E544B" w:rsidRDefault="006D0C37">
            <w:pPr>
              <w:pStyle w:val="08-Tabelageral"/>
              <w:ind w:left="113"/>
            </w:pPr>
            <w:r w:rsidRPr="0045178B">
              <w:t>1</w:t>
            </w:r>
            <w:r>
              <w:t>,</w:t>
            </w:r>
            <w:r w:rsidRPr="0045178B">
              <w:t>625</w:t>
            </w:r>
            <w:r>
              <w:t>,</w:t>
            </w:r>
            <w:r w:rsidRPr="0045178B">
              <w:t>887</w:t>
            </w:r>
            <w:r>
              <w:t>,</w:t>
            </w:r>
            <w:r w:rsidRPr="0045178B">
              <w:t>537</w:t>
            </w:r>
          </w:p>
        </w:tc>
        <w:tc>
          <w:tcPr>
            <w:tcW w:w="769" w:type="dxa"/>
            <w:tcBorders>
              <w:bottom w:val="nil"/>
            </w:tcBorders>
            <w:shd w:val="clear" w:color="auto" w:fill="auto"/>
            <w:vAlign w:val="bottom"/>
          </w:tcPr>
          <w:p w14:paraId="51F75242" w14:textId="77777777" w:rsidR="006D0C37" w:rsidRPr="00904B99" w:rsidRDefault="006D0C37">
            <w:pPr>
              <w:pStyle w:val="08-Tabelageral"/>
              <w:ind w:left="113"/>
            </w:pPr>
            <w:r>
              <w:t>81.29</w:t>
            </w:r>
          </w:p>
        </w:tc>
        <w:tc>
          <w:tcPr>
            <w:tcW w:w="338" w:type="dxa"/>
            <w:tcBorders>
              <w:bottom w:val="nil"/>
            </w:tcBorders>
            <w:shd w:val="clear" w:color="auto" w:fill="auto"/>
            <w:vAlign w:val="center"/>
          </w:tcPr>
          <w:p w14:paraId="181B97C7" w14:textId="77777777" w:rsidR="006D0C37" w:rsidRPr="005A7A8D" w:rsidRDefault="006D0C37">
            <w:pPr>
              <w:pStyle w:val="08-Tabelageral"/>
            </w:pPr>
          </w:p>
        </w:tc>
        <w:tc>
          <w:tcPr>
            <w:tcW w:w="1277" w:type="dxa"/>
            <w:gridSpan w:val="2"/>
            <w:tcBorders>
              <w:bottom w:val="nil"/>
            </w:tcBorders>
            <w:shd w:val="clear" w:color="auto" w:fill="auto"/>
          </w:tcPr>
          <w:p w14:paraId="759A730C" w14:textId="77777777" w:rsidR="006D0C37" w:rsidRPr="005A7A8D" w:rsidRDefault="006D0C37">
            <w:pPr>
              <w:pStyle w:val="08-Tabelageral"/>
              <w:ind w:left="113"/>
              <w:rPr>
                <w:rFonts w:cs="Arial"/>
                <w:szCs w:val="14"/>
              </w:rPr>
            </w:pPr>
            <w:r w:rsidRPr="001D5CEB">
              <w:t>1</w:t>
            </w:r>
            <w:r>
              <w:t>,</w:t>
            </w:r>
            <w:r w:rsidRPr="001D5CEB">
              <w:t>575</w:t>
            </w:r>
            <w:r>
              <w:t>,</w:t>
            </w:r>
            <w:r w:rsidRPr="001D5CEB">
              <w:t>774</w:t>
            </w:r>
            <w:r>
              <w:t>,</w:t>
            </w:r>
            <w:r w:rsidRPr="001D5CEB">
              <w:t>256</w:t>
            </w:r>
          </w:p>
        </w:tc>
        <w:tc>
          <w:tcPr>
            <w:tcW w:w="876" w:type="dxa"/>
            <w:tcBorders>
              <w:bottom w:val="nil"/>
            </w:tcBorders>
            <w:shd w:val="clear" w:color="auto" w:fill="auto"/>
          </w:tcPr>
          <w:p w14:paraId="413C97AF" w14:textId="77777777" w:rsidR="006D0C37" w:rsidRPr="005A7A8D" w:rsidRDefault="006D0C37">
            <w:pPr>
              <w:pStyle w:val="08-Tabelageral"/>
              <w:ind w:left="113"/>
              <w:rPr>
                <w:rFonts w:cs="Arial"/>
                <w:szCs w:val="14"/>
              </w:rPr>
            </w:pPr>
            <w:r w:rsidRPr="001D5CEB">
              <w:t>78</w:t>
            </w:r>
            <w:r>
              <w:t>.</w:t>
            </w:r>
            <w:r w:rsidRPr="001D5CEB">
              <w:t>79</w:t>
            </w:r>
          </w:p>
        </w:tc>
      </w:tr>
      <w:tr w:rsidR="006D0C37" w:rsidRPr="005A7A8D" w14:paraId="0F10349C" w14:textId="77777777">
        <w:trPr>
          <w:trHeight w:val="238"/>
        </w:trPr>
        <w:tc>
          <w:tcPr>
            <w:tcW w:w="5006" w:type="dxa"/>
            <w:tcBorders>
              <w:top w:val="nil"/>
              <w:bottom w:val="single" w:sz="2" w:space="0" w:color="1F3864" w:themeColor="accent1" w:themeShade="80"/>
            </w:tcBorders>
            <w:shd w:val="clear" w:color="auto" w:fill="auto"/>
          </w:tcPr>
          <w:p w14:paraId="60EC38AA" w14:textId="77777777" w:rsidR="006D0C37" w:rsidRPr="005A7A8D" w:rsidRDefault="006D0C37">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shd w:val="clear" w:color="auto" w:fill="auto"/>
            <w:vAlign w:val="bottom"/>
          </w:tcPr>
          <w:p w14:paraId="6146AC58" w14:textId="77777777" w:rsidR="006D0C37" w:rsidRPr="00904B99" w:rsidRDefault="006D0C37">
            <w:pPr>
              <w:pStyle w:val="08-Tabelageral"/>
              <w:ind w:left="113"/>
            </w:pPr>
            <w:r w:rsidRPr="0045178B">
              <w:t>374</w:t>
            </w:r>
            <w:r>
              <w:t>,</w:t>
            </w:r>
            <w:r w:rsidRPr="0045178B">
              <w:t>112</w:t>
            </w:r>
            <w:r>
              <w:t>,</w:t>
            </w:r>
            <w:r w:rsidRPr="0045178B">
              <w:t>463</w:t>
            </w:r>
          </w:p>
        </w:tc>
        <w:tc>
          <w:tcPr>
            <w:tcW w:w="769" w:type="dxa"/>
            <w:tcBorders>
              <w:top w:val="nil"/>
              <w:bottom w:val="single" w:sz="2" w:space="0" w:color="1F3864" w:themeColor="accent1" w:themeShade="80"/>
            </w:tcBorders>
            <w:shd w:val="clear" w:color="auto" w:fill="auto"/>
            <w:vAlign w:val="bottom"/>
          </w:tcPr>
          <w:p w14:paraId="6F4E9CF5" w14:textId="77777777" w:rsidR="006D0C37" w:rsidRPr="00904B99" w:rsidRDefault="006D0C37">
            <w:pPr>
              <w:pStyle w:val="08-Tabelageral"/>
              <w:ind w:left="113"/>
            </w:pPr>
            <w:r>
              <w:t>18.71</w:t>
            </w:r>
          </w:p>
        </w:tc>
        <w:tc>
          <w:tcPr>
            <w:tcW w:w="338" w:type="dxa"/>
            <w:tcBorders>
              <w:top w:val="nil"/>
              <w:bottom w:val="single" w:sz="2" w:space="0" w:color="1F3864" w:themeColor="accent1" w:themeShade="80"/>
            </w:tcBorders>
            <w:shd w:val="clear" w:color="auto" w:fill="auto"/>
            <w:vAlign w:val="center"/>
          </w:tcPr>
          <w:p w14:paraId="35E85FE9" w14:textId="77777777" w:rsidR="006D0C37" w:rsidRPr="005A7A8D" w:rsidRDefault="006D0C37">
            <w:pPr>
              <w:pStyle w:val="08-Tabelageral"/>
            </w:pPr>
          </w:p>
        </w:tc>
        <w:tc>
          <w:tcPr>
            <w:tcW w:w="1277" w:type="dxa"/>
            <w:gridSpan w:val="2"/>
            <w:tcBorders>
              <w:top w:val="nil"/>
              <w:bottom w:val="single" w:sz="2" w:space="0" w:color="1F3864" w:themeColor="accent1" w:themeShade="80"/>
            </w:tcBorders>
            <w:shd w:val="clear" w:color="auto" w:fill="auto"/>
          </w:tcPr>
          <w:p w14:paraId="2EB43FB1" w14:textId="77777777" w:rsidR="006D0C37" w:rsidRPr="005A7A8D" w:rsidRDefault="006D0C37">
            <w:pPr>
              <w:pStyle w:val="08-Tabelageral"/>
              <w:ind w:left="113"/>
              <w:rPr>
                <w:rFonts w:cs="Arial"/>
                <w:szCs w:val="14"/>
              </w:rPr>
            </w:pPr>
            <w:r w:rsidRPr="001D5CEB">
              <w:t>424</w:t>
            </w:r>
            <w:r>
              <w:t>,</w:t>
            </w:r>
            <w:r w:rsidRPr="001D5CEB">
              <w:t>225</w:t>
            </w:r>
            <w:r>
              <w:t>,</w:t>
            </w:r>
            <w:r w:rsidRPr="001D5CEB">
              <w:t>744</w:t>
            </w:r>
          </w:p>
        </w:tc>
        <w:tc>
          <w:tcPr>
            <w:tcW w:w="876" w:type="dxa"/>
            <w:tcBorders>
              <w:top w:val="nil"/>
              <w:bottom w:val="single" w:sz="2" w:space="0" w:color="1F3864" w:themeColor="accent1" w:themeShade="80"/>
            </w:tcBorders>
            <w:shd w:val="clear" w:color="auto" w:fill="auto"/>
          </w:tcPr>
          <w:p w14:paraId="53FC3F2B" w14:textId="77777777" w:rsidR="006D0C37" w:rsidRPr="005A7A8D" w:rsidRDefault="006D0C37">
            <w:pPr>
              <w:pStyle w:val="08-Tabelageral"/>
              <w:ind w:left="113"/>
              <w:rPr>
                <w:rFonts w:cs="Arial"/>
                <w:szCs w:val="14"/>
              </w:rPr>
            </w:pPr>
            <w:r w:rsidRPr="001D5CEB">
              <w:t>21</w:t>
            </w:r>
            <w:r>
              <w:t>.</w:t>
            </w:r>
            <w:r w:rsidRPr="001D5CEB">
              <w:t>21</w:t>
            </w:r>
          </w:p>
        </w:tc>
      </w:tr>
    </w:tbl>
    <w:p w14:paraId="7BBEEBEE" w14:textId="77777777" w:rsidR="006D0C37" w:rsidRPr="00E2299D" w:rsidRDefault="006D0C37" w:rsidP="006D0C37">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666E108E" w14:textId="77777777" w:rsidR="006D0C37" w:rsidRDefault="006D0C37" w:rsidP="006D0C37">
      <w:pPr>
        <w:pStyle w:val="05-Textonormal2"/>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 xml:space="preserve">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w:t>
      </w:r>
      <w:r>
        <w:rPr>
          <w:rFonts w:cs="Arial"/>
          <w:lang w:val="en-US"/>
        </w:rPr>
        <w:t xml:space="preserve">on Dec 31, </w:t>
      </w:r>
      <w:proofErr w:type="gramStart"/>
      <w:r>
        <w:rPr>
          <w:rFonts w:cs="Arial"/>
          <w:lang w:val="en-US"/>
        </w:rPr>
        <w:t>2024</w:t>
      </w:r>
      <w:proofErr w:type="gramEnd"/>
      <w:r>
        <w:rPr>
          <w:rFonts w:cs="Arial"/>
          <w:lang w:val="en-US"/>
        </w:rPr>
        <w:t xml:space="preserve"> and Dec 31, 2023, </w:t>
      </w:r>
      <w:r w:rsidRPr="00E2299D">
        <w:rPr>
          <w:rFonts w:cs="Arial"/>
          <w:lang w:val="en-US"/>
        </w:rPr>
        <w:t>it is divided into 2,000,000,000 (two billion) shares, represented in book-entry form and without par value.</w:t>
      </w:r>
    </w:p>
    <w:p w14:paraId="277E049C" w14:textId="7F611209" w:rsidR="006D0C37" w:rsidRPr="00E2299D" w:rsidRDefault="006D0C37" w:rsidP="006D0C37">
      <w:pPr>
        <w:pStyle w:val="01-Textonormal"/>
        <w:rPr>
          <w:b/>
          <w:color w:val="1F3864" w:themeColor="accent1" w:themeShade="80"/>
          <w:lang w:val="en-US"/>
        </w:rPr>
      </w:pPr>
      <w:r>
        <w:rPr>
          <w:b/>
          <w:color w:val="1F3864" w:themeColor="accent1" w:themeShade="80"/>
          <w:lang w:val="en-US"/>
        </w:rPr>
        <w:t>e</w:t>
      </w:r>
      <w:r w:rsidRPr="00E2299D">
        <w:rPr>
          <w:b/>
          <w:color w:val="1F3864" w:themeColor="accent1" w:themeShade="80"/>
          <w:lang w:val="en-US"/>
        </w:rPr>
        <w:t>) Capital and Profit Reserves</w:t>
      </w:r>
    </w:p>
    <w:p w14:paraId="2883932A" w14:textId="77777777" w:rsidR="006D0C37" w:rsidRPr="009E41F1" w:rsidRDefault="006D0C37" w:rsidP="006D0C37">
      <w:pPr>
        <w:pStyle w:val="06-Rmil"/>
        <w:rPr>
          <w:lang w:val="en-US"/>
        </w:rPr>
      </w:pPr>
      <w:r w:rsidRPr="009E41F1">
        <w:rPr>
          <w:lang w:val="en-US"/>
        </w:rPr>
        <w:t>R$ thousand</w:t>
      </w:r>
    </w:p>
    <w:tbl>
      <w:tblPr>
        <w:tblStyle w:val="TabeladeLista6Colorida-nfase5"/>
        <w:tblW w:w="9639" w:type="dxa"/>
        <w:jc w:val="center"/>
        <w:tblLook w:val="04A0" w:firstRow="1" w:lastRow="0" w:firstColumn="1" w:lastColumn="0" w:noHBand="0" w:noVBand="1"/>
      </w:tblPr>
      <w:tblGrid>
        <w:gridCol w:w="6905"/>
        <w:gridCol w:w="1295"/>
        <w:gridCol w:w="1439"/>
      </w:tblGrid>
      <w:tr w:rsidR="006D0C37" w14:paraId="4740A226"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5AB17877" w14:textId="77777777" w:rsidR="006D0C37" w:rsidRPr="00E2299D" w:rsidRDefault="006D0C37">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auto"/>
            <w:vAlign w:val="center"/>
          </w:tcPr>
          <w:p w14:paraId="65674EA3" w14:textId="77777777" w:rsidR="006D0C37" w:rsidRPr="007E09C9" w:rsidRDefault="006D0C3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 xml:space="preserve">Parent and </w:t>
            </w:r>
            <w:proofErr w:type="gramStart"/>
            <w:r w:rsidRPr="007E09C9">
              <w:rPr>
                <w:rFonts w:ascii="Arial" w:hAnsi="Arial" w:cs="Arial"/>
                <w:sz w:val="14"/>
                <w:szCs w:val="14"/>
                <w:lang w:val="en-US"/>
              </w:rPr>
              <w:t>Consolidated</w:t>
            </w:r>
            <w:proofErr w:type="gramEnd"/>
          </w:p>
        </w:tc>
      </w:tr>
      <w:tr w:rsidR="006D0C37" w:rsidRPr="001D6BE8" w14:paraId="06BE5E39" w14:textId="77777777">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tcPr>
          <w:p w14:paraId="15996AF7" w14:textId="77777777" w:rsidR="006D0C37" w:rsidRPr="007E09C9" w:rsidRDefault="006D0C37">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shd w:val="clear" w:color="auto" w:fill="auto"/>
            <w:vAlign w:val="center"/>
          </w:tcPr>
          <w:p w14:paraId="39A9536F" w14:textId="77777777" w:rsidR="006D0C37" w:rsidRPr="007E09C9"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4</w:t>
            </w:r>
          </w:p>
        </w:tc>
        <w:tc>
          <w:tcPr>
            <w:tcW w:w="1439" w:type="dxa"/>
            <w:tcBorders>
              <w:top w:val="single" w:sz="2" w:space="0" w:color="1F3864" w:themeColor="accent1" w:themeShade="80"/>
              <w:bottom w:val="single" w:sz="2" w:space="0" w:color="1F3864" w:themeColor="accent1" w:themeShade="80"/>
            </w:tcBorders>
            <w:shd w:val="clear" w:color="auto" w:fill="auto"/>
            <w:vAlign w:val="center"/>
          </w:tcPr>
          <w:p w14:paraId="2FF28AAA" w14:textId="77777777" w:rsidR="006D0C37" w:rsidRPr="0076531A"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3</w:t>
            </w:r>
          </w:p>
        </w:tc>
      </w:tr>
      <w:tr w:rsidR="006D0C37" w:rsidRPr="002F79A6" w14:paraId="06BC647C"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auto"/>
            <w:vAlign w:val="center"/>
          </w:tcPr>
          <w:p w14:paraId="5031689A" w14:textId="77777777" w:rsidR="006D0C37" w:rsidRPr="007E09C9" w:rsidRDefault="006D0C37">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auto"/>
            <w:vAlign w:val="center"/>
          </w:tcPr>
          <w:p w14:paraId="1286C91E" w14:textId="77777777" w:rsidR="006D0C37" w:rsidRPr="007E09C9"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80E73">
              <w:rPr>
                <w:rFonts w:cs="Arial"/>
                <w:b/>
                <w:bCs/>
                <w:szCs w:val="14"/>
              </w:rPr>
              <w:t>978</w:t>
            </w:r>
          </w:p>
        </w:tc>
        <w:tc>
          <w:tcPr>
            <w:tcW w:w="1439" w:type="dxa"/>
            <w:tcBorders>
              <w:top w:val="single" w:sz="2" w:space="0" w:color="1F3864" w:themeColor="accent1" w:themeShade="80"/>
              <w:bottom w:val="nil"/>
            </w:tcBorders>
            <w:shd w:val="clear" w:color="auto" w:fill="auto"/>
          </w:tcPr>
          <w:p w14:paraId="57DE5053" w14:textId="77777777" w:rsidR="006D0C37" w:rsidRPr="007E09C9"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5D4359">
              <w:rPr>
                <w:b/>
                <w:bCs/>
              </w:rPr>
              <w:t>1</w:t>
            </w:r>
            <w:r>
              <w:rPr>
                <w:b/>
                <w:bCs/>
              </w:rPr>
              <w:t>,</w:t>
            </w:r>
            <w:r w:rsidRPr="005D4359">
              <w:rPr>
                <w:b/>
                <w:bCs/>
              </w:rPr>
              <w:t>80</w:t>
            </w:r>
            <w:r>
              <w:rPr>
                <w:b/>
                <w:bCs/>
              </w:rPr>
              <w:t>5</w:t>
            </w:r>
          </w:p>
        </w:tc>
      </w:tr>
      <w:tr w:rsidR="006D0C37" w:rsidRPr="002F79A6" w14:paraId="1704C0BA"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0467A4D8" w14:textId="77777777" w:rsidR="006D0C37" w:rsidRPr="007E09C9" w:rsidRDefault="006D0C37">
            <w:pPr>
              <w:pStyle w:val="08-Tabelageral"/>
              <w:jc w:val="left"/>
              <w:rPr>
                <w:rFonts w:cs="Arial"/>
                <w:szCs w:val="14"/>
              </w:rPr>
            </w:pPr>
            <w:r w:rsidRPr="007E09C9">
              <w:rPr>
                <w:rFonts w:cs="Arial"/>
                <w:szCs w:val="14"/>
              </w:rPr>
              <w:t>Profit Reserves</w:t>
            </w:r>
          </w:p>
        </w:tc>
        <w:tc>
          <w:tcPr>
            <w:tcW w:w="1295" w:type="dxa"/>
            <w:tcBorders>
              <w:top w:val="nil"/>
              <w:bottom w:val="nil"/>
            </w:tcBorders>
            <w:shd w:val="clear" w:color="auto" w:fill="auto"/>
          </w:tcPr>
          <w:p w14:paraId="172BA400" w14:textId="77777777" w:rsidR="006D0C37" w:rsidRPr="007E09C9"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c>
          <w:tcPr>
            <w:tcW w:w="1439" w:type="dxa"/>
            <w:tcBorders>
              <w:top w:val="nil"/>
              <w:bottom w:val="nil"/>
            </w:tcBorders>
            <w:shd w:val="clear" w:color="auto" w:fill="auto"/>
          </w:tcPr>
          <w:p w14:paraId="003F49F4" w14:textId="77777777" w:rsidR="006D0C37" w:rsidRPr="007E09C9"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5D4359">
              <w:rPr>
                <w:b/>
                <w:bCs/>
              </w:rPr>
              <w:t>4</w:t>
            </w:r>
            <w:r>
              <w:rPr>
                <w:b/>
                <w:bCs/>
              </w:rPr>
              <w:t>,</w:t>
            </w:r>
            <w:r w:rsidRPr="005D4359">
              <w:rPr>
                <w:b/>
                <w:bCs/>
              </w:rPr>
              <w:t>446</w:t>
            </w:r>
            <w:r>
              <w:rPr>
                <w:b/>
                <w:bCs/>
              </w:rPr>
              <w:t>,</w:t>
            </w:r>
            <w:r w:rsidRPr="005D4359">
              <w:rPr>
                <w:b/>
                <w:bCs/>
              </w:rPr>
              <w:t>836</w:t>
            </w:r>
          </w:p>
        </w:tc>
      </w:tr>
      <w:tr w:rsidR="006D0C37" w:rsidRPr="001D6BE8" w14:paraId="0DC7E15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auto"/>
            <w:vAlign w:val="center"/>
          </w:tcPr>
          <w:p w14:paraId="2C62640F" w14:textId="77777777" w:rsidR="006D0C37" w:rsidRPr="007E09C9" w:rsidRDefault="006D0C37">
            <w:pPr>
              <w:pStyle w:val="08-Tabelageral"/>
              <w:ind w:left="113"/>
              <w:jc w:val="left"/>
              <w:rPr>
                <w:rFonts w:cs="Arial"/>
                <w:b w:val="0"/>
                <w:szCs w:val="14"/>
              </w:rPr>
            </w:pPr>
            <w:r w:rsidRPr="007E09C9">
              <w:rPr>
                <w:rFonts w:cs="Arial"/>
                <w:b w:val="0"/>
                <w:szCs w:val="14"/>
              </w:rPr>
              <w:t>Legal Reserve</w:t>
            </w:r>
          </w:p>
        </w:tc>
        <w:tc>
          <w:tcPr>
            <w:tcW w:w="1295" w:type="dxa"/>
            <w:tcBorders>
              <w:top w:val="nil"/>
              <w:bottom w:val="nil"/>
            </w:tcBorders>
            <w:shd w:val="clear" w:color="auto" w:fill="auto"/>
          </w:tcPr>
          <w:p w14:paraId="55A5560A" w14:textId="77777777" w:rsidR="006D0C37" w:rsidRPr="007E09C9"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c>
          <w:tcPr>
            <w:tcW w:w="1439" w:type="dxa"/>
            <w:tcBorders>
              <w:top w:val="nil"/>
              <w:bottom w:val="nil"/>
            </w:tcBorders>
            <w:shd w:val="clear" w:color="auto" w:fill="auto"/>
          </w:tcPr>
          <w:p w14:paraId="42E2B1B2" w14:textId="77777777" w:rsidR="006D0C37" w:rsidRPr="007E09C9"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158CF">
              <w:t>699</w:t>
            </w:r>
            <w:r>
              <w:t>,</w:t>
            </w:r>
            <w:r w:rsidRPr="00F158CF">
              <w:t>589</w:t>
            </w:r>
          </w:p>
        </w:tc>
      </w:tr>
      <w:tr w:rsidR="006D0C37" w:rsidRPr="00EB16D4" w14:paraId="596C854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shd w:val="clear" w:color="auto" w:fill="auto"/>
            <w:vAlign w:val="center"/>
          </w:tcPr>
          <w:p w14:paraId="481D959C" w14:textId="77777777" w:rsidR="006D0C37" w:rsidRPr="000A2317" w:rsidRDefault="006D0C37">
            <w:pPr>
              <w:pStyle w:val="08-Tabelageral"/>
              <w:ind w:left="113"/>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shd w:val="clear" w:color="auto" w:fill="auto"/>
          </w:tcPr>
          <w:p w14:paraId="32015FEF" w14:textId="77777777" w:rsidR="006D0C37" w:rsidRPr="007E09C9"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c>
          <w:tcPr>
            <w:tcW w:w="1439" w:type="dxa"/>
            <w:tcBorders>
              <w:top w:val="nil"/>
              <w:bottom w:val="single" w:sz="2" w:space="0" w:color="1F3864" w:themeColor="accent1" w:themeShade="80"/>
            </w:tcBorders>
            <w:shd w:val="clear" w:color="auto" w:fill="auto"/>
          </w:tcPr>
          <w:p w14:paraId="79CA1AA1" w14:textId="77777777" w:rsidR="006D0C37" w:rsidRPr="007E09C9"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158CF">
              <w:t>3</w:t>
            </w:r>
            <w:r>
              <w:t>,</w:t>
            </w:r>
            <w:r w:rsidRPr="00F158CF">
              <w:t>747</w:t>
            </w:r>
            <w:r>
              <w:t>,</w:t>
            </w:r>
            <w:r w:rsidRPr="00F158CF">
              <w:t>247</w:t>
            </w:r>
          </w:p>
        </w:tc>
      </w:tr>
    </w:tbl>
    <w:p w14:paraId="3341D920" w14:textId="77777777" w:rsidR="006D0C37" w:rsidRPr="006C4BB5" w:rsidRDefault="006D0C37" w:rsidP="006D0C37">
      <w:pPr>
        <w:pStyle w:val="05-Textonormal"/>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00335C6C" w14:textId="77777777" w:rsidR="006D0C37" w:rsidRPr="00762DC5" w:rsidRDefault="006D0C37" w:rsidP="006D0C37">
      <w:pPr>
        <w:pStyle w:val="03-SubttulodeNota"/>
        <w:keepNext/>
        <w:keepLines/>
        <w:spacing w:line="276" w:lineRule="auto"/>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4D6D4CC3" w14:textId="77777777" w:rsidR="006D0C37" w:rsidRDefault="006D0C37" w:rsidP="006D0C37">
      <w:pPr>
        <w:pStyle w:val="01-TtulodeNota"/>
        <w:spacing w:line="276" w:lineRule="auto"/>
        <w:rPr>
          <w:b w:val="0"/>
          <w:sz w:val="18"/>
          <w:szCs w:val="18"/>
          <w:lang w:val="en-US"/>
        </w:rPr>
      </w:pPr>
      <w:r w:rsidRPr="001E307D">
        <w:rPr>
          <w:b w:val="0"/>
          <w:sz w:val="18"/>
          <w:szCs w:val="18"/>
          <w:lang w:val="en-US"/>
        </w:rPr>
        <w:t xml:space="preserve">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 and </w:t>
      </w:r>
      <w:r w:rsidRPr="006D2129">
        <w:rPr>
          <w:b w:val="0"/>
          <w:sz w:val="18"/>
          <w:szCs w:val="18"/>
          <w:lang w:val="en-US"/>
        </w:rPr>
        <w:t>arising from the anticipation of dividends.</w:t>
      </w:r>
    </w:p>
    <w:p w14:paraId="7526B126" w14:textId="77777777" w:rsidR="006D0C37" w:rsidRPr="00B96FEF" w:rsidRDefault="006D0C37" w:rsidP="006D0C37">
      <w:pPr>
        <w:pStyle w:val="01-Textonormal"/>
        <w:rPr>
          <w:b/>
          <w:color w:val="1F3864" w:themeColor="accent1" w:themeShade="80"/>
          <w:lang w:val="en-US"/>
        </w:rPr>
      </w:pPr>
      <w:r w:rsidRPr="00B96FEF">
        <w:rPr>
          <w:b/>
          <w:color w:val="1F3864" w:themeColor="accent1" w:themeShade="80"/>
          <w:lang w:val="en-US"/>
        </w:rPr>
        <w:t>f) Treasury shares</w:t>
      </w:r>
    </w:p>
    <w:p w14:paraId="68670500" w14:textId="77777777" w:rsidR="006D0C37" w:rsidRPr="00BA17CB" w:rsidRDefault="006D0C37" w:rsidP="006D0C37">
      <w:pPr>
        <w:pStyle w:val="01-Textonormal"/>
        <w:rPr>
          <w:rFonts w:cs="Arial"/>
          <w:b/>
          <w:color w:val="1F3864" w:themeColor="accent1" w:themeShade="80"/>
          <w:lang w:val="en-US"/>
        </w:rPr>
      </w:pPr>
      <w:r w:rsidRPr="00BA17CB">
        <w:rPr>
          <w:b/>
          <w:color w:val="1F3864" w:themeColor="accent1" w:themeShade="80"/>
          <w:lang w:val="en-US"/>
        </w:rPr>
        <w:t>f.1) Number of Treasury Shares</w:t>
      </w:r>
    </w:p>
    <w:tbl>
      <w:tblPr>
        <w:tblStyle w:val="TabeladeLista6Colorida-nfase5"/>
        <w:tblW w:w="9639" w:type="dxa"/>
        <w:tblLook w:val="04A0" w:firstRow="1" w:lastRow="0" w:firstColumn="1" w:lastColumn="0" w:noHBand="0" w:noVBand="1"/>
      </w:tblPr>
      <w:tblGrid>
        <w:gridCol w:w="7088"/>
        <w:gridCol w:w="1276"/>
        <w:gridCol w:w="1275"/>
      </w:tblGrid>
      <w:tr w:rsidR="006D0C37" w14:paraId="142F40C1" w14:textId="7777777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auto"/>
            <w:vAlign w:val="center"/>
          </w:tcPr>
          <w:p w14:paraId="5337B720" w14:textId="77777777" w:rsidR="006D0C37" w:rsidRPr="00781F9F" w:rsidRDefault="006D0C37">
            <w:pPr>
              <w:rPr>
                <w:rFonts w:ascii="Arial" w:hAnsi="Arial" w:cs="Arial"/>
                <w:b w:val="0"/>
                <w:sz w:val="14"/>
                <w:szCs w:val="14"/>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1B793692" w14:textId="77777777" w:rsidR="006D0C37" w:rsidRPr="0038031F" w:rsidRDefault="006D0C3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 xml:space="preserve">Parent and </w:t>
            </w:r>
            <w:proofErr w:type="gramStart"/>
            <w:r w:rsidRPr="00BE198A">
              <w:rPr>
                <w:rFonts w:ascii="Arial" w:hAnsi="Arial" w:cs="Arial"/>
                <w:sz w:val="14"/>
                <w:szCs w:val="14"/>
                <w:lang w:val="en-US"/>
              </w:rPr>
              <w:t>Consolidated</w:t>
            </w:r>
            <w:proofErr w:type="gramEnd"/>
          </w:p>
        </w:tc>
      </w:tr>
      <w:tr w:rsidR="006D0C37" w:rsidRPr="001D6BE8" w14:paraId="76126071" w14:textId="7777777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shd w:val="clear" w:color="auto" w:fill="auto"/>
          </w:tcPr>
          <w:p w14:paraId="73D3EB0D" w14:textId="77777777" w:rsidR="006D0C37" w:rsidRPr="001D6BE8" w:rsidRDefault="006D0C37">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23ED41BE" w14:textId="77777777" w:rsidR="006D0C37" w:rsidRPr="001D6BE8"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Pr>
                <w:rFonts w:cs="Arial"/>
                <w:b/>
              </w:rPr>
              <w:t>Dec</w:t>
            </w:r>
            <w:proofErr w:type="spellEnd"/>
            <w:r>
              <w:rPr>
                <w:rFonts w:cs="Arial"/>
                <w:b/>
              </w:rPr>
              <w:t xml:space="preserve"> 31, 2024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5FFFDEC7" w14:textId="77777777" w:rsidR="006D0C37" w:rsidRPr="00B253DA" w:rsidRDefault="006D0C37">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31, 2023</w:t>
            </w:r>
          </w:p>
        </w:tc>
      </w:tr>
      <w:tr w:rsidR="006D0C37" w:rsidRPr="00F139E2" w14:paraId="49DC23D3" w14:textId="7777777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auto"/>
          </w:tcPr>
          <w:p w14:paraId="3A0ABB53" w14:textId="77777777" w:rsidR="006D0C37" w:rsidRPr="00F139E2" w:rsidRDefault="006D0C37">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3864" w:themeColor="accent1" w:themeShade="80"/>
            </w:tcBorders>
            <w:shd w:val="clear" w:color="auto" w:fill="auto"/>
          </w:tcPr>
          <w:p w14:paraId="48C124C3" w14:textId="77777777" w:rsidR="006D0C37" w:rsidRPr="00BE3E77"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w:t>
            </w:r>
            <w:r w:rsidRPr="002E3480">
              <w:rPr>
                <w:rFonts w:cs="Arial"/>
                <w:b/>
                <w:szCs w:val="14"/>
              </w:rPr>
              <w:t>813</w:t>
            </w:r>
            <w:r>
              <w:rPr>
                <w:rFonts w:cs="Arial"/>
                <w:b/>
                <w:szCs w:val="14"/>
              </w:rPr>
              <w:t>,</w:t>
            </w:r>
            <w:r w:rsidRPr="002E3480">
              <w:rPr>
                <w:rFonts w:cs="Arial"/>
                <w:b/>
                <w:szCs w:val="14"/>
              </w:rPr>
              <w:t>981</w:t>
            </w:r>
          </w:p>
        </w:tc>
        <w:tc>
          <w:tcPr>
            <w:tcW w:w="1275" w:type="dxa"/>
            <w:tcBorders>
              <w:top w:val="nil"/>
              <w:bottom w:val="single" w:sz="2" w:space="0" w:color="1F3864" w:themeColor="accent1" w:themeShade="80"/>
            </w:tcBorders>
            <w:shd w:val="clear" w:color="auto" w:fill="auto"/>
          </w:tcPr>
          <w:p w14:paraId="34AC1CDD" w14:textId="77777777" w:rsidR="006D0C37" w:rsidRPr="00F139E2" w:rsidRDefault="006D0C37">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A0C54">
              <w:rPr>
                <w:rFonts w:cs="Arial"/>
                <w:b/>
                <w:szCs w:val="14"/>
              </w:rPr>
              <w:t>23</w:t>
            </w:r>
            <w:r>
              <w:rPr>
                <w:rFonts w:cs="Arial"/>
                <w:b/>
                <w:szCs w:val="14"/>
              </w:rPr>
              <w:t>,</w:t>
            </w:r>
            <w:r w:rsidRPr="003A0C54">
              <w:rPr>
                <w:rFonts w:cs="Arial"/>
                <w:b/>
                <w:szCs w:val="14"/>
              </w:rPr>
              <w:t>133</w:t>
            </w:r>
            <w:r>
              <w:rPr>
                <w:rFonts w:cs="Arial"/>
                <w:b/>
                <w:szCs w:val="14"/>
              </w:rPr>
              <w:t>,</w:t>
            </w:r>
            <w:r w:rsidRPr="003A0C54">
              <w:rPr>
                <w:rFonts w:cs="Arial"/>
                <w:b/>
                <w:szCs w:val="14"/>
              </w:rPr>
              <w:t>332</w:t>
            </w:r>
          </w:p>
        </w:tc>
      </w:tr>
    </w:tbl>
    <w:p w14:paraId="1D5731D1" w14:textId="77777777" w:rsidR="006D0C37" w:rsidRPr="00F42C27" w:rsidRDefault="006D0C37" w:rsidP="006D0C37">
      <w:pPr>
        <w:pStyle w:val="04-TtuloNegrito"/>
        <w:keepNext/>
        <w:spacing w:line="276" w:lineRule="auto"/>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3435D7">
        <w:rPr>
          <w:b w:val="0"/>
          <w:bCs/>
          <w:sz w:val="18"/>
          <w:szCs w:val="18"/>
          <w:lang w:val="en-US"/>
        </w:rPr>
        <w:t>1</w:t>
      </w:r>
      <w:r>
        <w:rPr>
          <w:b w:val="0"/>
          <w:bCs/>
          <w:sz w:val="18"/>
          <w:szCs w:val="18"/>
          <w:lang w:val="en-US"/>
        </w:rPr>
        <w:t>,</w:t>
      </w:r>
      <w:r w:rsidRPr="003435D7">
        <w:rPr>
          <w:b w:val="0"/>
          <w:bCs/>
          <w:sz w:val="18"/>
          <w:szCs w:val="18"/>
          <w:lang w:val="en-US"/>
        </w:rPr>
        <w:t>869</w:t>
      </w:r>
      <w:r>
        <w:rPr>
          <w:b w:val="0"/>
          <w:bCs/>
          <w:sz w:val="18"/>
          <w:szCs w:val="18"/>
          <w:lang w:val="en-US"/>
        </w:rPr>
        <w:t>,</w:t>
      </w:r>
      <w:r w:rsidRPr="003435D7">
        <w:rPr>
          <w:b w:val="0"/>
          <w:bCs/>
          <w:sz w:val="18"/>
          <w:szCs w:val="18"/>
          <w:lang w:val="en-US"/>
        </w:rPr>
        <w:t xml:space="preserve">833 </w:t>
      </w:r>
      <w:r w:rsidRPr="00AB50BA">
        <w:rPr>
          <w:b w:val="0"/>
          <w:sz w:val="18"/>
          <w:szCs w:val="18"/>
          <w:lang w:val="en-US"/>
        </w:rPr>
        <w:t>thousand</w:t>
      </w:r>
      <w:r>
        <w:rPr>
          <w:b w:val="0"/>
          <w:sz w:val="18"/>
          <w:szCs w:val="18"/>
          <w:lang w:val="en-US"/>
        </w:rPr>
        <w:t xml:space="preserve"> </w:t>
      </w:r>
      <w:r w:rsidRPr="00723A6B">
        <w:rPr>
          <w:b w:val="0"/>
          <w:sz w:val="18"/>
          <w:szCs w:val="18"/>
          <w:lang w:val="en-US"/>
        </w:rPr>
        <w:t>(R$ 703</w:t>
      </w:r>
      <w:r>
        <w:rPr>
          <w:b w:val="0"/>
          <w:sz w:val="18"/>
          <w:szCs w:val="18"/>
          <w:lang w:val="en-US"/>
        </w:rPr>
        <w:t>,</w:t>
      </w:r>
      <w:r w:rsidRPr="00723A6B">
        <w:rPr>
          <w:b w:val="0"/>
          <w:sz w:val="18"/>
          <w:szCs w:val="18"/>
          <w:lang w:val="en-US"/>
        </w:rPr>
        <w:t xml:space="preserve">773 </w:t>
      </w:r>
      <w:r>
        <w:rPr>
          <w:b w:val="0"/>
          <w:sz w:val="18"/>
          <w:szCs w:val="18"/>
          <w:lang w:val="en-US"/>
        </w:rPr>
        <w:t>thousand</w:t>
      </w:r>
      <w:r w:rsidRPr="00723A6B">
        <w:rPr>
          <w:b w:val="0"/>
          <w:sz w:val="18"/>
          <w:szCs w:val="18"/>
          <w:lang w:val="en-US"/>
        </w:rPr>
        <w:t xml:space="preserve"> </w:t>
      </w:r>
      <w:r>
        <w:rPr>
          <w:b w:val="0"/>
          <w:sz w:val="18"/>
          <w:szCs w:val="18"/>
          <w:lang w:val="en-US"/>
        </w:rPr>
        <w:t>on</w:t>
      </w:r>
      <w:r w:rsidRPr="00723A6B">
        <w:rPr>
          <w:b w:val="0"/>
          <w:sz w:val="18"/>
          <w:szCs w:val="18"/>
          <w:lang w:val="en-US"/>
        </w:rPr>
        <w:t xml:space="preserve"> Dec 31, 2023)</w:t>
      </w:r>
      <w:r w:rsidRPr="00AB50BA">
        <w:rPr>
          <w:b w:val="0"/>
          <w:sz w:val="18"/>
          <w:szCs w:val="18"/>
          <w:lang w:val="en-US"/>
        </w:rPr>
        <w:t xml:space="preserve"> and the exchange price</w:t>
      </w:r>
      <w:r w:rsidRPr="00F42C27">
        <w:rPr>
          <w:b w:val="0"/>
          <w:sz w:val="18"/>
          <w:szCs w:val="18"/>
          <w:lang w:val="en-US"/>
        </w:rPr>
        <w:t xml:space="preserve"> on </w:t>
      </w:r>
      <w:r>
        <w:rPr>
          <w:b w:val="0"/>
          <w:sz w:val="18"/>
          <w:szCs w:val="18"/>
          <w:lang w:val="en-US"/>
        </w:rPr>
        <w:t xml:space="preserve">Dec 31, </w:t>
      </w:r>
      <w:proofErr w:type="gramStart"/>
      <w:r>
        <w:rPr>
          <w:b w:val="0"/>
          <w:sz w:val="18"/>
          <w:szCs w:val="18"/>
          <w:lang w:val="en-US"/>
        </w:rPr>
        <w:t>2024</w:t>
      </w:r>
      <w:proofErr w:type="gramEnd"/>
      <w:r w:rsidRPr="00F42C27">
        <w:rPr>
          <w:b w:val="0"/>
          <w:sz w:val="18"/>
          <w:szCs w:val="18"/>
          <w:lang w:val="en-US"/>
        </w:rPr>
        <w:t xml:space="preserve"> is R$ </w:t>
      </w:r>
      <w:r w:rsidRPr="00723A6B">
        <w:rPr>
          <w:b w:val="0"/>
          <w:bCs/>
          <w:color w:val="000000" w:themeColor="text1"/>
          <w:sz w:val="18"/>
          <w:szCs w:val="18"/>
          <w:lang w:val="en-US"/>
        </w:rPr>
        <w:t>2</w:t>
      </w:r>
      <w:r>
        <w:rPr>
          <w:b w:val="0"/>
          <w:bCs/>
          <w:color w:val="000000" w:themeColor="text1"/>
          <w:sz w:val="18"/>
          <w:szCs w:val="18"/>
          <w:lang w:val="en-US"/>
        </w:rPr>
        <w:t>,</w:t>
      </w:r>
      <w:r w:rsidRPr="00723A6B">
        <w:rPr>
          <w:b w:val="0"/>
          <w:bCs/>
          <w:color w:val="000000" w:themeColor="text1"/>
          <w:sz w:val="18"/>
          <w:szCs w:val="18"/>
          <w:lang w:val="en-US"/>
        </w:rPr>
        <w:t>127</w:t>
      </w:r>
      <w:r>
        <w:rPr>
          <w:b w:val="0"/>
          <w:bCs/>
          <w:color w:val="000000" w:themeColor="text1"/>
          <w:sz w:val="18"/>
          <w:szCs w:val="18"/>
          <w:lang w:val="en-US"/>
        </w:rPr>
        <w:t>,</w:t>
      </w:r>
      <w:r w:rsidRPr="00723A6B">
        <w:rPr>
          <w:b w:val="0"/>
          <w:bCs/>
          <w:color w:val="000000" w:themeColor="text1"/>
          <w:sz w:val="18"/>
          <w:szCs w:val="18"/>
          <w:lang w:val="en-US"/>
        </w:rPr>
        <w:t>890</w:t>
      </w:r>
      <w:r w:rsidRPr="00351B3A">
        <w:rPr>
          <w:color w:val="000000" w:themeColor="text1"/>
          <w:sz w:val="18"/>
          <w:szCs w:val="18"/>
          <w:lang w:val="en-US"/>
        </w:rPr>
        <w:t xml:space="preserve"> </w:t>
      </w:r>
      <w:r w:rsidRPr="00F42C27">
        <w:rPr>
          <w:b w:val="0"/>
          <w:sz w:val="18"/>
          <w:szCs w:val="18"/>
          <w:lang w:val="en-US"/>
        </w:rPr>
        <w:t>thousand</w:t>
      </w:r>
      <w:r>
        <w:rPr>
          <w:b w:val="0"/>
          <w:sz w:val="18"/>
          <w:szCs w:val="18"/>
          <w:lang w:val="en-US"/>
        </w:rPr>
        <w:t xml:space="preserve"> </w:t>
      </w:r>
      <w:r w:rsidRPr="00723A6B">
        <w:rPr>
          <w:b w:val="0"/>
          <w:sz w:val="18"/>
          <w:szCs w:val="18"/>
          <w:lang w:val="en-US"/>
        </w:rPr>
        <w:t>(R$ 778</w:t>
      </w:r>
      <w:r>
        <w:rPr>
          <w:b w:val="0"/>
          <w:sz w:val="18"/>
          <w:szCs w:val="18"/>
          <w:lang w:val="en-US"/>
        </w:rPr>
        <w:t>,</w:t>
      </w:r>
      <w:r w:rsidRPr="00723A6B">
        <w:rPr>
          <w:b w:val="0"/>
          <w:sz w:val="18"/>
          <w:szCs w:val="18"/>
          <w:lang w:val="en-US"/>
        </w:rPr>
        <w:t xml:space="preserve">437 mil </w:t>
      </w:r>
      <w:r>
        <w:rPr>
          <w:b w:val="0"/>
          <w:sz w:val="18"/>
          <w:szCs w:val="18"/>
          <w:lang w:val="en-US"/>
        </w:rPr>
        <w:t>on</w:t>
      </w:r>
      <w:r w:rsidRPr="00723A6B">
        <w:rPr>
          <w:b w:val="0"/>
          <w:sz w:val="18"/>
          <w:szCs w:val="18"/>
          <w:lang w:val="en-US"/>
        </w:rPr>
        <w:t xml:space="preserve"> </w:t>
      </w:r>
      <w:r w:rsidRPr="0037525F">
        <w:rPr>
          <w:b w:val="0"/>
          <w:sz w:val="18"/>
          <w:szCs w:val="18"/>
          <w:lang w:val="en-US"/>
        </w:rPr>
        <w:t>Dec 31, 2023</w:t>
      </w:r>
      <w:r w:rsidRPr="00723A6B">
        <w:rPr>
          <w:b w:val="0"/>
          <w:sz w:val="18"/>
          <w:szCs w:val="18"/>
          <w:lang w:val="en-US"/>
        </w:rPr>
        <w:t>).</w:t>
      </w:r>
    </w:p>
    <w:p w14:paraId="351EE270" w14:textId="77777777" w:rsidR="006D0C37" w:rsidRPr="00E2299D" w:rsidRDefault="006D0C37" w:rsidP="006D0C37">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2</w:t>
      </w:r>
      <w:r w:rsidRPr="00E2299D">
        <w:rPr>
          <w:b/>
          <w:color w:val="1F3864" w:themeColor="accent1" w:themeShade="80"/>
          <w:lang w:val="en-US"/>
        </w:rPr>
        <w:t>) Share-Based Payment – Variable Wage Program</w:t>
      </w:r>
    </w:p>
    <w:p w14:paraId="7CE1AF69" w14:textId="77777777" w:rsidR="006D0C37" w:rsidRDefault="006D0C37" w:rsidP="006D0C37">
      <w:pPr>
        <w:pStyle w:val="05-Textonormal"/>
        <w:rPr>
          <w:rFonts w:cs="Arial"/>
          <w:lang w:val="en-US"/>
        </w:rPr>
      </w:pPr>
      <w:r w:rsidRPr="00567A3F">
        <w:rPr>
          <w:rFonts w:cs="Arial"/>
          <w:lang w:val="en-US"/>
        </w:rPr>
        <w:t xml:space="preserve">The Variable Wage Program Board of BB </w:t>
      </w:r>
      <w:proofErr w:type="spellStart"/>
      <w:r w:rsidRPr="00567A3F">
        <w:rPr>
          <w:rFonts w:cs="Arial"/>
          <w:lang w:val="en-US"/>
        </w:rPr>
        <w:t>Seguridade</w:t>
      </w:r>
      <w:proofErr w:type="spellEnd"/>
      <w:r w:rsidRPr="00567A3F">
        <w:rPr>
          <w:rFonts w:cs="Arial"/>
          <w:lang w:val="en-US"/>
        </w:rPr>
        <w:t xml:space="preserve"> determined that, of the total amount allocated to the payment of variable compensation, 50% will be made in shares of BB </w:t>
      </w:r>
      <w:proofErr w:type="spellStart"/>
      <w:r w:rsidRPr="00567A3F">
        <w:rPr>
          <w:rFonts w:cs="Arial"/>
          <w:lang w:val="en-US"/>
        </w:rPr>
        <w:t>Seguridade</w:t>
      </w:r>
      <w:proofErr w:type="spellEnd"/>
      <w:r w:rsidRPr="00567A3F">
        <w:rPr>
          <w:rFonts w:cs="Arial"/>
          <w:lang w:val="en-US"/>
        </w:rPr>
        <w:t xml:space="preserve"> (BBSE3). From the total paid in shares, 20% will be immediately transferred to the beneficiary ownership and 80% will be deferred for a period of f</w:t>
      </w:r>
      <w:r>
        <w:rPr>
          <w:rFonts w:cs="Arial"/>
          <w:lang w:val="en-US"/>
        </w:rPr>
        <w:t>ive</w:t>
      </w:r>
      <w:r w:rsidRPr="00567A3F">
        <w:rPr>
          <w:rFonts w:cs="Arial"/>
          <w:lang w:val="en-US"/>
        </w:rPr>
        <w:t xml:space="preserve"> years.</w:t>
      </w:r>
      <w:r>
        <w:rPr>
          <w:rFonts w:cs="Arial"/>
          <w:lang w:val="en-US"/>
        </w:rPr>
        <w:t xml:space="preserve"> </w:t>
      </w:r>
      <w:r w:rsidRPr="00554288">
        <w:rPr>
          <w:rFonts w:cs="Arial"/>
          <w:lang w:val="en-US"/>
        </w:rPr>
        <w:t>The qualification and classification of administrators are based on indicators that measure the achievement of corporate goals, conditioned on the non-significant reduction in results.</w:t>
      </w:r>
    </w:p>
    <w:p w14:paraId="79134F58" w14:textId="77777777" w:rsidR="006D0C37" w:rsidRPr="00567A3F" w:rsidRDefault="006D0C37" w:rsidP="006D0C37">
      <w:pPr>
        <w:pStyle w:val="05-Textonormal"/>
        <w:rPr>
          <w:rFonts w:cs="Arial"/>
          <w:lang w:val="en-US"/>
        </w:rPr>
      </w:pPr>
      <w:r w:rsidRPr="00E91CF2">
        <w:rPr>
          <w:rFonts w:cs="Arial"/>
          <w:lang w:val="en-US"/>
        </w:rPr>
        <w:t xml:space="preserve">The number of shares allocated to each participant is determined by dividing the net value equivalent to 50% of the fees to which they are entitled, as variable remuneration, by the average price of the share in the week prior to payment. The </w:t>
      </w:r>
      <w:r w:rsidRPr="00E91CF2">
        <w:rPr>
          <w:rFonts w:cs="Arial"/>
          <w:lang w:val="en-US"/>
        </w:rPr>
        <w:lastRenderedPageBreak/>
        <w:t>average price is the simple average of the average daily prices for the week prior to payment. In March 2024, 26,951 shares were paid, at an average price of R$</w:t>
      </w:r>
      <w:r>
        <w:rPr>
          <w:rFonts w:cs="Arial"/>
          <w:lang w:val="en-US"/>
        </w:rPr>
        <w:t xml:space="preserve"> </w:t>
      </w:r>
      <w:r w:rsidRPr="00E91CF2">
        <w:rPr>
          <w:rFonts w:cs="Arial"/>
          <w:lang w:val="en-US"/>
        </w:rPr>
        <w:t>32.86.</w:t>
      </w:r>
    </w:p>
    <w:p w14:paraId="74D7DB13" w14:textId="77777777" w:rsidR="006D0C37" w:rsidRDefault="006D0C37" w:rsidP="006D0C37">
      <w:pPr>
        <w:pStyle w:val="05-Textonormal"/>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w:t>
      </w:r>
      <w:proofErr w:type="gramStart"/>
      <w:r w:rsidRPr="009E41F1">
        <w:rPr>
          <w:lang w:val="en-US"/>
        </w:rPr>
        <w:t>in order to</w:t>
      </w:r>
      <w:proofErr w:type="gramEnd"/>
      <w:r w:rsidRPr="009E41F1">
        <w:rPr>
          <w:lang w:val="en-US"/>
        </w:rPr>
        <w:t xml:space="preserve"> fund, through these shares, part of the payment of the variable remuneration compensation of its Executive Board members, without the need to submit, every year, that commission new requests, in the case therefore of permanent authorization.</w:t>
      </w:r>
    </w:p>
    <w:p w14:paraId="17FC6EB3" w14:textId="77777777" w:rsidR="006D0C37" w:rsidRDefault="006D0C37" w:rsidP="006D0C37">
      <w:pPr>
        <w:pStyle w:val="05-Textonormal"/>
        <w:rPr>
          <w:lang w:val="en-US"/>
        </w:rPr>
      </w:pPr>
      <w:r w:rsidRPr="00275B1D">
        <w:rPr>
          <w:lang w:val="en-US"/>
        </w:rPr>
        <w:t>We present the statement of acquired shares, its distribution and its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629"/>
        <w:gridCol w:w="1388"/>
        <w:gridCol w:w="1424"/>
        <w:gridCol w:w="1384"/>
        <w:gridCol w:w="1505"/>
        <w:gridCol w:w="1309"/>
      </w:tblGrid>
      <w:tr w:rsidR="006D0C37" w:rsidRPr="0093782B" w14:paraId="5EBD3E28" w14:textId="77777777">
        <w:trPr>
          <w:trHeight w:val="238"/>
        </w:trPr>
        <w:tc>
          <w:tcPr>
            <w:tcW w:w="2629" w:type="dxa"/>
            <w:tcBorders>
              <w:top w:val="single" w:sz="2" w:space="0" w:color="1F3864" w:themeColor="accent1" w:themeShade="80"/>
              <w:bottom w:val="single" w:sz="2" w:space="0" w:color="1F3864" w:themeColor="accent1" w:themeShade="80"/>
            </w:tcBorders>
            <w:shd w:val="clear" w:color="auto" w:fill="auto"/>
            <w:vAlign w:val="center"/>
          </w:tcPr>
          <w:p w14:paraId="4A2F9A2D" w14:textId="77777777" w:rsidR="006D0C37" w:rsidRPr="00E2299D" w:rsidRDefault="006D0C37">
            <w:pPr>
              <w:pStyle w:val="08-Tabelageral"/>
              <w:jc w:val="center"/>
              <w:rPr>
                <w:b/>
                <w:lang w:val="en-US"/>
              </w:rPr>
            </w:pPr>
          </w:p>
        </w:tc>
        <w:tc>
          <w:tcPr>
            <w:tcW w:w="1388" w:type="dxa"/>
            <w:tcBorders>
              <w:top w:val="single" w:sz="2" w:space="0" w:color="1F3864" w:themeColor="accent1" w:themeShade="80"/>
              <w:bottom w:val="single" w:sz="2" w:space="0" w:color="1F3864" w:themeColor="accent1" w:themeShade="80"/>
            </w:tcBorders>
            <w:shd w:val="clear" w:color="auto" w:fill="auto"/>
          </w:tcPr>
          <w:p w14:paraId="1F3A7F53" w14:textId="77777777" w:rsidR="006D0C37" w:rsidRPr="0093782B" w:rsidRDefault="006D0C37">
            <w:pPr>
              <w:pStyle w:val="08-Tabelageral"/>
              <w:rPr>
                <w:b/>
              </w:rPr>
            </w:pPr>
            <w:r w:rsidRPr="0093782B">
              <w:rPr>
                <w:b/>
              </w:rPr>
              <w:t>20</w:t>
            </w:r>
            <w:r>
              <w:rPr>
                <w:b/>
              </w:rPr>
              <w:t>20</w:t>
            </w:r>
            <w:r w:rsidRPr="0093782B">
              <w:rPr>
                <w:b/>
              </w:rPr>
              <w:t xml:space="preserve"> </w:t>
            </w:r>
            <w:proofErr w:type="spellStart"/>
            <w:r w:rsidRPr="0093782B">
              <w:rPr>
                <w:b/>
              </w:rPr>
              <w:t>Program</w:t>
            </w:r>
            <w:proofErr w:type="spellEnd"/>
          </w:p>
        </w:tc>
        <w:tc>
          <w:tcPr>
            <w:tcW w:w="1424" w:type="dxa"/>
            <w:tcBorders>
              <w:top w:val="single" w:sz="2" w:space="0" w:color="1F3864" w:themeColor="accent1" w:themeShade="80"/>
              <w:bottom w:val="single" w:sz="2" w:space="0" w:color="1F3864" w:themeColor="accent1" w:themeShade="80"/>
            </w:tcBorders>
            <w:shd w:val="clear" w:color="auto" w:fill="auto"/>
          </w:tcPr>
          <w:p w14:paraId="223357DD" w14:textId="77777777" w:rsidR="006D0C37" w:rsidRPr="0093782B" w:rsidRDefault="006D0C37">
            <w:pPr>
              <w:pStyle w:val="08-Tabelageral"/>
              <w:rPr>
                <w:b/>
              </w:rPr>
            </w:pPr>
            <w:r w:rsidRPr="0093782B">
              <w:rPr>
                <w:b/>
              </w:rPr>
              <w:t>20</w:t>
            </w:r>
            <w:r>
              <w:rPr>
                <w:b/>
              </w:rPr>
              <w:t>21</w:t>
            </w:r>
            <w:r w:rsidRPr="0093782B">
              <w:rPr>
                <w:b/>
              </w:rPr>
              <w:t xml:space="preserve"> </w:t>
            </w:r>
            <w:proofErr w:type="spellStart"/>
            <w:r w:rsidRPr="0093782B">
              <w:rPr>
                <w:b/>
              </w:rPr>
              <w:t>Program</w:t>
            </w:r>
            <w:proofErr w:type="spellEnd"/>
          </w:p>
        </w:tc>
        <w:tc>
          <w:tcPr>
            <w:tcW w:w="1384" w:type="dxa"/>
            <w:tcBorders>
              <w:top w:val="single" w:sz="2" w:space="0" w:color="1F3864" w:themeColor="accent1" w:themeShade="80"/>
              <w:bottom w:val="single" w:sz="2" w:space="0" w:color="1F3864" w:themeColor="accent1" w:themeShade="80"/>
            </w:tcBorders>
            <w:shd w:val="clear" w:color="auto" w:fill="auto"/>
          </w:tcPr>
          <w:p w14:paraId="26BE826B" w14:textId="77777777" w:rsidR="006D0C37" w:rsidRPr="0093782B" w:rsidRDefault="006D0C37">
            <w:pPr>
              <w:pStyle w:val="08-Tabelageral"/>
              <w:rPr>
                <w:b/>
              </w:rPr>
            </w:pPr>
            <w:r w:rsidRPr="0093782B">
              <w:rPr>
                <w:b/>
              </w:rPr>
              <w:t>202</w:t>
            </w:r>
            <w:r>
              <w:rPr>
                <w:b/>
              </w:rPr>
              <w:t>2</w:t>
            </w:r>
            <w:r w:rsidRPr="0093782B">
              <w:rPr>
                <w:b/>
              </w:rPr>
              <w:t xml:space="preserve"> </w:t>
            </w:r>
            <w:proofErr w:type="spellStart"/>
            <w:r w:rsidRPr="0093782B">
              <w:rPr>
                <w:b/>
              </w:rPr>
              <w:t>Program</w:t>
            </w:r>
            <w:proofErr w:type="spellEnd"/>
          </w:p>
        </w:tc>
        <w:tc>
          <w:tcPr>
            <w:tcW w:w="1505" w:type="dxa"/>
            <w:tcBorders>
              <w:top w:val="single" w:sz="2" w:space="0" w:color="1F3864" w:themeColor="accent1" w:themeShade="80"/>
              <w:bottom w:val="single" w:sz="2" w:space="0" w:color="1F3864" w:themeColor="accent1" w:themeShade="80"/>
            </w:tcBorders>
            <w:shd w:val="clear" w:color="auto" w:fill="auto"/>
          </w:tcPr>
          <w:p w14:paraId="759E0122" w14:textId="77777777" w:rsidR="006D0C37" w:rsidRPr="0093782B" w:rsidRDefault="006D0C37">
            <w:pPr>
              <w:pStyle w:val="08-Tabelageral"/>
              <w:rPr>
                <w:b/>
              </w:rPr>
            </w:pPr>
            <w:r w:rsidRPr="0093782B">
              <w:rPr>
                <w:b/>
              </w:rPr>
              <w:t>202</w:t>
            </w:r>
            <w:r>
              <w:rPr>
                <w:b/>
              </w:rPr>
              <w:t>3</w:t>
            </w:r>
            <w:r w:rsidRPr="0093782B">
              <w:rPr>
                <w:b/>
              </w:rPr>
              <w:t xml:space="preserve"> </w:t>
            </w:r>
            <w:proofErr w:type="spellStart"/>
            <w:r w:rsidRPr="0093782B">
              <w:rPr>
                <w:b/>
              </w:rPr>
              <w:t>Program</w:t>
            </w:r>
            <w:proofErr w:type="spellEnd"/>
          </w:p>
        </w:tc>
        <w:tc>
          <w:tcPr>
            <w:tcW w:w="1309" w:type="dxa"/>
            <w:tcBorders>
              <w:top w:val="single" w:sz="2" w:space="0" w:color="1F3864" w:themeColor="accent1" w:themeShade="80"/>
              <w:bottom w:val="single" w:sz="2" w:space="0" w:color="1F3864" w:themeColor="accent1" w:themeShade="80"/>
            </w:tcBorders>
            <w:shd w:val="clear" w:color="auto" w:fill="auto"/>
            <w:vAlign w:val="center"/>
          </w:tcPr>
          <w:p w14:paraId="499E7361" w14:textId="77777777" w:rsidR="006D0C37" w:rsidRPr="0093782B" w:rsidRDefault="006D0C37">
            <w:pPr>
              <w:pStyle w:val="08-Tabelageral"/>
              <w:rPr>
                <w:b/>
              </w:rPr>
            </w:pPr>
            <w:r w:rsidRPr="0093782B">
              <w:rPr>
                <w:b/>
              </w:rPr>
              <w:t>Total</w:t>
            </w:r>
          </w:p>
        </w:tc>
      </w:tr>
      <w:tr w:rsidR="006D0C37" w:rsidRPr="00056C3B" w14:paraId="51D9D483" w14:textId="77777777">
        <w:trPr>
          <w:trHeight w:val="238"/>
        </w:trPr>
        <w:tc>
          <w:tcPr>
            <w:tcW w:w="2629" w:type="dxa"/>
            <w:tcBorders>
              <w:top w:val="single" w:sz="2" w:space="0" w:color="1F3864" w:themeColor="accent1" w:themeShade="80"/>
            </w:tcBorders>
            <w:shd w:val="clear" w:color="auto" w:fill="auto"/>
            <w:vAlign w:val="center"/>
          </w:tcPr>
          <w:p w14:paraId="1D067048" w14:textId="77777777" w:rsidR="006D0C37" w:rsidRPr="00056C3B" w:rsidRDefault="006D0C37">
            <w:pPr>
              <w:pStyle w:val="070-TabelaPadro"/>
              <w:ind w:left="113"/>
              <w:jc w:val="left"/>
              <w:rPr>
                <w:bCs/>
              </w:rPr>
            </w:pPr>
            <w:proofErr w:type="spellStart"/>
            <w:r w:rsidRPr="00B4618F">
              <w:t>Shares</w:t>
            </w:r>
            <w:proofErr w:type="spellEnd"/>
            <w:r w:rsidRPr="00B4618F">
              <w:t xml:space="preserve"> </w:t>
            </w:r>
            <w:proofErr w:type="spellStart"/>
            <w:r w:rsidRPr="00B4618F">
              <w:t>Distributed</w:t>
            </w:r>
            <w:proofErr w:type="spellEnd"/>
          </w:p>
        </w:tc>
        <w:tc>
          <w:tcPr>
            <w:tcW w:w="1388" w:type="dxa"/>
            <w:tcBorders>
              <w:top w:val="single" w:sz="2" w:space="0" w:color="1F3864" w:themeColor="accent1" w:themeShade="80"/>
            </w:tcBorders>
            <w:shd w:val="clear" w:color="auto" w:fill="auto"/>
          </w:tcPr>
          <w:p w14:paraId="1B0E3547" w14:textId="77777777" w:rsidR="006D0C37" w:rsidRPr="00056C3B" w:rsidRDefault="006D0C37">
            <w:pPr>
              <w:pStyle w:val="08-Tabelageral"/>
              <w:rPr>
                <w:rFonts w:cs="Arial"/>
                <w:bCs/>
                <w:szCs w:val="14"/>
              </w:rPr>
            </w:pPr>
            <w:r w:rsidRPr="00386D77">
              <w:rPr>
                <w:rFonts w:cs="Arial"/>
                <w:bCs/>
                <w:szCs w:val="14"/>
              </w:rPr>
              <w:t>17</w:t>
            </w:r>
            <w:r>
              <w:rPr>
                <w:rFonts w:cs="Arial"/>
                <w:bCs/>
                <w:szCs w:val="14"/>
              </w:rPr>
              <w:t>,</w:t>
            </w:r>
            <w:r w:rsidRPr="00386D77">
              <w:rPr>
                <w:rFonts w:cs="Arial"/>
                <w:bCs/>
                <w:szCs w:val="14"/>
              </w:rPr>
              <w:t>973</w:t>
            </w:r>
          </w:p>
        </w:tc>
        <w:tc>
          <w:tcPr>
            <w:tcW w:w="1424" w:type="dxa"/>
            <w:tcBorders>
              <w:top w:val="single" w:sz="2" w:space="0" w:color="1F3864" w:themeColor="accent1" w:themeShade="80"/>
            </w:tcBorders>
            <w:shd w:val="clear" w:color="auto" w:fill="auto"/>
          </w:tcPr>
          <w:p w14:paraId="0B1EA456" w14:textId="77777777" w:rsidR="006D0C37" w:rsidRPr="00056C3B" w:rsidRDefault="006D0C37">
            <w:pPr>
              <w:pStyle w:val="08-Tabelageral"/>
              <w:rPr>
                <w:rFonts w:cs="Arial"/>
                <w:bCs/>
                <w:szCs w:val="14"/>
              </w:rPr>
            </w:pPr>
            <w:r w:rsidRPr="00386D77">
              <w:rPr>
                <w:rFonts w:cs="Arial"/>
                <w:bCs/>
                <w:szCs w:val="14"/>
                <w:lang w:eastAsia="en-US"/>
              </w:rPr>
              <w:t>15</w:t>
            </w:r>
            <w:r>
              <w:rPr>
                <w:rFonts w:cs="Arial"/>
                <w:bCs/>
                <w:szCs w:val="14"/>
                <w:lang w:eastAsia="en-US"/>
              </w:rPr>
              <w:t>,</w:t>
            </w:r>
            <w:r w:rsidRPr="00386D77">
              <w:rPr>
                <w:rFonts w:cs="Arial"/>
                <w:bCs/>
                <w:szCs w:val="14"/>
                <w:lang w:eastAsia="en-US"/>
              </w:rPr>
              <w:t>124</w:t>
            </w:r>
          </w:p>
        </w:tc>
        <w:tc>
          <w:tcPr>
            <w:tcW w:w="1384" w:type="dxa"/>
            <w:tcBorders>
              <w:top w:val="single" w:sz="2" w:space="0" w:color="1F3864" w:themeColor="accent1" w:themeShade="80"/>
            </w:tcBorders>
            <w:shd w:val="clear" w:color="auto" w:fill="auto"/>
          </w:tcPr>
          <w:p w14:paraId="31932BEB" w14:textId="77777777" w:rsidR="006D0C37" w:rsidRPr="00056C3B" w:rsidRDefault="006D0C37">
            <w:pPr>
              <w:pStyle w:val="08-Tabelageral"/>
              <w:rPr>
                <w:rFonts w:cs="Arial"/>
                <w:bCs/>
                <w:szCs w:val="14"/>
              </w:rPr>
            </w:pPr>
            <w:r w:rsidRPr="00386D77">
              <w:rPr>
                <w:rFonts w:cs="Arial"/>
                <w:bCs/>
                <w:szCs w:val="14"/>
              </w:rPr>
              <w:t>10</w:t>
            </w:r>
            <w:r>
              <w:rPr>
                <w:rFonts w:cs="Arial"/>
                <w:bCs/>
                <w:szCs w:val="14"/>
              </w:rPr>
              <w:t>,</w:t>
            </w:r>
            <w:r w:rsidRPr="00386D77">
              <w:rPr>
                <w:rFonts w:cs="Arial"/>
                <w:bCs/>
                <w:szCs w:val="14"/>
              </w:rPr>
              <w:t>889</w:t>
            </w:r>
          </w:p>
        </w:tc>
        <w:tc>
          <w:tcPr>
            <w:tcW w:w="1505" w:type="dxa"/>
            <w:tcBorders>
              <w:top w:val="single" w:sz="2" w:space="0" w:color="1F3864" w:themeColor="accent1" w:themeShade="80"/>
            </w:tcBorders>
            <w:shd w:val="clear" w:color="auto" w:fill="auto"/>
          </w:tcPr>
          <w:p w14:paraId="7608A472" w14:textId="77777777" w:rsidR="006D0C37" w:rsidRPr="00056C3B" w:rsidRDefault="006D0C37">
            <w:pPr>
              <w:pStyle w:val="08-Tabelageral"/>
              <w:rPr>
                <w:rFonts w:cs="Arial"/>
                <w:bCs/>
                <w:szCs w:val="14"/>
              </w:rPr>
            </w:pPr>
            <w:r w:rsidRPr="00386D77">
              <w:rPr>
                <w:rFonts w:cs="Arial"/>
                <w:bCs/>
                <w:szCs w:val="14"/>
              </w:rPr>
              <w:t>5</w:t>
            </w:r>
            <w:r>
              <w:rPr>
                <w:rFonts w:cs="Arial"/>
                <w:bCs/>
                <w:szCs w:val="14"/>
              </w:rPr>
              <w:t>,</w:t>
            </w:r>
            <w:r w:rsidRPr="00386D77">
              <w:rPr>
                <w:rFonts w:cs="Arial"/>
                <w:bCs/>
                <w:szCs w:val="14"/>
              </w:rPr>
              <w:t>413</w:t>
            </w:r>
          </w:p>
        </w:tc>
        <w:tc>
          <w:tcPr>
            <w:tcW w:w="1309" w:type="dxa"/>
            <w:tcBorders>
              <w:top w:val="single" w:sz="2" w:space="0" w:color="1F3864" w:themeColor="accent1" w:themeShade="80"/>
            </w:tcBorders>
            <w:shd w:val="clear" w:color="auto" w:fill="auto"/>
          </w:tcPr>
          <w:p w14:paraId="44998D98" w14:textId="77777777" w:rsidR="006D0C37" w:rsidRPr="00062947" w:rsidRDefault="006D0C37">
            <w:pPr>
              <w:pStyle w:val="08-Tabelageral"/>
              <w:rPr>
                <w:rFonts w:cs="Arial"/>
                <w:b/>
                <w:szCs w:val="14"/>
              </w:rPr>
            </w:pPr>
            <w:r w:rsidRPr="006B1A6C">
              <w:rPr>
                <w:rFonts w:cs="Arial"/>
                <w:b/>
                <w:szCs w:val="14"/>
              </w:rPr>
              <w:t>49</w:t>
            </w:r>
            <w:r>
              <w:rPr>
                <w:rFonts w:cs="Arial"/>
                <w:b/>
                <w:szCs w:val="14"/>
              </w:rPr>
              <w:t>,</w:t>
            </w:r>
            <w:r w:rsidRPr="006B1A6C">
              <w:rPr>
                <w:rFonts w:cs="Arial"/>
                <w:b/>
                <w:szCs w:val="14"/>
              </w:rPr>
              <w:t>399</w:t>
            </w:r>
          </w:p>
        </w:tc>
      </w:tr>
      <w:tr w:rsidR="006D0C37" w:rsidRPr="00056C3B" w14:paraId="0711B555" w14:textId="77777777" w:rsidTr="00CE38A7">
        <w:trPr>
          <w:trHeight w:val="238"/>
        </w:trPr>
        <w:tc>
          <w:tcPr>
            <w:tcW w:w="2629" w:type="dxa"/>
            <w:tcBorders>
              <w:bottom w:val="nil"/>
            </w:tcBorders>
            <w:shd w:val="clear" w:color="auto" w:fill="auto"/>
          </w:tcPr>
          <w:p w14:paraId="2CBA8CB1" w14:textId="77777777" w:rsidR="006D0C37" w:rsidRPr="00056C3B" w:rsidRDefault="006D0C37">
            <w:pPr>
              <w:pStyle w:val="070-TabelaPadro"/>
              <w:ind w:left="113"/>
              <w:jc w:val="left"/>
              <w:rPr>
                <w:bCs/>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388" w:type="dxa"/>
            <w:tcBorders>
              <w:bottom w:val="nil"/>
            </w:tcBorders>
            <w:shd w:val="clear" w:color="auto" w:fill="auto"/>
          </w:tcPr>
          <w:p w14:paraId="0BB439BF" w14:textId="77777777" w:rsidR="006D0C37" w:rsidRPr="00056C3B" w:rsidRDefault="006D0C37">
            <w:pPr>
              <w:pStyle w:val="08-Tabelageral"/>
              <w:rPr>
                <w:rFonts w:cs="Arial"/>
                <w:bCs/>
                <w:szCs w:val="14"/>
              </w:rPr>
            </w:pPr>
            <w:r w:rsidRPr="00386D77">
              <w:rPr>
                <w:rFonts w:cs="Arial"/>
                <w:bCs/>
                <w:szCs w:val="14"/>
              </w:rPr>
              <w:t>4</w:t>
            </w:r>
            <w:r>
              <w:rPr>
                <w:rFonts w:cs="Arial"/>
                <w:bCs/>
                <w:szCs w:val="14"/>
              </w:rPr>
              <w:t>,</w:t>
            </w:r>
            <w:r w:rsidRPr="00386D77">
              <w:rPr>
                <w:rFonts w:cs="Arial"/>
                <w:bCs/>
                <w:szCs w:val="14"/>
              </w:rPr>
              <w:t>487</w:t>
            </w:r>
          </w:p>
        </w:tc>
        <w:tc>
          <w:tcPr>
            <w:tcW w:w="1424" w:type="dxa"/>
            <w:tcBorders>
              <w:bottom w:val="nil"/>
            </w:tcBorders>
            <w:shd w:val="clear" w:color="auto" w:fill="auto"/>
          </w:tcPr>
          <w:p w14:paraId="1C1806E4" w14:textId="77777777" w:rsidR="006D0C37" w:rsidRPr="00056C3B" w:rsidRDefault="006D0C37">
            <w:pPr>
              <w:pStyle w:val="08-Tabelageral"/>
              <w:rPr>
                <w:rFonts w:cs="Arial"/>
                <w:bCs/>
                <w:szCs w:val="14"/>
              </w:rPr>
            </w:pPr>
            <w:r w:rsidRPr="00386D77">
              <w:rPr>
                <w:rFonts w:cs="Arial"/>
                <w:bCs/>
                <w:szCs w:val="14"/>
              </w:rPr>
              <w:t>10</w:t>
            </w:r>
            <w:r>
              <w:rPr>
                <w:rFonts w:cs="Arial"/>
                <w:bCs/>
                <w:szCs w:val="14"/>
              </w:rPr>
              <w:t>,</w:t>
            </w:r>
            <w:r w:rsidRPr="00386D77">
              <w:rPr>
                <w:rFonts w:cs="Arial"/>
                <w:bCs/>
                <w:szCs w:val="14"/>
              </w:rPr>
              <w:t>074</w:t>
            </w:r>
          </w:p>
        </w:tc>
        <w:tc>
          <w:tcPr>
            <w:tcW w:w="1384" w:type="dxa"/>
            <w:tcBorders>
              <w:bottom w:val="nil"/>
            </w:tcBorders>
            <w:shd w:val="clear" w:color="auto" w:fill="auto"/>
          </w:tcPr>
          <w:p w14:paraId="60CD1CA3" w14:textId="77777777" w:rsidR="006D0C37" w:rsidRPr="00056C3B" w:rsidRDefault="006D0C37">
            <w:pPr>
              <w:pStyle w:val="08-Tabelageral"/>
              <w:rPr>
                <w:rFonts w:cs="Arial"/>
                <w:bCs/>
                <w:szCs w:val="14"/>
              </w:rPr>
            </w:pPr>
            <w:r w:rsidRPr="00386D77">
              <w:rPr>
                <w:rFonts w:cs="Arial"/>
                <w:bCs/>
                <w:szCs w:val="14"/>
              </w:rPr>
              <w:t>16</w:t>
            </w:r>
            <w:r>
              <w:rPr>
                <w:rFonts w:cs="Arial"/>
                <w:bCs/>
                <w:szCs w:val="14"/>
              </w:rPr>
              <w:t>,</w:t>
            </w:r>
            <w:r w:rsidRPr="00386D77">
              <w:rPr>
                <w:rFonts w:cs="Arial"/>
                <w:bCs/>
                <w:szCs w:val="14"/>
              </w:rPr>
              <w:t>314</w:t>
            </w:r>
          </w:p>
        </w:tc>
        <w:tc>
          <w:tcPr>
            <w:tcW w:w="1505" w:type="dxa"/>
            <w:tcBorders>
              <w:bottom w:val="nil"/>
            </w:tcBorders>
            <w:shd w:val="clear" w:color="auto" w:fill="auto"/>
          </w:tcPr>
          <w:p w14:paraId="37D081D1" w14:textId="77777777" w:rsidR="006D0C37" w:rsidRPr="00056C3B" w:rsidRDefault="006D0C37">
            <w:pPr>
              <w:pStyle w:val="08-Tabelageral"/>
              <w:rPr>
                <w:rFonts w:cs="Arial"/>
                <w:bCs/>
                <w:szCs w:val="14"/>
              </w:rPr>
            </w:pPr>
            <w:r w:rsidRPr="00386D77">
              <w:rPr>
                <w:rFonts w:cs="Arial"/>
                <w:bCs/>
                <w:szCs w:val="14"/>
              </w:rPr>
              <w:t>21</w:t>
            </w:r>
            <w:r>
              <w:rPr>
                <w:rFonts w:cs="Arial"/>
                <w:bCs/>
                <w:szCs w:val="14"/>
              </w:rPr>
              <w:t>,</w:t>
            </w:r>
            <w:r w:rsidRPr="00386D77">
              <w:rPr>
                <w:rFonts w:cs="Arial"/>
                <w:bCs/>
                <w:szCs w:val="14"/>
              </w:rPr>
              <w:t>659</w:t>
            </w:r>
          </w:p>
        </w:tc>
        <w:tc>
          <w:tcPr>
            <w:tcW w:w="1309" w:type="dxa"/>
            <w:tcBorders>
              <w:bottom w:val="nil"/>
            </w:tcBorders>
            <w:shd w:val="clear" w:color="auto" w:fill="auto"/>
          </w:tcPr>
          <w:p w14:paraId="5510F848" w14:textId="77777777" w:rsidR="006D0C37" w:rsidRPr="00062947" w:rsidRDefault="006D0C37">
            <w:pPr>
              <w:pStyle w:val="08-Tabelageral"/>
              <w:rPr>
                <w:rFonts w:cs="Arial"/>
                <w:b/>
                <w:szCs w:val="14"/>
              </w:rPr>
            </w:pPr>
            <w:r w:rsidRPr="006B1A6C">
              <w:rPr>
                <w:rFonts w:cs="Arial"/>
                <w:b/>
                <w:szCs w:val="14"/>
              </w:rPr>
              <w:t>52</w:t>
            </w:r>
            <w:r>
              <w:rPr>
                <w:rFonts w:cs="Arial"/>
                <w:b/>
                <w:szCs w:val="14"/>
              </w:rPr>
              <w:t>,</w:t>
            </w:r>
            <w:r w:rsidRPr="006B1A6C">
              <w:rPr>
                <w:rFonts w:cs="Arial"/>
                <w:b/>
                <w:szCs w:val="14"/>
              </w:rPr>
              <w:t>534</w:t>
            </w:r>
          </w:p>
        </w:tc>
      </w:tr>
      <w:tr w:rsidR="006D0C37" w:rsidRPr="00810C05" w14:paraId="25752C2B" w14:textId="77777777" w:rsidTr="00CE38A7">
        <w:trPr>
          <w:trHeight w:val="238"/>
        </w:trPr>
        <w:tc>
          <w:tcPr>
            <w:tcW w:w="2629" w:type="dxa"/>
            <w:tcBorders>
              <w:top w:val="nil"/>
              <w:bottom w:val="single" w:sz="2" w:space="0" w:color="1F3864" w:themeColor="accent1" w:themeShade="80"/>
            </w:tcBorders>
            <w:shd w:val="clear" w:color="auto" w:fill="auto"/>
          </w:tcPr>
          <w:p w14:paraId="4D6622D1" w14:textId="77777777" w:rsidR="006D0C37" w:rsidRPr="00810C05" w:rsidRDefault="006D0C37">
            <w:pPr>
              <w:pStyle w:val="070-TabelaPadro"/>
              <w:jc w:val="left"/>
              <w:rPr>
                <w:b/>
                <w:bCs/>
              </w:rPr>
            </w:pPr>
            <w:r w:rsidRPr="00810C05">
              <w:rPr>
                <w:b/>
                <w:bCs/>
              </w:rPr>
              <w:t xml:space="preserve">Total </w:t>
            </w:r>
            <w:proofErr w:type="spellStart"/>
            <w:r w:rsidRPr="00810C05">
              <w:rPr>
                <w:b/>
                <w:bCs/>
              </w:rPr>
              <w:t>Program</w:t>
            </w:r>
            <w:proofErr w:type="spellEnd"/>
            <w:r w:rsidRPr="00810C05">
              <w:rPr>
                <w:b/>
                <w:bCs/>
              </w:rPr>
              <w:t xml:space="preserve"> </w:t>
            </w:r>
            <w:proofErr w:type="spellStart"/>
            <w:r w:rsidRPr="00810C05">
              <w:rPr>
                <w:b/>
                <w:bCs/>
              </w:rPr>
              <w:t>Shares</w:t>
            </w:r>
            <w:proofErr w:type="spellEnd"/>
          </w:p>
        </w:tc>
        <w:tc>
          <w:tcPr>
            <w:tcW w:w="1388" w:type="dxa"/>
            <w:tcBorders>
              <w:top w:val="nil"/>
              <w:bottom w:val="single" w:sz="2" w:space="0" w:color="1F3864" w:themeColor="accent1" w:themeShade="80"/>
            </w:tcBorders>
            <w:shd w:val="clear" w:color="auto" w:fill="auto"/>
          </w:tcPr>
          <w:p w14:paraId="62529AD1" w14:textId="77777777" w:rsidR="006D0C37" w:rsidRPr="00810C05" w:rsidRDefault="006D0C37">
            <w:pPr>
              <w:pStyle w:val="08-Tabelageral"/>
              <w:rPr>
                <w:rFonts w:cs="Arial"/>
                <w:b/>
                <w:bCs/>
                <w:szCs w:val="14"/>
              </w:rPr>
            </w:pPr>
            <w:r w:rsidRPr="00386D77">
              <w:rPr>
                <w:rFonts w:cs="Arial"/>
                <w:b/>
                <w:szCs w:val="14"/>
                <w:lang w:eastAsia="en-US"/>
              </w:rPr>
              <w:t>22</w:t>
            </w:r>
            <w:r>
              <w:rPr>
                <w:rFonts w:cs="Arial"/>
                <w:b/>
                <w:szCs w:val="14"/>
                <w:lang w:eastAsia="en-US"/>
              </w:rPr>
              <w:t>,</w:t>
            </w:r>
            <w:r w:rsidRPr="00386D77">
              <w:rPr>
                <w:rFonts w:cs="Arial"/>
                <w:b/>
                <w:szCs w:val="14"/>
                <w:lang w:eastAsia="en-US"/>
              </w:rPr>
              <w:t>460</w:t>
            </w:r>
          </w:p>
        </w:tc>
        <w:tc>
          <w:tcPr>
            <w:tcW w:w="1424" w:type="dxa"/>
            <w:tcBorders>
              <w:top w:val="nil"/>
              <w:bottom w:val="single" w:sz="2" w:space="0" w:color="1F3864" w:themeColor="accent1" w:themeShade="80"/>
            </w:tcBorders>
            <w:shd w:val="clear" w:color="auto" w:fill="auto"/>
          </w:tcPr>
          <w:p w14:paraId="160A3D8A" w14:textId="77777777" w:rsidR="006D0C37" w:rsidRPr="00810C05" w:rsidRDefault="006D0C37">
            <w:pPr>
              <w:pStyle w:val="08-Tabelageral"/>
              <w:rPr>
                <w:rFonts w:cs="Arial"/>
                <w:b/>
                <w:bCs/>
                <w:szCs w:val="14"/>
              </w:rPr>
            </w:pPr>
            <w:r w:rsidRPr="00386D77">
              <w:rPr>
                <w:rFonts w:cs="Arial"/>
                <w:b/>
                <w:szCs w:val="14"/>
                <w:lang w:eastAsia="en-US"/>
              </w:rPr>
              <w:t>25</w:t>
            </w:r>
            <w:r>
              <w:rPr>
                <w:rFonts w:cs="Arial"/>
                <w:b/>
                <w:szCs w:val="14"/>
                <w:lang w:eastAsia="en-US"/>
              </w:rPr>
              <w:t>,</w:t>
            </w:r>
            <w:r w:rsidRPr="00386D77">
              <w:rPr>
                <w:rFonts w:cs="Arial"/>
                <w:b/>
                <w:szCs w:val="14"/>
                <w:lang w:eastAsia="en-US"/>
              </w:rPr>
              <w:t>198</w:t>
            </w:r>
          </w:p>
        </w:tc>
        <w:tc>
          <w:tcPr>
            <w:tcW w:w="1384" w:type="dxa"/>
            <w:tcBorders>
              <w:top w:val="nil"/>
              <w:bottom w:val="single" w:sz="2" w:space="0" w:color="1F3864" w:themeColor="accent1" w:themeShade="80"/>
            </w:tcBorders>
            <w:shd w:val="clear" w:color="auto" w:fill="auto"/>
          </w:tcPr>
          <w:p w14:paraId="21E7830B" w14:textId="77777777" w:rsidR="006D0C37" w:rsidRPr="00810C05" w:rsidRDefault="006D0C37">
            <w:pPr>
              <w:pStyle w:val="08-Tabelageral"/>
              <w:rPr>
                <w:rFonts w:cs="Arial"/>
                <w:b/>
                <w:bCs/>
                <w:szCs w:val="14"/>
              </w:rPr>
            </w:pPr>
            <w:r w:rsidRPr="00386D77">
              <w:rPr>
                <w:rFonts w:cs="Arial"/>
                <w:b/>
                <w:szCs w:val="14"/>
              </w:rPr>
              <w:t>27</w:t>
            </w:r>
            <w:r>
              <w:rPr>
                <w:rFonts w:cs="Arial"/>
                <w:b/>
                <w:szCs w:val="14"/>
              </w:rPr>
              <w:t>,</w:t>
            </w:r>
            <w:r w:rsidRPr="00386D77">
              <w:rPr>
                <w:rFonts w:cs="Arial"/>
                <w:b/>
                <w:szCs w:val="14"/>
              </w:rPr>
              <w:t>203</w:t>
            </w:r>
          </w:p>
        </w:tc>
        <w:tc>
          <w:tcPr>
            <w:tcW w:w="1505" w:type="dxa"/>
            <w:tcBorders>
              <w:top w:val="nil"/>
              <w:bottom w:val="single" w:sz="2" w:space="0" w:color="1F3864" w:themeColor="accent1" w:themeShade="80"/>
            </w:tcBorders>
            <w:shd w:val="clear" w:color="auto" w:fill="auto"/>
          </w:tcPr>
          <w:p w14:paraId="499B0168" w14:textId="77777777" w:rsidR="006D0C37" w:rsidRPr="00810C05" w:rsidRDefault="006D0C37">
            <w:pPr>
              <w:pStyle w:val="08-Tabelageral"/>
              <w:rPr>
                <w:rFonts w:cs="Arial"/>
                <w:b/>
                <w:bCs/>
                <w:szCs w:val="14"/>
              </w:rPr>
            </w:pPr>
            <w:r w:rsidRPr="00386D77">
              <w:rPr>
                <w:rFonts w:cs="Arial"/>
                <w:b/>
                <w:szCs w:val="14"/>
              </w:rPr>
              <w:t>27</w:t>
            </w:r>
            <w:r>
              <w:rPr>
                <w:rFonts w:cs="Arial"/>
                <w:b/>
                <w:szCs w:val="14"/>
              </w:rPr>
              <w:t>,</w:t>
            </w:r>
            <w:r w:rsidRPr="00386D77">
              <w:rPr>
                <w:rFonts w:cs="Arial"/>
                <w:b/>
                <w:szCs w:val="14"/>
              </w:rPr>
              <w:t>072</w:t>
            </w:r>
          </w:p>
        </w:tc>
        <w:tc>
          <w:tcPr>
            <w:tcW w:w="1309" w:type="dxa"/>
            <w:tcBorders>
              <w:top w:val="nil"/>
              <w:bottom w:val="single" w:sz="2" w:space="0" w:color="1F3864" w:themeColor="accent1" w:themeShade="80"/>
            </w:tcBorders>
            <w:shd w:val="clear" w:color="auto" w:fill="auto"/>
          </w:tcPr>
          <w:p w14:paraId="5A91C666" w14:textId="77777777" w:rsidR="006D0C37" w:rsidRPr="00810C05" w:rsidRDefault="006D0C37">
            <w:pPr>
              <w:pStyle w:val="08-Tabelageral"/>
              <w:rPr>
                <w:rFonts w:cs="Arial"/>
                <w:b/>
                <w:bCs/>
                <w:szCs w:val="14"/>
              </w:rPr>
            </w:pPr>
            <w:r w:rsidRPr="006B1A6C">
              <w:rPr>
                <w:rFonts w:cs="Arial"/>
                <w:b/>
                <w:szCs w:val="14"/>
              </w:rPr>
              <w:t>101</w:t>
            </w:r>
            <w:r>
              <w:rPr>
                <w:rFonts w:cs="Arial"/>
                <w:b/>
                <w:szCs w:val="14"/>
              </w:rPr>
              <w:t>,</w:t>
            </w:r>
            <w:r w:rsidRPr="006B1A6C">
              <w:rPr>
                <w:rFonts w:cs="Arial"/>
                <w:b/>
                <w:szCs w:val="14"/>
              </w:rPr>
              <w:t>933</w:t>
            </w:r>
          </w:p>
        </w:tc>
      </w:tr>
    </w:tbl>
    <w:p w14:paraId="1B2C43CB" w14:textId="77777777" w:rsidR="006D0C37" w:rsidRDefault="006D0C37" w:rsidP="006D0C37">
      <w:pPr>
        <w:pStyle w:val="01-TtulodeNota"/>
        <w:shd w:val="clear" w:color="auto" w:fill="FFFFFF" w:themeFill="background1"/>
        <w:rPr>
          <w:color w:val="1F3864" w:themeColor="accent1" w:themeShade="80"/>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17"/>
        <w:gridCol w:w="1095"/>
        <w:gridCol w:w="1296"/>
        <w:gridCol w:w="1297"/>
        <w:gridCol w:w="1297"/>
        <w:gridCol w:w="1297"/>
        <w:gridCol w:w="1128"/>
        <w:gridCol w:w="12"/>
      </w:tblGrid>
      <w:tr w:rsidR="006D0C37" w:rsidRPr="009E6BBD" w14:paraId="5FEA81E1" w14:textId="77777777">
        <w:trPr>
          <w:gridAfter w:val="1"/>
          <w:wAfter w:w="12" w:type="dxa"/>
          <w:trHeight w:val="238"/>
        </w:trPr>
        <w:tc>
          <w:tcPr>
            <w:tcW w:w="9627" w:type="dxa"/>
            <w:gridSpan w:val="7"/>
            <w:tcBorders>
              <w:top w:val="single" w:sz="4" w:space="0" w:color="1F3864" w:themeColor="accent1" w:themeShade="80"/>
              <w:bottom w:val="single" w:sz="4" w:space="0" w:color="1F3864" w:themeColor="accent1" w:themeShade="80"/>
            </w:tcBorders>
            <w:shd w:val="clear" w:color="auto" w:fill="auto"/>
          </w:tcPr>
          <w:p w14:paraId="0C3171E1" w14:textId="77777777" w:rsidR="006D0C37" w:rsidRPr="009E6BBD" w:rsidRDefault="006D0C37">
            <w:pPr>
              <w:pStyle w:val="08-Tabelageral"/>
              <w:jc w:val="center"/>
              <w:rPr>
                <w:b/>
                <w:bCs/>
              </w:rPr>
            </w:pPr>
            <w:proofErr w:type="spellStart"/>
            <w:r w:rsidRPr="009E6BBD">
              <w:rPr>
                <w:b/>
                <w:bCs/>
              </w:rPr>
              <w:t>Estimated</w:t>
            </w:r>
            <w:proofErr w:type="spellEnd"/>
            <w:r w:rsidRPr="009E6BBD">
              <w:rPr>
                <w:b/>
                <w:bCs/>
              </w:rPr>
              <w:t xml:space="preserve"> Schedule </w:t>
            </w:r>
            <w:proofErr w:type="spellStart"/>
            <w:r w:rsidRPr="009E6BBD">
              <w:rPr>
                <w:b/>
                <w:bCs/>
              </w:rPr>
              <w:t>Transfers</w:t>
            </w:r>
            <w:proofErr w:type="spellEnd"/>
          </w:p>
        </w:tc>
      </w:tr>
      <w:tr w:rsidR="006D0C37" w:rsidRPr="00733251" w14:paraId="50DD9E66" w14:textId="77777777">
        <w:trPr>
          <w:trHeight w:val="238"/>
        </w:trPr>
        <w:tc>
          <w:tcPr>
            <w:tcW w:w="2217" w:type="dxa"/>
            <w:tcBorders>
              <w:top w:val="single" w:sz="4" w:space="0" w:color="9CC2E5" w:themeColor="accent5" w:themeTint="99"/>
            </w:tcBorders>
            <w:shd w:val="clear" w:color="auto" w:fill="auto"/>
          </w:tcPr>
          <w:p w14:paraId="428576F8" w14:textId="77777777" w:rsidR="006D0C37" w:rsidRPr="00733251" w:rsidRDefault="006D0C37">
            <w:pPr>
              <w:pStyle w:val="070-TabelaPadro"/>
              <w:spacing w:line="276" w:lineRule="auto"/>
              <w:jc w:val="left"/>
            </w:pPr>
          </w:p>
        </w:tc>
        <w:tc>
          <w:tcPr>
            <w:tcW w:w="1095" w:type="dxa"/>
            <w:tcBorders>
              <w:top w:val="single" w:sz="4" w:space="0" w:color="9CC2E5" w:themeColor="accent5" w:themeTint="99"/>
            </w:tcBorders>
            <w:shd w:val="clear" w:color="auto" w:fill="auto"/>
          </w:tcPr>
          <w:p w14:paraId="1531E6F5" w14:textId="77777777" w:rsidR="006D0C37" w:rsidRPr="00E1087E" w:rsidRDefault="006D0C37">
            <w:pPr>
              <w:pStyle w:val="08-Tabelageral"/>
              <w:rPr>
                <w:rFonts w:cs="Arial"/>
                <w:b/>
                <w:bCs/>
                <w:szCs w:val="14"/>
              </w:rPr>
            </w:pPr>
            <w:proofErr w:type="spellStart"/>
            <w:r w:rsidRPr="00E1087E">
              <w:rPr>
                <w:rFonts w:cs="Arial"/>
                <w:b/>
                <w:bCs/>
                <w:szCs w:val="14"/>
              </w:rPr>
              <w:t>Per</w:t>
            </w:r>
            <w:r>
              <w:rPr>
                <w:rFonts w:cs="Arial"/>
                <w:b/>
                <w:bCs/>
                <w:szCs w:val="14"/>
              </w:rPr>
              <w:t>i</w:t>
            </w:r>
            <w:r w:rsidRPr="00E1087E">
              <w:rPr>
                <w:rFonts w:cs="Arial"/>
                <w:b/>
                <w:bCs/>
                <w:szCs w:val="14"/>
              </w:rPr>
              <w:t>o</w:t>
            </w:r>
            <w:r>
              <w:rPr>
                <w:rFonts w:cs="Arial"/>
                <w:b/>
                <w:bCs/>
                <w:szCs w:val="14"/>
              </w:rPr>
              <w:t>d</w:t>
            </w:r>
            <w:proofErr w:type="spellEnd"/>
          </w:p>
        </w:tc>
        <w:tc>
          <w:tcPr>
            <w:tcW w:w="1296" w:type="dxa"/>
            <w:tcBorders>
              <w:top w:val="single" w:sz="4" w:space="0" w:color="9CC2E5" w:themeColor="accent5" w:themeTint="99"/>
            </w:tcBorders>
            <w:shd w:val="clear" w:color="auto" w:fill="auto"/>
          </w:tcPr>
          <w:p w14:paraId="3675F6D5" w14:textId="77777777" w:rsidR="006D0C37" w:rsidRPr="00E31A92" w:rsidRDefault="006D0C37">
            <w:pPr>
              <w:pStyle w:val="08-Tabelageral"/>
              <w:rPr>
                <w:rFonts w:cs="Arial"/>
                <w:szCs w:val="14"/>
              </w:rPr>
            </w:pPr>
            <w:r w:rsidRPr="0093782B">
              <w:rPr>
                <w:b/>
              </w:rPr>
              <w:t>20</w:t>
            </w:r>
            <w:r>
              <w:rPr>
                <w:b/>
              </w:rPr>
              <w:t xml:space="preserve">20 </w:t>
            </w:r>
            <w:proofErr w:type="spellStart"/>
            <w:r w:rsidRPr="0093782B">
              <w:rPr>
                <w:b/>
              </w:rPr>
              <w:t>Program</w:t>
            </w:r>
            <w:proofErr w:type="spellEnd"/>
          </w:p>
        </w:tc>
        <w:tc>
          <w:tcPr>
            <w:tcW w:w="1297" w:type="dxa"/>
            <w:tcBorders>
              <w:top w:val="single" w:sz="4" w:space="0" w:color="9CC2E5" w:themeColor="accent5" w:themeTint="99"/>
            </w:tcBorders>
            <w:shd w:val="clear" w:color="auto" w:fill="auto"/>
          </w:tcPr>
          <w:p w14:paraId="668B1B33" w14:textId="77777777" w:rsidR="006D0C37" w:rsidRPr="00E31A92" w:rsidRDefault="006D0C37">
            <w:pPr>
              <w:pStyle w:val="08-Tabelageral"/>
              <w:rPr>
                <w:rFonts w:cs="Arial"/>
                <w:szCs w:val="14"/>
              </w:rPr>
            </w:pPr>
            <w:r w:rsidRPr="0093782B">
              <w:rPr>
                <w:b/>
              </w:rPr>
              <w:t>20</w:t>
            </w:r>
            <w:r>
              <w:rPr>
                <w:b/>
              </w:rPr>
              <w:t>21</w:t>
            </w:r>
            <w:r w:rsidRPr="0093782B">
              <w:rPr>
                <w:b/>
              </w:rPr>
              <w:t xml:space="preserve"> </w:t>
            </w:r>
            <w:proofErr w:type="spellStart"/>
            <w:r w:rsidRPr="0093782B">
              <w:rPr>
                <w:b/>
              </w:rPr>
              <w:t>Program</w:t>
            </w:r>
            <w:proofErr w:type="spellEnd"/>
          </w:p>
        </w:tc>
        <w:tc>
          <w:tcPr>
            <w:tcW w:w="1297" w:type="dxa"/>
            <w:tcBorders>
              <w:top w:val="single" w:sz="4" w:space="0" w:color="9CC2E5" w:themeColor="accent5" w:themeTint="99"/>
            </w:tcBorders>
            <w:shd w:val="clear" w:color="auto" w:fill="auto"/>
          </w:tcPr>
          <w:p w14:paraId="019F5ADC" w14:textId="77777777" w:rsidR="006D0C37" w:rsidRPr="00E31A92" w:rsidRDefault="006D0C37">
            <w:pPr>
              <w:pStyle w:val="08-Tabelageral"/>
              <w:rPr>
                <w:rFonts w:cs="Arial"/>
                <w:szCs w:val="14"/>
              </w:rPr>
            </w:pPr>
            <w:r w:rsidRPr="0093782B">
              <w:rPr>
                <w:b/>
              </w:rPr>
              <w:t>202</w:t>
            </w:r>
            <w:r>
              <w:rPr>
                <w:b/>
              </w:rPr>
              <w:t>2</w:t>
            </w:r>
            <w:r w:rsidRPr="0093782B">
              <w:rPr>
                <w:b/>
              </w:rPr>
              <w:t xml:space="preserve"> </w:t>
            </w:r>
            <w:proofErr w:type="spellStart"/>
            <w:r w:rsidRPr="0093782B">
              <w:rPr>
                <w:b/>
              </w:rPr>
              <w:t>Program</w:t>
            </w:r>
            <w:proofErr w:type="spellEnd"/>
          </w:p>
        </w:tc>
        <w:tc>
          <w:tcPr>
            <w:tcW w:w="1297" w:type="dxa"/>
            <w:tcBorders>
              <w:top w:val="single" w:sz="4" w:space="0" w:color="9CC2E5" w:themeColor="accent5" w:themeTint="99"/>
            </w:tcBorders>
            <w:shd w:val="clear" w:color="auto" w:fill="auto"/>
          </w:tcPr>
          <w:p w14:paraId="596D498A" w14:textId="77777777" w:rsidR="006D0C37" w:rsidRPr="00E31A92" w:rsidRDefault="006D0C37">
            <w:pPr>
              <w:pStyle w:val="08-Tabelageral"/>
              <w:rPr>
                <w:rFonts w:cs="Arial"/>
                <w:szCs w:val="14"/>
              </w:rPr>
            </w:pPr>
            <w:r w:rsidRPr="0093782B">
              <w:rPr>
                <w:b/>
              </w:rPr>
              <w:t>202</w:t>
            </w:r>
            <w:r>
              <w:rPr>
                <w:b/>
              </w:rPr>
              <w:t>3</w:t>
            </w:r>
            <w:r w:rsidRPr="0093782B">
              <w:rPr>
                <w:b/>
              </w:rPr>
              <w:t xml:space="preserve"> </w:t>
            </w:r>
            <w:proofErr w:type="spellStart"/>
            <w:r w:rsidRPr="0093782B">
              <w:rPr>
                <w:b/>
              </w:rPr>
              <w:t>Program</w:t>
            </w:r>
            <w:proofErr w:type="spellEnd"/>
          </w:p>
        </w:tc>
        <w:tc>
          <w:tcPr>
            <w:tcW w:w="1140" w:type="dxa"/>
            <w:gridSpan w:val="2"/>
            <w:tcBorders>
              <w:top w:val="single" w:sz="4" w:space="0" w:color="9CC2E5" w:themeColor="accent5" w:themeTint="99"/>
            </w:tcBorders>
            <w:shd w:val="clear" w:color="auto" w:fill="auto"/>
          </w:tcPr>
          <w:p w14:paraId="50AB2600" w14:textId="77777777" w:rsidR="006D0C37" w:rsidRPr="00056C3B" w:rsidRDefault="006D0C37">
            <w:pPr>
              <w:pStyle w:val="08-Tabelageral"/>
              <w:rPr>
                <w:b/>
                <w:bCs/>
              </w:rPr>
            </w:pPr>
            <w:r>
              <w:rPr>
                <w:b/>
                <w:bCs/>
              </w:rPr>
              <w:t>Total</w:t>
            </w:r>
          </w:p>
        </w:tc>
      </w:tr>
      <w:tr w:rsidR="006D0C37" w:rsidRPr="00733251" w14:paraId="3414A01D" w14:textId="77777777">
        <w:trPr>
          <w:trHeight w:val="238"/>
        </w:trPr>
        <w:tc>
          <w:tcPr>
            <w:tcW w:w="2217" w:type="dxa"/>
            <w:shd w:val="clear" w:color="auto" w:fill="auto"/>
          </w:tcPr>
          <w:p w14:paraId="61128512" w14:textId="77777777" w:rsidR="006D0C37" w:rsidRPr="00E31A92" w:rsidRDefault="006D0C37">
            <w:pPr>
              <w:pStyle w:val="070-TabelaPadro"/>
              <w:ind w:left="113"/>
              <w:jc w:val="left"/>
              <w:rPr>
                <w:b/>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shd w:val="clear" w:color="auto" w:fill="auto"/>
          </w:tcPr>
          <w:p w14:paraId="1E87F176" w14:textId="77777777" w:rsidR="006D0C37" w:rsidRPr="00062947" w:rsidRDefault="006D0C37">
            <w:pPr>
              <w:pStyle w:val="08-Tabelageral"/>
              <w:rPr>
                <w:rFonts w:cs="Arial"/>
                <w:bCs/>
                <w:szCs w:val="14"/>
              </w:rPr>
            </w:pPr>
            <w:proofErr w:type="spellStart"/>
            <w:r w:rsidRPr="00B8356C">
              <w:t>March</w:t>
            </w:r>
            <w:proofErr w:type="spellEnd"/>
            <w:r w:rsidRPr="00B8356C">
              <w:t xml:space="preserve"> 202</w:t>
            </w:r>
            <w:r>
              <w:t>5</w:t>
            </w:r>
          </w:p>
        </w:tc>
        <w:tc>
          <w:tcPr>
            <w:tcW w:w="1296" w:type="dxa"/>
            <w:shd w:val="clear" w:color="auto" w:fill="auto"/>
          </w:tcPr>
          <w:p w14:paraId="60470140" w14:textId="77777777" w:rsidR="006D0C37" w:rsidRPr="00062947" w:rsidRDefault="006D0C37">
            <w:pPr>
              <w:pStyle w:val="08-Tabelageral"/>
              <w:rPr>
                <w:rFonts w:cs="Arial"/>
                <w:bCs/>
                <w:szCs w:val="14"/>
              </w:rPr>
            </w:pPr>
            <w:r w:rsidRPr="006B1A6C">
              <w:rPr>
                <w:rFonts w:cs="Arial"/>
                <w:bCs/>
                <w:szCs w:val="14"/>
                <w:lang w:eastAsia="en-US"/>
              </w:rPr>
              <w:t>4</w:t>
            </w:r>
            <w:r>
              <w:rPr>
                <w:rFonts w:cs="Arial"/>
                <w:bCs/>
                <w:szCs w:val="14"/>
                <w:lang w:eastAsia="en-US"/>
              </w:rPr>
              <w:t>,</w:t>
            </w:r>
            <w:r w:rsidRPr="006B1A6C">
              <w:rPr>
                <w:rFonts w:cs="Arial"/>
                <w:bCs/>
                <w:szCs w:val="14"/>
                <w:lang w:eastAsia="en-US"/>
              </w:rPr>
              <w:t>487</w:t>
            </w:r>
          </w:p>
        </w:tc>
        <w:tc>
          <w:tcPr>
            <w:tcW w:w="1297" w:type="dxa"/>
            <w:shd w:val="clear" w:color="auto" w:fill="auto"/>
          </w:tcPr>
          <w:p w14:paraId="1F07D5BC" w14:textId="77777777" w:rsidR="006D0C37" w:rsidRPr="00062947" w:rsidRDefault="006D0C37">
            <w:pPr>
              <w:pStyle w:val="08-Tabelageral"/>
              <w:rPr>
                <w:rFonts w:cs="Arial"/>
                <w:bCs/>
                <w:szCs w:val="14"/>
              </w:rPr>
            </w:pPr>
            <w:r w:rsidRPr="006B1A6C">
              <w:rPr>
                <w:rFonts w:cs="Arial"/>
                <w:bCs/>
                <w:szCs w:val="14"/>
              </w:rPr>
              <w:t>5</w:t>
            </w:r>
            <w:r>
              <w:rPr>
                <w:rFonts w:cs="Arial"/>
                <w:bCs/>
                <w:szCs w:val="14"/>
              </w:rPr>
              <w:t>,</w:t>
            </w:r>
            <w:r w:rsidRPr="006B1A6C">
              <w:rPr>
                <w:rFonts w:cs="Arial"/>
                <w:bCs/>
                <w:szCs w:val="14"/>
              </w:rPr>
              <w:t>037</w:t>
            </w:r>
          </w:p>
        </w:tc>
        <w:tc>
          <w:tcPr>
            <w:tcW w:w="1297" w:type="dxa"/>
            <w:shd w:val="clear" w:color="auto" w:fill="auto"/>
          </w:tcPr>
          <w:p w14:paraId="0A9F4CD7" w14:textId="77777777" w:rsidR="006D0C37" w:rsidRPr="00062947" w:rsidRDefault="006D0C37">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438</w:t>
            </w:r>
          </w:p>
        </w:tc>
        <w:tc>
          <w:tcPr>
            <w:tcW w:w="1297" w:type="dxa"/>
            <w:shd w:val="clear" w:color="auto" w:fill="auto"/>
          </w:tcPr>
          <w:p w14:paraId="1C5388C8" w14:textId="77777777" w:rsidR="006D0C37" w:rsidRPr="00062947" w:rsidRDefault="006D0C37">
            <w:pPr>
              <w:pStyle w:val="08-Tabelageral"/>
              <w:rPr>
                <w:rFonts w:cs="Arial"/>
                <w:bCs/>
                <w:szCs w:val="14"/>
              </w:rPr>
            </w:pPr>
            <w:r w:rsidRPr="006B1A6C">
              <w:rPr>
                <w:rFonts w:cs="Arial"/>
                <w:bCs/>
                <w:szCs w:val="14"/>
              </w:rPr>
              <w:t>8</w:t>
            </w:r>
            <w:r>
              <w:rPr>
                <w:rFonts w:cs="Arial"/>
                <w:bCs/>
                <w:szCs w:val="14"/>
              </w:rPr>
              <w:t>,</w:t>
            </w:r>
            <w:r w:rsidRPr="006B1A6C">
              <w:rPr>
                <w:rFonts w:cs="Arial"/>
                <w:bCs/>
                <w:szCs w:val="14"/>
              </w:rPr>
              <w:t>120</w:t>
            </w:r>
          </w:p>
        </w:tc>
        <w:tc>
          <w:tcPr>
            <w:tcW w:w="1140" w:type="dxa"/>
            <w:gridSpan w:val="2"/>
            <w:shd w:val="clear" w:color="auto" w:fill="auto"/>
            <w:vAlign w:val="bottom"/>
          </w:tcPr>
          <w:p w14:paraId="4BB32EBB" w14:textId="77777777" w:rsidR="006D0C37" w:rsidRPr="00187166" w:rsidRDefault="006D0C37">
            <w:pPr>
              <w:pStyle w:val="08-Tabelageral"/>
              <w:rPr>
                <w:rFonts w:cs="Arial"/>
                <w:b/>
                <w:szCs w:val="14"/>
              </w:rPr>
            </w:pPr>
            <w:r w:rsidRPr="006B1A6C">
              <w:rPr>
                <w:rFonts w:cs="Arial"/>
                <w:bCs/>
                <w:szCs w:val="14"/>
              </w:rPr>
              <w:t>23</w:t>
            </w:r>
            <w:r>
              <w:rPr>
                <w:rFonts w:cs="Arial"/>
                <w:bCs/>
                <w:szCs w:val="14"/>
              </w:rPr>
              <w:t>,</w:t>
            </w:r>
            <w:r w:rsidRPr="006B1A6C">
              <w:rPr>
                <w:rFonts w:cs="Arial"/>
                <w:bCs/>
                <w:szCs w:val="14"/>
              </w:rPr>
              <w:t>082</w:t>
            </w:r>
          </w:p>
        </w:tc>
      </w:tr>
      <w:tr w:rsidR="006D0C37" w:rsidRPr="00733251" w14:paraId="4BD3E4FD" w14:textId="77777777">
        <w:trPr>
          <w:trHeight w:val="238"/>
        </w:trPr>
        <w:tc>
          <w:tcPr>
            <w:tcW w:w="2217" w:type="dxa"/>
            <w:shd w:val="clear" w:color="auto" w:fill="auto"/>
          </w:tcPr>
          <w:p w14:paraId="164F4CC2" w14:textId="77777777" w:rsidR="006D0C37" w:rsidRPr="00E31A92" w:rsidRDefault="006D0C37">
            <w:pPr>
              <w:pStyle w:val="070-TabelaPadro"/>
              <w:ind w:left="113"/>
              <w:jc w:val="left"/>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shd w:val="clear" w:color="auto" w:fill="auto"/>
          </w:tcPr>
          <w:p w14:paraId="7B40683E" w14:textId="77777777" w:rsidR="006D0C37" w:rsidRPr="00062947" w:rsidRDefault="006D0C37">
            <w:pPr>
              <w:pStyle w:val="08-Tabelageral"/>
              <w:rPr>
                <w:rFonts w:cs="Arial"/>
                <w:bCs/>
                <w:szCs w:val="14"/>
              </w:rPr>
            </w:pPr>
            <w:proofErr w:type="spellStart"/>
            <w:r w:rsidRPr="00B8356C">
              <w:t>March</w:t>
            </w:r>
            <w:proofErr w:type="spellEnd"/>
            <w:r w:rsidRPr="00B8356C">
              <w:t xml:space="preserve"> 202</w:t>
            </w:r>
            <w:r>
              <w:t>6</w:t>
            </w:r>
          </w:p>
        </w:tc>
        <w:tc>
          <w:tcPr>
            <w:tcW w:w="1296" w:type="dxa"/>
            <w:shd w:val="clear" w:color="auto" w:fill="auto"/>
          </w:tcPr>
          <w:p w14:paraId="70EC1472" w14:textId="77777777" w:rsidR="006D0C37" w:rsidRPr="00062947" w:rsidRDefault="006D0C37">
            <w:pPr>
              <w:pStyle w:val="08-Tabelageral"/>
              <w:rPr>
                <w:rFonts w:cs="Arial"/>
                <w:bCs/>
                <w:szCs w:val="14"/>
              </w:rPr>
            </w:pPr>
            <w:r w:rsidRPr="006B1A6C">
              <w:rPr>
                <w:rFonts w:cs="Arial"/>
                <w:bCs/>
                <w:szCs w:val="14"/>
                <w:lang w:eastAsia="en-US"/>
              </w:rPr>
              <w:t>--</w:t>
            </w:r>
          </w:p>
        </w:tc>
        <w:tc>
          <w:tcPr>
            <w:tcW w:w="1297" w:type="dxa"/>
            <w:shd w:val="clear" w:color="auto" w:fill="auto"/>
          </w:tcPr>
          <w:p w14:paraId="2BD9586B" w14:textId="77777777" w:rsidR="006D0C37" w:rsidRPr="00062947" w:rsidRDefault="006D0C37">
            <w:pPr>
              <w:pStyle w:val="08-Tabelageral"/>
              <w:rPr>
                <w:rFonts w:cs="Arial"/>
                <w:bCs/>
                <w:szCs w:val="14"/>
              </w:rPr>
            </w:pPr>
            <w:r w:rsidRPr="006B1A6C">
              <w:rPr>
                <w:rFonts w:cs="Arial"/>
                <w:szCs w:val="14"/>
              </w:rPr>
              <w:t>5</w:t>
            </w:r>
            <w:r>
              <w:rPr>
                <w:rFonts w:cs="Arial"/>
                <w:szCs w:val="14"/>
              </w:rPr>
              <w:t>,</w:t>
            </w:r>
            <w:r w:rsidRPr="006B1A6C">
              <w:rPr>
                <w:rFonts w:cs="Arial"/>
                <w:szCs w:val="14"/>
              </w:rPr>
              <w:t>037</w:t>
            </w:r>
          </w:p>
        </w:tc>
        <w:tc>
          <w:tcPr>
            <w:tcW w:w="1297" w:type="dxa"/>
            <w:shd w:val="clear" w:color="auto" w:fill="auto"/>
          </w:tcPr>
          <w:p w14:paraId="4C21D637" w14:textId="77777777" w:rsidR="006D0C37" w:rsidRPr="00062947" w:rsidRDefault="006D0C37">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438</w:t>
            </w:r>
          </w:p>
        </w:tc>
        <w:tc>
          <w:tcPr>
            <w:tcW w:w="1297" w:type="dxa"/>
            <w:shd w:val="clear" w:color="auto" w:fill="auto"/>
          </w:tcPr>
          <w:p w14:paraId="4923D18C" w14:textId="77777777" w:rsidR="006D0C37" w:rsidRPr="00062947" w:rsidRDefault="006D0C37">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413</w:t>
            </w:r>
          </w:p>
        </w:tc>
        <w:tc>
          <w:tcPr>
            <w:tcW w:w="1140" w:type="dxa"/>
            <w:gridSpan w:val="2"/>
            <w:shd w:val="clear" w:color="auto" w:fill="auto"/>
            <w:vAlign w:val="bottom"/>
          </w:tcPr>
          <w:p w14:paraId="7E2AD254" w14:textId="77777777" w:rsidR="006D0C37" w:rsidRPr="00187166" w:rsidRDefault="006D0C37">
            <w:pPr>
              <w:pStyle w:val="08-Tabelageral"/>
              <w:rPr>
                <w:rFonts w:cs="Arial"/>
                <w:b/>
                <w:szCs w:val="14"/>
              </w:rPr>
            </w:pPr>
            <w:r>
              <w:rPr>
                <w:rFonts w:cs="Arial"/>
                <w:bCs/>
                <w:szCs w:val="14"/>
              </w:rPr>
              <w:t>15,888</w:t>
            </w:r>
          </w:p>
        </w:tc>
      </w:tr>
      <w:tr w:rsidR="006D0C37" w:rsidRPr="00733251" w14:paraId="26D3EC83" w14:textId="77777777">
        <w:trPr>
          <w:trHeight w:val="238"/>
        </w:trPr>
        <w:tc>
          <w:tcPr>
            <w:tcW w:w="2217" w:type="dxa"/>
            <w:shd w:val="clear" w:color="auto" w:fill="auto"/>
          </w:tcPr>
          <w:p w14:paraId="1B049D26" w14:textId="77777777" w:rsidR="006D0C37" w:rsidRPr="00E31A92" w:rsidRDefault="006D0C37">
            <w:pPr>
              <w:pStyle w:val="070-TabelaPadro"/>
              <w:ind w:left="113"/>
              <w:jc w:val="left"/>
              <w:rPr>
                <w:b/>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shd w:val="clear" w:color="auto" w:fill="auto"/>
          </w:tcPr>
          <w:p w14:paraId="1B0D691D" w14:textId="77777777" w:rsidR="006D0C37" w:rsidRPr="00062947" w:rsidRDefault="006D0C37">
            <w:pPr>
              <w:pStyle w:val="08-Tabelageral"/>
              <w:rPr>
                <w:rFonts w:cs="Arial"/>
                <w:bCs/>
                <w:szCs w:val="14"/>
              </w:rPr>
            </w:pPr>
            <w:proofErr w:type="spellStart"/>
            <w:r w:rsidRPr="00B8356C">
              <w:t>March</w:t>
            </w:r>
            <w:proofErr w:type="spellEnd"/>
            <w:r w:rsidRPr="00B8356C">
              <w:t xml:space="preserve"> 202</w:t>
            </w:r>
            <w:r>
              <w:t>7</w:t>
            </w:r>
          </w:p>
        </w:tc>
        <w:tc>
          <w:tcPr>
            <w:tcW w:w="1296" w:type="dxa"/>
            <w:shd w:val="clear" w:color="auto" w:fill="auto"/>
          </w:tcPr>
          <w:p w14:paraId="6C863AC0" w14:textId="77777777" w:rsidR="006D0C37" w:rsidRPr="00062947" w:rsidRDefault="006D0C37">
            <w:pPr>
              <w:pStyle w:val="08-Tabelageral"/>
              <w:rPr>
                <w:rFonts w:cs="Arial"/>
                <w:bCs/>
                <w:szCs w:val="14"/>
              </w:rPr>
            </w:pPr>
            <w:r w:rsidRPr="006B1A6C">
              <w:rPr>
                <w:rFonts w:cs="Arial"/>
                <w:bCs/>
                <w:szCs w:val="14"/>
                <w:lang w:eastAsia="en-US"/>
              </w:rPr>
              <w:t>--</w:t>
            </w:r>
          </w:p>
        </w:tc>
        <w:tc>
          <w:tcPr>
            <w:tcW w:w="1297" w:type="dxa"/>
            <w:shd w:val="clear" w:color="auto" w:fill="auto"/>
          </w:tcPr>
          <w:p w14:paraId="7488C0F2" w14:textId="77777777" w:rsidR="006D0C37" w:rsidRPr="00062947" w:rsidRDefault="006D0C37">
            <w:pPr>
              <w:pStyle w:val="08-Tabelageral"/>
              <w:rPr>
                <w:rFonts w:cs="Arial"/>
                <w:bCs/>
                <w:szCs w:val="14"/>
              </w:rPr>
            </w:pPr>
            <w:r w:rsidRPr="006B1A6C">
              <w:rPr>
                <w:rFonts w:cs="Arial"/>
                <w:bCs/>
                <w:szCs w:val="14"/>
                <w:lang w:eastAsia="en-US"/>
              </w:rPr>
              <w:t>--</w:t>
            </w:r>
          </w:p>
        </w:tc>
        <w:tc>
          <w:tcPr>
            <w:tcW w:w="1297" w:type="dxa"/>
            <w:shd w:val="clear" w:color="auto" w:fill="auto"/>
          </w:tcPr>
          <w:p w14:paraId="3D5F0504" w14:textId="77777777" w:rsidR="006D0C37" w:rsidRPr="00062947" w:rsidRDefault="006D0C37">
            <w:pPr>
              <w:pStyle w:val="08-Tabelageral"/>
              <w:rPr>
                <w:rFonts w:cs="Arial"/>
                <w:bCs/>
                <w:szCs w:val="14"/>
              </w:rPr>
            </w:pPr>
            <w:r w:rsidRPr="006B1A6C">
              <w:rPr>
                <w:rFonts w:cs="Arial"/>
                <w:bCs/>
                <w:szCs w:val="14"/>
              </w:rPr>
              <w:t>5</w:t>
            </w:r>
            <w:r>
              <w:rPr>
                <w:rFonts w:cs="Arial"/>
                <w:bCs/>
                <w:szCs w:val="14"/>
              </w:rPr>
              <w:t>,</w:t>
            </w:r>
            <w:r w:rsidRPr="006B1A6C">
              <w:rPr>
                <w:rFonts w:cs="Arial"/>
                <w:bCs/>
                <w:szCs w:val="14"/>
              </w:rPr>
              <w:t>438</w:t>
            </w:r>
          </w:p>
        </w:tc>
        <w:tc>
          <w:tcPr>
            <w:tcW w:w="1297" w:type="dxa"/>
            <w:shd w:val="clear" w:color="auto" w:fill="auto"/>
          </w:tcPr>
          <w:p w14:paraId="01504319" w14:textId="77777777" w:rsidR="006D0C37" w:rsidRPr="00062947" w:rsidRDefault="006D0C37">
            <w:pPr>
              <w:pStyle w:val="08-Tabelageral"/>
              <w:rPr>
                <w:rFonts w:cs="Arial"/>
                <w:bCs/>
                <w:szCs w:val="14"/>
              </w:rPr>
            </w:pPr>
            <w:r w:rsidRPr="006B1A6C">
              <w:rPr>
                <w:rFonts w:cs="Arial"/>
                <w:bCs/>
                <w:szCs w:val="14"/>
              </w:rPr>
              <w:t>3</w:t>
            </w:r>
            <w:r>
              <w:rPr>
                <w:rFonts w:cs="Arial"/>
                <w:bCs/>
                <w:szCs w:val="14"/>
              </w:rPr>
              <w:t>,</w:t>
            </w:r>
            <w:r w:rsidRPr="006B1A6C">
              <w:rPr>
                <w:rFonts w:cs="Arial"/>
                <w:bCs/>
                <w:szCs w:val="14"/>
              </w:rPr>
              <w:t>789</w:t>
            </w:r>
          </w:p>
        </w:tc>
        <w:tc>
          <w:tcPr>
            <w:tcW w:w="1140" w:type="dxa"/>
            <w:gridSpan w:val="2"/>
            <w:shd w:val="clear" w:color="auto" w:fill="auto"/>
            <w:vAlign w:val="bottom"/>
          </w:tcPr>
          <w:p w14:paraId="7F2AC4FC" w14:textId="77777777" w:rsidR="006D0C37" w:rsidRPr="00187166" w:rsidRDefault="006D0C37">
            <w:pPr>
              <w:pStyle w:val="08-Tabelageral"/>
              <w:rPr>
                <w:rFonts w:cs="Arial"/>
                <w:b/>
                <w:szCs w:val="14"/>
              </w:rPr>
            </w:pPr>
            <w:r w:rsidRPr="006B1A6C">
              <w:rPr>
                <w:rFonts w:cs="Arial"/>
                <w:bCs/>
                <w:szCs w:val="14"/>
              </w:rPr>
              <w:t>9</w:t>
            </w:r>
            <w:r>
              <w:rPr>
                <w:rFonts w:cs="Arial"/>
                <w:bCs/>
                <w:szCs w:val="14"/>
              </w:rPr>
              <w:t>,</w:t>
            </w:r>
            <w:r w:rsidRPr="006B1A6C">
              <w:rPr>
                <w:rFonts w:cs="Arial"/>
                <w:bCs/>
                <w:szCs w:val="14"/>
              </w:rPr>
              <w:t>227</w:t>
            </w:r>
          </w:p>
        </w:tc>
      </w:tr>
      <w:tr w:rsidR="006D0C37" w:rsidRPr="00733251" w14:paraId="4032A195" w14:textId="77777777">
        <w:trPr>
          <w:trHeight w:val="238"/>
        </w:trPr>
        <w:tc>
          <w:tcPr>
            <w:tcW w:w="2217" w:type="dxa"/>
            <w:tcBorders>
              <w:bottom w:val="nil"/>
            </w:tcBorders>
            <w:shd w:val="clear" w:color="auto" w:fill="auto"/>
          </w:tcPr>
          <w:p w14:paraId="2B253170" w14:textId="77777777" w:rsidR="006D0C37" w:rsidRPr="00E31A92" w:rsidRDefault="006D0C37">
            <w:pPr>
              <w:pStyle w:val="070-TabelaPadro"/>
              <w:ind w:left="113"/>
              <w:jc w:val="left"/>
              <w:rPr>
                <w:b/>
              </w:rPr>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tcBorders>
              <w:bottom w:val="nil"/>
            </w:tcBorders>
            <w:shd w:val="clear" w:color="auto" w:fill="auto"/>
          </w:tcPr>
          <w:p w14:paraId="4CE652FA" w14:textId="77777777" w:rsidR="006D0C37" w:rsidRPr="00062947" w:rsidRDefault="006D0C37">
            <w:pPr>
              <w:pStyle w:val="08-Tabelageral"/>
              <w:rPr>
                <w:rFonts w:cs="Arial"/>
                <w:bCs/>
                <w:szCs w:val="14"/>
              </w:rPr>
            </w:pPr>
            <w:proofErr w:type="spellStart"/>
            <w:r w:rsidRPr="00B8356C">
              <w:t>March</w:t>
            </w:r>
            <w:proofErr w:type="spellEnd"/>
            <w:r w:rsidRPr="00B8356C">
              <w:t xml:space="preserve"> 202</w:t>
            </w:r>
            <w:r>
              <w:t>8</w:t>
            </w:r>
          </w:p>
        </w:tc>
        <w:tc>
          <w:tcPr>
            <w:tcW w:w="1296" w:type="dxa"/>
            <w:tcBorders>
              <w:bottom w:val="nil"/>
            </w:tcBorders>
            <w:shd w:val="clear" w:color="auto" w:fill="auto"/>
          </w:tcPr>
          <w:p w14:paraId="3B0A30FD" w14:textId="77777777" w:rsidR="006D0C37" w:rsidRPr="00062947" w:rsidRDefault="006D0C37">
            <w:pPr>
              <w:pStyle w:val="08-Tabelageral"/>
              <w:rPr>
                <w:rFonts w:cs="Arial"/>
                <w:bCs/>
                <w:szCs w:val="14"/>
              </w:rPr>
            </w:pPr>
            <w:r w:rsidRPr="006B1A6C">
              <w:rPr>
                <w:rFonts w:cs="Arial"/>
                <w:bCs/>
                <w:szCs w:val="14"/>
                <w:lang w:eastAsia="en-US"/>
              </w:rPr>
              <w:t>--</w:t>
            </w:r>
          </w:p>
        </w:tc>
        <w:tc>
          <w:tcPr>
            <w:tcW w:w="1297" w:type="dxa"/>
            <w:tcBorders>
              <w:bottom w:val="nil"/>
            </w:tcBorders>
            <w:shd w:val="clear" w:color="auto" w:fill="auto"/>
          </w:tcPr>
          <w:p w14:paraId="11063088" w14:textId="77777777" w:rsidR="006D0C37" w:rsidRPr="00062947" w:rsidRDefault="006D0C37">
            <w:pPr>
              <w:pStyle w:val="08-Tabelageral"/>
              <w:rPr>
                <w:rFonts w:cs="Arial"/>
                <w:bCs/>
                <w:szCs w:val="14"/>
              </w:rPr>
            </w:pPr>
            <w:r w:rsidRPr="006B1A6C">
              <w:rPr>
                <w:rFonts w:cs="Arial"/>
                <w:bCs/>
                <w:szCs w:val="14"/>
                <w:lang w:eastAsia="en-US"/>
              </w:rPr>
              <w:t>--</w:t>
            </w:r>
          </w:p>
        </w:tc>
        <w:tc>
          <w:tcPr>
            <w:tcW w:w="1297" w:type="dxa"/>
            <w:tcBorders>
              <w:bottom w:val="nil"/>
            </w:tcBorders>
            <w:shd w:val="clear" w:color="auto" w:fill="auto"/>
          </w:tcPr>
          <w:p w14:paraId="358083FC" w14:textId="77777777" w:rsidR="006D0C37" w:rsidRPr="00062947" w:rsidRDefault="006D0C37">
            <w:pPr>
              <w:pStyle w:val="08-Tabelageral"/>
              <w:rPr>
                <w:rFonts w:cs="Arial"/>
                <w:bCs/>
                <w:szCs w:val="14"/>
              </w:rPr>
            </w:pPr>
            <w:r w:rsidRPr="006B1A6C">
              <w:rPr>
                <w:rFonts w:cs="Arial"/>
                <w:bCs/>
                <w:szCs w:val="14"/>
                <w:lang w:eastAsia="en-US"/>
              </w:rPr>
              <w:t>--</w:t>
            </w:r>
          </w:p>
        </w:tc>
        <w:tc>
          <w:tcPr>
            <w:tcW w:w="1297" w:type="dxa"/>
            <w:tcBorders>
              <w:bottom w:val="nil"/>
            </w:tcBorders>
            <w:shd w:val="clear" w:color="auto" w:fill="auto"/>
          </w:tcPr>
          <w:p w14:paraId="1E542554" w14:textId="77777777" w:rsidR="006D0C37" w:rsidRPr="00062947" w:rsidRDefault="006D0C37">
            <w:pPr>
              <w:pStyle w:val="08-Tabelageral"/>
              <w:rPr>
                <w:rFonts w:cs="Arial"/>
                <w:bCs/>
                <w:szCs w:val="14"/>
              </w:rPr>
            </w:pPr>
            <w:r w:rsidRPr="006B1A6C">
              <w:rPr>
                <w:rFonts w:cs="Arial"/>
                <w:bCs/>
                <w:szCs w:val="14"/>
              </w:rPr>
              <w:t>2</w:t>
            </w:r>
            <w:r>
              <w:rPr>
                <w:rFonts w:cs="Arial"/>
                <w:bCs/>
                <w:szCs w:val="14"/>
              </w:rPr>
              <w:t>,</w:t>
            </w:r>
            <w:r w:rsidRPr="006B1A6C">
              <w:rPr>
                <w:rFonts w:cs="Arial"/>
                <w:bCs/>
                <w:szCs w:val="14"/>
              </w:rPr>
              <w:t>706</w:t>
            </w:r>
          </w:p>
        </w:tc>
        <w:tc>
          <w:tcPr>
            <w:tcW w:w="1140" w:type="dxa"/>
            <w:gridSpan w:val="2"/>
            <w:tcBorders>
              <w:bottom w:val="nil"/>
            </w:tcBorders>
            <w:shd w:val="clear" w:color="auto" w:fill="auto"/>
            <w:vAlign w:val="bottom"/>
          </w:tcPr>
          <w:p w14:paraId="1D28C5A2" w14:textId="77777777" w:rsidR="006D0C37" w:rsidRPr="00187166" w:rsidRDefault="006D0C37">
            <w:pPr>
              <w:pStyle w:val="08-Tabelageral"/>
              <w:rPr>
                <w:rFonts w:cs="Arial"/>
                <w:b/>
                <w:szCs w:val="14"/>
              </w:rPr>
            </w:pPr>
            <w:r>
              <w:rPr>
                <w:rFonts w:cs="Arial"/>
                <w:bCs/>
                <w:szCs w:val="14"/>
              </w:rPr>
              <w:t>2,706</w:t>
            </w:r>
          </w:p>
        </w:tc>
      </w:tr>
      <w:tr w:rsidR="006D0C37" w:rsidRPr="00733251" w14:paraId="642A6405" w14:textId="77777777">
        <w:trPr>
          <w:trHeight w:val="238"/>
        </w:trPr>
        <w:tc>
          <w:tcPr>
            <w:tcW w:w="2217" w:type="dxa"/>
            <w:tcBorders>
              <w:bottom w:val="nil"/>
            </w:tcBorders>
            <w:shd w:val="clear" w:color="auto" w:fill="auto"/>
          </w:tcPr>
          <w:p w14:paraId="716DA0C6" w14:textId="77777777" w:rsidR="006D0C37" w:rsidRPr="00B4618F" w:rsidRDefault="006D0C37">
            <w:pPr>
              <w:pStyle w:val="070-TabelaPadro"/>
              <w:ind w:left="113"/>
              <w:jc w:val="left"/>
            </w:pPr>
            <w:proofErr w:type="spellStart"/>
            <w:r w:rsidRPr="00B4618F">
              <w:t>Shares</w:t>
            </w:r>
            <w:proofErr w:type="spellEnd"/>
            <w:r w:rsidRPr="00B4618F">
              <w:t xml:space="preserve"> </w:t>
            </w:r>
            <w:proofErr w:type="spellStart"/>
            <w:r w:rsidRPr="00B4618F">
              <w:t>to</w:t>
            </w:r>
            <w:proofErr w:type="spellEnd"/>
            <w:r w:rsidRPr="00B4618F">
              <w:t xml:space="preserve"> </w:t>
            </w:r>
            <w:proofErr w:type="spellStart"/>
            <w:r w:rsidRPr="00B4618F">
              <w:t>Distribute</w:t>
            </w:r>
            <w:proofErr w:type="spellEnd"/>
          </w:p>
        </w:tc>
        <w:tc>
          <w:tcPr>
            <w:tcW w:w="1095" w:type="dxa"/>
            <w:tcBorders>
              <w:bottom w:val="nil"/>
            </w:tcBorders>
            <w:shd w:val="clear" w:color="auto" w:fill="auto"/>
          </w:tcPr>
          <w:p w14:paraId="15BDCF5B" w14:textId="77777777" w:rsidR="006D0C37" w:rsidRPr="00B8356C" w:rsidRDefault="006D0C37">
            <w:pPr>
              <w:pStyle w:val="08-Tabelageral"/>
            </w:pPr>
            <w:proofErr w:type="spellStart"/>
            <w:r w:rsidRPr="00B8356C">
              <w:t>March</w:t>
            </w:r>
            <w:proofErr w:type="spellEnd"/>
            <w:r w:rsidRPr="00B8356C">
              <w:t xml:space="preserve"> 202</w:t>
            </w:r>
            <w:r>
              <w:t>9</w:t>
            </w:r>
          </w:p>
        </w:tc>
        <w:tc>
          <w:tcPr>
            <w:tcW w:w="1296" w:type="dxa"/>
            <w:tcBorders>
              <w:bottom w:val="nil"/>
            </w:tcBorders>
            <w:shd w:val="clear" w:color="auto" w:fill="auto"/>
          </w:tcPr>
          <w:p w14:paraId="2DC8A09D" w14:textId="77777777" w:rsidR="006D0C37" w:rsidRPr="00FE1988" w:rsidRDefault="006D0C37">
            <w:pPr>
              <w:pStyle w:val="08-Tabelageral"/>
              <w:rPr>
                <w:rFonts w:cs="Arial"/>
                <w:bCs/>
                <w:szCs w:val="14"/>
                <w:lang w:eastAsia="en-US"/>
              </w:rPr>
            </w:pPr>
            <w:r w:rsidRPr="006B1A6C">
              <w:rPr>
                <w:rFonts w:cs="Arial"/>
                <w:bCs/>
                <w:szCs w:val="14"/>
                <w:lang w:eastAsia="en-US"/>
              </w:rPr>
              <w:t>--</w:t>
            </w:r>
          </w:p>
        </w:tc>
        <w:tc>
          <w:tcPr>
            <w:tcW w:w="1297" w:type="dxa"/>
            <w:tcBorders>
              <w:bottom w:val="nil"/>
            </w:tcBorders>
            <w:shd w:val="clear" w:color="auto" w:fill="auto"/>
          </w:tcPr>
          <w:p w14:paraId="04C6769D" w14:textId="77777777" w:rsidR="006D0C37" w:rsidRPr="00FE1988" w:rsidRDefault="006D0C37">
            <w:pPr>
              <w:pStyle w:val="08-Tabelageral"/>
              <w:rPr>
                <w:rFonts w:cs="Arial"/>
                <w:bCs/>
                <w:szCs w:val="14"/>
                <w:lang w:eastAsia="en-US"/>
              </w:rPr>
            </w:pPr>
            <w:r w:rsidRPr="006B1A6C">
              <w:rPr>
                <w:rFonts w:cs="Arial"/>
                <w:bCs/>
                <w:szCs w:val="14"/>
                <w:lang w:eastAsia="en-US"/>
              </w:rPr>
              <w:t>--</w:t>
            </w:r>
          </w:p>
        </w:tc>
        <w:tc>
          <w:tcPr>
            <w:tcW w:w="1297" w:type="dxa"/>
            <w:tcBorders>
              <w:bottom w:val="nil"/>
            </w:tcBorders>
            <w:shd w:val="clear" w:color="auto" w:fill="auto"/>
          </w:tcPr>
          <w:p w14:paraId="4CC114C4" w14:textId="77777777" w:rsidR="006D0C37" w:rsidRPr="00FE1988" w:rsidRDefault="006D0C37">
            <w:pPr>
              <w:pStyle w:val="08-Tabelageral"/>
              <w:rPr>
                <w:rFonts w:cs="Arial"/>
                <w:bCs/>
                <w:szCs w:val="14"/>
                <w:lang w:eastAsia="en-US"/>
              </w:rPr>
            </w:pPr>
            <w:r w:rsidRPr="006B1A6C">
              <w:rPr>
                <w:rFonts w:cs="Arial"/>
                <w:bCs/>
                <w:szCs w:val="14"/>
                <w:lang w:eastAsia="en-US"/>
              </w:rPr>
              <w:t>--</w:t>
            </w:r>
          </w:p>
        </w:tc>
        <w:tc>
          <w:tcPr>
            <w:tcW w:w="1297" w:type="dxa"/>
            <w:tcBorders>
              <w:bottom w:val="nil"/>
            </w:tcBorders>
            <w:shd w:val="clear" w:color="auto" w:fill="auto"/>
          </w:tcPr>
          <w:p w14:paraId="264671BB" w14:textId="77777777" w:rsidR="006D0C37" w:rsidRPr="00FE1988" w:rsidRDefault="006D0C37">
            <w:pPr>
              <w:pStyle w:val="08-Tabelageral"/>
              <w:rPr>
                <w:rFonts w:cs="Arial"/>
                <w:bCs/>
                <w:szCs w:val="14"/>
              </w:rPr>
            </w:pPr>
            <w:r>
              <w:rPr>
                <w:rFonts w:cs="Arial"/>
                <w:bCs/>
                <w:szCs w:val="14"/>
              </w:rPr>
              <w:t>1,631</w:t>
            </w:r>
          </w:p>
        </w:tc>
        <w:tc>
          <w:tcPr>
            <w:tcW w:w="1140" w:type="dxa"/>
            <w:gridSpan w:val="2"/>
            <w:tcBorders>
              <w:bottom w:val="nil"/>
            </w:tcBorders>
            <w:shd w:val="clear" w:color="auto" w:fill="auto"/>
            <w:vAlign w:val="bottom"/>
          </w:tcPr>
          <w:p w14:paraId="7785D431" w14:textId="77777777" w:rsidR="006D0C37" w:rsidRPr="00C5580B" w:rsidRDefault="006D0C37">
            <w:pPr>
              <w:pStyle w:val="08-Tabelageral"/>
              <w:rPr>
                <w:rFonts w:cs="Arial"/>
                <w:bCs/>
                <w:szCs w:val="14"/>
              </w:rPr>
            </w:pPr>
            <w:r>
              <w:rPr>
                <w:rFonts w:cs="Arial"/>
                <w:bCs/>
                <w:szCs w:val="14"/>
              </w:rPr>
              <w:t>1,631</w:t>
            </w:r>
          </w:p>
        </w:tc>
      </w:tr>
      <w:tr w:rsidR="006D0C37" w:rsidRPr="00733251" w14:paraId="1A28CB75" w14:textId="77777777">
        <w:trPr>
          <w:trHeight w:val="238"/>
        </w:trPr>
        <w:tc>
          <w:tcPr>
            <w:tcW w:w="2217" w:type="dxa"/>
            <w:tcBorders>
              <w:top w:val="nil"/>
              <w:bottom w:val="single" w:sz="2" w:space="0" w:color="1F3864" w:themeColor="accent1" w:themeShade="80"/>
            </w:tcBorders>
            <w:shd w:val="clear" w:color="auto" w:fill="auto"/>
          </w:tcPr>
          <w:p w14:paraId="494BF659" w14:textId="77777777" w:rsidR="006D0C37" w:rsidRPr="00E2299D" w:rsidRDefault="006D0C37">
            <w:pPr>
              <w:pStyle w:val="070-TabelaPadro"/>
              <w:jc w:val="left"/>
              <w:rPr>
                <w:b/>
                <w:bCs/>
                <w:lang w:val="en-US"/>
              </w:rPr>
            </w:pPr>
            <w:r w:rsidRPr="00E2299D">
              <w:rPr>
                <w:b/>
                <w:bCs/>
                <w:lang w:val="en-US"/>
              </w:rPr>
              <w:t>Total shares to be distributed</w:t>
            </w:r>
          </w:p>
        </w:tc>
        <w:tc>
          <w:tcPr>
            <w:tcW w:w="1095" w:type="dxa"/>
            <w:tcBorders>
              <w:top w:val="nil"/>
              <w:bottom w:val="single" w:sz="2" w:space="0" w:color="1F3864" w:themeColor="accent1" w:themeShade="80"/>
            </w:tcBorders>
            <w:shd w:val="clear" w:color="auto" w:fill="auto"/>
          </w:tcPr>
          <w:p w14:paraId="023688B5" w14:textId="77777777" w:rsidR="006D0C37" w:rsidRPr="00E2299D" w:rsidRDefault="006D0C37">
            <w:pPr>
              <w:pStyle w:val="08-Tabelageral"/>
              <w:rPr>
                <w:rFonts w:cs="Arial"/>
                <w:b/>
                <w:szCs w:val="14"/>
                <w:lang w:val="en-US"/>
              </w:rPr>
            </w:pPr>
          </w:p>
        </w:tc>
        <w:tc>
          <w:tcPr>
            <w:tcW w:w="1296" w:type="dxa"/>
            <w:tcBorders>
              <w:top w:val="nil"/>
              <w:bottom w:val="single" w:sz="2" w:space="0" w:color="1F3864" w:themeColor="accent1" w:themeShade="80"/>
            </w:tcBorders>
            <w:shd w:val="clear" w:color="auto" w:fill="auto"/>
          </w:tcPr>
          <w:p w14:paraId="0127291A" w14:textId="77777777" w:rsidR="006D0C37" w:rsidRPr="00090360" w:rsidRDefault="006D0C37">
            <w:pPr>
              <w:pStyle w:val="08-Tabelageral"/>
              <w:rPr>
                <w:rFonts w:cs="Arial"/>
                <w:b/>
                <w:szCs w:val="14"/>
              </w:rPr>
            </w:pPr>
            <w:r w:rsidRPr="006B1A6C">
              <w:rPr>
                <w:rFonts w:cs="Arial"/>
                <w:b/>
                <w:szCs w:val="14"/>
              </w:rPr>
              <w:t>4</w:t>
            </w:r>
            <w:r>
              <w:rPr>
                <w:rFonts w:cs="Arial"/>
                <w:b/>
                <w:szCs w:val="14"/>
              </w:rPr>
              <w:t>,</w:t>
            </w:r>
            <w:r w:rsidRPr="006B1A6C">
              <w:rPr>
                <w:rFonts w:cs="Arial"/>
                <w:b/>
                <w:szCs w:val="14"/>
              </w:rPr>
              <w:t>487</w:t>
            </w:r>
          </w:p>
        </w:tc>
        <w:tc>
          <w:tcPr>
            <w:tcW w:w="1297" w:type="dxa"/>
            <w:tcBorders>
              <w:top w:val="nil"/>
              <w:bottom w:val="single" w:sz="2" w:space="0" w:color="1F3864" w:themeColor="accent1" w:themeShade="80"/>
            </w:tcBorders>
            <w:shd w:val="clear" w:color="auto" w:fill="auto"/>
          </w:tcPr>
          <w:p w14:paraId="56607767" w14:textId="77777777" w:rsidR="006D0C37" w:rsidRPr="00090360" w:rsidRDefault="006D0C37">
            <w:pPr>
              <w:pStyle w:val="08-Tabelageral"/>
              <w:rPr>
                <w:rFonts w:cs="Arial"/>
                <w:b/>
                <w:szCs w:val="14"/>
              </w:rPr>
            </w:pPr>
            <w:r>
              <w:rPr>
                <w:rFonts w:cs="Arial"/>
                <w:b/>
                <w:szCs w:val="14"/>
              </w:rPr>
              <w:t>10,074</w:t>
            </w:r>
          </w:p>
        </w:tc>
        <w:tc>
          <w:tcPr>
            <w:tcW w:w="1297" w:type="dxa"/>
            <w:tcBorders>
              <w:top w:val="nil"/>
              <w:bottom w:val="single" w:sz="2" w:space="0" w:color="1F3864" w:themeColor="accent1" w:themeShade="80"/>
            </w:tcBorders>
            <w:shd w:val="clear" w:color="auto" w:fill="auto"/>
          </w:tcPr>
          <w:p w14:paraId="4DD19AA7" w14:textId="77777777" w:rsidR="006D0C37" w:rsidRPr="00090360" w:rsidRDefault="006D0C37">
            <w:pPr>
              <w:pStyle w:val="08-Tabelageral"/>
              <w:rPr>
                <w:rFonts w:cs="Arial"/>
                <w:b/>
                <w:szCs w:val="14"/>
              </w:rPr>
            </w:pPr>
            <w:r>
              <w:rPr>
                <w:rFonts w:cs="Arial"/>
                <w:b/>
                <w:szCs w:val="14"/>
              </w:rPr>
              <w:t>16,314</w:t>
            </w:r>
          </w:p>
        </w:tc>
        <w:tc>
          <w:tcPr>
            <w:tcW w:w="1297" w:type="dxa"/>
            <w:tcBorders>
              <w:top w:val="nil"/>
              <w:bottom w:val="single" w:sz="2" w:space="0" w:color="1F3864" w:themeColor="accent1" w:themeShade="80"/>
            </w:tcBorders>
            <w:shd w:val="clear" w:color="auto" w:fill="auto"/>
          </w:tcPr>
          <w:p w14:paraId="7D26E982" w14:textId="77777777" w:rsidR="006D0C37" w:rsidRPr="00090360" w:rsidRDefault="006D0C37">
            <w:pPr>
              <w:pStyle w:val="08-Tabelageral"/>
              <w:rPr>
                <w:rFonts w:cs="Arial"/>
                <w:b/>
                <w:szCs w:val="14"/>
              </w:rPr>
            </w:pPr>
            <w:r>
              <w:rPr>
                <w:rFonts w:cs="Arial"/>
                <w:b/>
                <w:szCs w:val="14"/>
              </w:rPr>
              <w:t>21,659</w:t>
            </w:r>
          </w:p>
        </w:tc>
        <w:tc>
          <w:tcPr>
            <w:tcW w:w="1140" w:type="dxa"/>
            <w:gridSpan w:val="2"/>
            <w:tcBorders>
              <w:top w:val="nil"/>
              <w:bottom w:val="single" w:sz="2" w:space="0" w:color="1F3864" w:themeColor="accent1" w:themeShade="80"/>
            </w:tcBorders>
            <w:shd w:val="clear" w:color="auto" w:fill="auto"/>
          </w:tcPr>
          <w:p w14:paraId="58D90F32" w14:textId="77777777" w:rsidR="006D0C37" w:rsidRPr="00187166" w:rsidRDefault="006D0C37">
            <w:pPr>
              <w:pStyle w:val="08-Tabelageral"/>
              <w:rPr>
                <w:rFonts w:cs="Arial"/>
                <w:b/>
                <w:szCs w:val="14"/>
              </w:rPr>
            </w:pPr>
            <w:r>
              <w:rPr>
                <w:rFonts w:cs="Arial"/>
                <w:b/>
                <w:szCs w:val="14"/>
              </w:rPr>
              <w:t>52,534</w:t>
            </w:r>
          </w:p>
        </w:tc>
      </w:tr>
    </w:tbl>
    <w:p w14:paraId="2A11F643" w14:textId="77777777" w:rsidR="006D0C37" w:rsidRPr="008C592B" w:rsidRDefault="006D0C37" w:rsidP="006D0C37">
      <w:pPr>
        <w:pStyle w:val="04-TtuloNegrito"/>
        <w:rPr>
          <w:color w:val="1F3864" w:themeColor="accent1" w:themeShade="80"/>
          <w:sz w:val="18"/>
          <w:szCs w:val="18"/>
        </w:rPr>
      </w:pPr>
      <w:r>
        <w:rPr>
          <w:color w:val="1F3864" w:themeColor="accent1" w:themeShade="80"/>
          <w:sz w:val="18"/>
          <w:szCs w:val="18"/>
        </w:rPr>
        <w:t>f</w:t>
      </w:r>
      <w:r w:rsidRPr="008C592B">
        <w:rPr>
          <w:color w:val="1F3864" w:themeColor="accent1" w:themeShade="80"/>
          <w:sz w:val="18"/>
          <w:szCs w:val="18"/>
        </w:rPr>
        <w:t>.</w:t>
      </w:r>
      <w:r>
        <w:rPr>
          <w:color w:val="1F3864" w:themeColor="accent1" w:themeShade="80"/>
          <w:sz w:val="18"/>
          <w:szCs w:val="18"/>
        </w:rPr>
        <w:t>3</w:t>
      </w:r>
      <w:r w:rsidRPr="008C592B">
        <w:rPr>
          <w:color w:val="1F3864" w:themeColor="accent1" w:themeShade="80"/>
          <w:sz w:val="18"/>
          <w:szCs w:val="18"/>
        </w:rPr>
        <w:t xml:space="preserve">) </w:t>
      </w:r>
      <w:proofErr w:type="spellStart"/>
      <w:r w:rsidRPr="008C592B">
        <w:rPr>
          <w:color w:val="1F3864" w:themeColor="accent1" w:themeShade="80"/>
          <w:sz w:val="18"/>
          <w:szCs w:val="18"/>
          <w:lang w:val="en-US"/>
        </w:rPr>
        <w:t>Repurcharse</w:t>
      </w:r>
      <w:proofErr w:type="spellEnd"/>
      <w:r w:rsidRPr="008C592B">
        <w:rPr>
          <w:color w:val="1F3864" w:themeColor="accent1" w:themeShade="80"/>
          <w:sz w:val="18"/>
          <w:szCs w:val="18"/>
          <w:lang w:val="en-US"/>
        </w:rPr>
        <w:t xml:space="preserve"> Program</w:t>
      </w:r>
    </w:p>
    <w:p w14:paraId="0E212902" w14:textId="77777777" w:rsidR="006D0C37" w:rsidRDefault="006D0C37" w:rsidP="006D0C37">
      <w:pPr>
        <w:pStyle w:val="03-SubttulodeNota"/>
        <w:spacing w:line="276" w:lineRule="auto"/>
        <w:rPr>
          <w:b w:val="0"/>
          <w:sz w:val="18"/>
          <w:szCs w:val="18"/>
          <w:lang w:val="en-US"/>
        </w:rPr>
      </w:pPr>
      <w:r w:rsidRPr="003F482A">
        <w:rPr>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0273F4">
        <w:rPr>
          <w:lang w:val="en-US"/>
        </w:rPr>
        <w:t xml:space="preserve"> </w:t>
      </w:r>
      <w:r w:rsidRPr="000273F4">
        <w:rPr>
          <w:b w:val="0"/>
          <w:sz w:val="18"/>
          <w:szCs w:val="18"/>
          <w:lang w:val="en-US"/>
        </w:rPr>
        <w:t>In 2023, 19,884 thousand shares were acquired</w:t>
      </w:r>
      <w:r>
        <w:rPr>
          <w:b w:val="0"/>
          <w:sz w:val="18"/>
          <w:szCs w:val="18"/>
          <w:lang w:val="en-US"/>
        </w:rPr>
        <w:t>.</w:t>
      </w:r>
      <w:r w:rsidRPr="000273F4">
        <w:rPr>
          <w:lang w:val="en-US"/>
        </w:rPr>
        <w:t xml:space="preserve"> </w:t>
      </w:r>
      <w:r w:rsidRPr="000273F4">
        <w:rPr>
          <w:b w:val="0"/>
          <w:sz w:val="18"/>
          <w:szCs w:val="18"/>
          <w:lang w:val="en-US"/>
        </w:rPr>
        <w:t xml:space="preserve">In the first </w:t>
      </w:r>
      <w:r>
        <w:rPr>
          <w:b w:val="0"/>
          <w:sz w:val="18"/>
          <w:szCs w:val="18"/>
          <w:lang w:val="en-US"/>
        </w:rPr>
        <w:t>half</w:t>
      </w:r>
      <w:r w:rsidRPr="000273F4">
        <w:rPr>
          <w:b w:val="0"/>
          <w:sz w:val="18"/>
          <w:szCs w:val="18"/>
          <w:lang w:val="en-US"/>
        </w:rPr>
        <w:t xml:space="preserve"> of 2024, an additional </w:t>
      </w:r>
      <w:r w:rsidRPr="00CA76F9">
        <w:rPr>
          <w:b w:val="0"/>
          <w:sz w:val="18"/>
          <w:szCs w:val="18"/>
          <w:lang w:val="en-US"/>
        </w:rPr>
        <w:t>35</w:t>
      </w:r>
      <w:r>
        <w:rPr>
          <w:b w:val="0"/>
          <w:sz w:val="18"/>
          <w:szCs w:val="18"/>
          <w:lang w:val="en-US"/>
        </w:rPr>
        <w:t>,</w:t>
      </w:r>
      <w:r w:rsidRPr="00CA76F9">
        <w:rPr>
          <w:b w:val="0"/>
          <w:sz w:val="18"/>
          <w:szCs w:val="18"/>
          <w:lang w:val="en-US"/>
        </w:rPr>
        <w:t>708</w:t>
      </w:r>
      <w:r>
        <w:rPr>
          <w:b w:val="0"/>
          <w:sz w:val="18"/>
          <w:szCs w:val="18"/>
          <w:lang w:val="en-US"/>
        </w:rPr>
        <w:t xml:space="preserve"> </w:t>
      </w:r>
      <w:r w:rsidRPr="000273F4">
        <w:rPr>
          <w:b w:val="0"/>
          <w:sz w:val="18"/>
          <w:szCs w:val="18"/>
          <w:lang w:val="en-US"/>
        </w:rPr>
        <w:t xml:space="preserve">thousand shares were acquired, totaling </w:t>
      </w:r>
      <w:r w:rsidRPr="008B1E8F">
        <w:rPr>
          <w:b w:val="0"/>
          <w:sz w:val="18"/>
          <w:szCs w:val="18"/>
          <w:lang w:val="en-US"/>
        </w:rPr>
        <w:t>55</w:t>
      </w:r>
      <w:r>
        <w:rPr>
          <w:b w:val="0"/>
          <w:sz w:val="18"/>
          <w:szCs w:val="18"/>
          <w:lang w:val="en-US"/>
        </w:rPr>
        <w:t>,</w:t>
      </w:r>
      <w:r w:rsidRPr="008B1E8F">
        <w:rPr>
          <w:b w:val="0"/>
          <w:sz w:val="18"/>
          <w:szCs w:val="18"/>
          <w:lang w:val="en-US"/>
        </w:rPr>
        <w:t xml:space="preserve">592 </w:t>
      </w:r>
      <w:r w:rsidRPr="000273F4">
        <w:rPr>
          <w:b w:val="0"/>
          <w:sz w:val="18"/>
          <w:szCs w:val="18"/>
          <w:lang w:val="en-US"/>
        </w:rPr>
        <w:t>thousand shares</w:t>
      </w:r>
      <w:r>
        <w:rPr>
          <w:b w:val="0"/>
          <w:sz w:val="18"/>
          <w:szCs w:val="18"/>
          <w:lang w:val="en-US"/>
        </w:rPr>
        <w:t xml:space="preserve">. </w:t>
      </w:r>
      <w:r w:rsidRPr="00207F54">
        <w:rPr>
          <w:b w:val="0"/>
          <w:sz w:val="18"/>
          <w:szCs w:val="18"/>
          <w:lang w:val="en-US"/>
        </w:rPr>
        <w:t>There were no new acquisitions in the second half of the year.</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6D0C37" w:rsidRPr="002B566F" w14:paraId="7848325E" w14:textId="7777777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292EDBD7" w14:textId="77777777" w:rsidR="006D0C37" w:rsidRPr="002B566F" w:rsidRDefault="006D0C37">
            <w:pPr>
              <w:pStyle w:val="08-Tabelageral"/>
              <w:ind w:left="113"/>
              <w:jc w:val="center"/>
              <w:rPr>
                <w:b/>
                <w:bCs/>
                <w:szCs w:val="14"/>
                <w:highlight w:val="yellow"/>
              </w:rPr>
            </w:pPr>
            <w:proofErr w:type="spellStart"/>
            <w:r w:rsidRPr="00423AD4">
              <w:rPr>
                <w:b/>
              </w:rPr>
              <w:t>Share</w:t>
            </w:r>
            <w:proofErr w:type="spellEnd"/>
            <w:r w:rsidRPr="00423AD4">
              <w:rPr>
                <w:b/>
              </w:rPr>
              <w:t xml:space="preserve"> </w:t>
            </w:r>
            <w:proofErr w:type="spellStart"/>
            <w:r w:rsidRPr="00423AD4">
              <w:rPr>
                <w:b/>
              </w:rPr>
              <w:t>Buyback</w:t>
            </w:r>
            <w:proofErr w:type="spellEnd"/>
            <w:r w:rsidRPr="00423AD4">
              <w:rPr>
                <w:b/>
              </w:rPr>
              <w:t xml:space="preserve"> </w:t>
            </w:r>
            <w:proofErr w:type="spellStart"/>
            <w:r w:rsidRPr="00423AD4">
              <w:rPr>
                <w:b/>
              </w:rPr>
              <w:t>Program</w:t>
            </w:r>
            <w:proofErr w:type="spellEnd"/>
          </w:p>
        </w:tc>
        <w:tc>
          <w:tcPr>
            <w:tcW w:w="1471" w:type="dxa"/>
            <w:tcBorders>
              <w:top w:val="single" w:sz="2" w:space="0" w:color="1F3864" w:themeColor="accent1" w:themeShade="80"/>
              <w:bottom w:val="single" w:sz="2" w:space="0" w:color="1F3864" w:themeColor="accent1" w:themeShade="80"/>
            </w:tcBorders>
            <w:shd w:val="clear" w:color="auto" w:fill="auto"/>
          </w:tcPr>
          <w:p w14:paraId="05B47DBB" w14:textId="77777777" w:rsidR="006D0C37" w:rsidRPr="002B566F" w:rsidRDefault="006D0C37">
            <w:pPr>
              <w:pStyle w:val="08-Tabelageral"/>
              <w:ind w:left="113"/>
              <w:rPr>
                <w:rFonts w:cs="Arial"/>
                <w:szCs w:val="14"/>
                <w:highlight w:val="yellow"/>
              </w:rPr>
            </w:pPr>
          </w:p>
        </w:tc>
      </w:tr>
      <w:tr w:rsidR="006D0C37" w:rsidRPr="002B566F" w14:paraId="11848AB7" w14:textId="77777777">
        <w:trPr>
          <w:trHeight w:val="238"/>
        </w:trPr>
        <w:tc>
          <w:tcPr>
            <w:tcW w:w="8168" w:type="dxa"/>
            <w:tcBorders>
              <w:top w:val="single" w:sz="2" w:space="0" w:color="1F3864" w:themeColor="accent1" w:themeShade="80"/>
              <w:bottom w:val="nil"/>
            </w:tcBorders>
            <w:shd w:val="clear" w:color="auto" w:fill="auto"/>
          </w:tcPr>
          <w:p w14:paraId="04C12C46" w14:textId="77777777" w:rsidR="006D0C37" w:rsidRPr="000273F4" w:rsidRDefault="006D0C37">
            <w:pPr>
              <w:pStyle w:val="08-Tabelageral"/>
              <w:jc w:val="left"/>
              <w:rPr>
                <w:b/>
                <w:bCs/>
                <w:kern w:val="2"/>
                <w:szCs w:val="14"/>
                <w:highlight w:val="yellow"/>
              </w:rPr>
            </w:pPr>
            <w:proofErr w:type="spellStart"/>
            <w:r w:rsidRPr="000273F4">
              <w:rPr>
                <w:b/>
                <w:bCs/>
                <w:szCs w:val="14"/>
              </w:rPr>
              <w:t>Number</w:t>
            </w:r>
            <w:proofErr w:type="spellEnd"/>
            <w:r w:rsidRPr="000273F4">
              <w:rPr>
                <w:b/>
                <w:bCs/>
                <w:szCs w:val="14"/>
              </w:rPr>
              <w:t xml:space="preserve"> </w:t>
            </w:r>
            <w:proofErr w:type="spellStart"/>
            <w:r w:rsidRPr="000273F4">
              <w:rPr>
                <w:b/>
                <w:bCs/>
                <w:szCs w:val="14"/>
              </w:rPr>
              <w:t>of</w:t>
            </w:r>
            <w:proofErr w:type="spellEnd"/>
            <w:r w:rsidRPr="000273F4">
              <w:rPr>
                <w:b/>
                <w:bCs/>
                <w:szCs w:val="14"/>
              </w:rPr>
              <w:t xml:space="preserve"> </w:t>
            </w:r>
            <w:proofErr w:type="spellStart"/>
            <w:r w:rsidRPr="000273F4">
              <w:rPr>
                <w:b/>
                <w:bCs/>
                <w:szCs w:val="14"/>
              </w:rPr>
              <w:t>shares</w:t>
            </w:r>
            <w:proofErr w:type="spellEnd"/>
            <w:r w:rsidRPr="000273F4">
              <w:rPr>
                <w:b/>
                <w:bCs/>
                <w:szCs w:val="14"/>
              </w:rPr>
              <w:t xml:space="preserve"> </w:t>
            </w:r>
            <w:proofErr w:type="spellStart"/>
            <w:r w:rsidRPr="000273F4">
              <w:rPr>
                <w:b/>
                <w:bCs/>
                <w:szCs w:val="14"/>
              </w:rPr>
              <w:t>repurchased</w:t>
            </w:r>
            <w:proofErr w:type="spellEnd"/>
          </w:p>
        </w:tc>
        <w:tc>
          <w:tcPr>
            <w:tcW w:w="1471" w:type="dxa"/>
            <w:tcBorders>
              <w:top w:val="single" w:sz="2" w:space="0" w:color="1F3864" w:themeColor="accent1" w:themeShade="80"/>
              <w:bottom w:val="nil"/>
            </w:tcBorders>
            <w:shd w:val="clear" w:color="auto" w:fill="auto"/>
          </w:tcPr>
          <w:p w14:paraId="01CC311B" w14:textId="77777777" w:rsidR="006D0C37" w:rsidRPr="005443B9" w:rsidRDefault="006D0C37">
            <w:pPr>
              <w:pStyle w:val="08-Tabelageral"/>
              <w:ind w:left="113"/>
              <w:rPr>
                <w:rFonts w:cs="Arial"/>
                <w:b/>
                <w:bCs/>
                <w:szCs w:val="14"/>
              </w:rPr>
            </w:pPr>
            <w:r w:rsidRPr="005443B9">
              <w:rPr>
                <w:b/>
                <w:bCs/>
              </w:rPr>
              <w:t>55</w:t>
            </w:r>
            <w:r>
              <w:rPr>
                <w:b/>
                <w:bCs/>
              </w:rPr>
              <w:t>,</w:t>
            </w:r>
            <w:r w:rsidRPr="005443B9">
              <w:rPr>
                <w:b/>
                <w:bCs/>
              </w:rPr>
              <w:t>591</w:t>
            </w:r>
            <w:r>
              <w:rPr>
                <w:b/>
                <w:bCs/>
              </w:rPr>
              <w:t>,</w:t>
            </w:r>
            <w:r w:rsidRPr="005443B9">
              <w:rPr>
                <w:b/>
                <w:bCs/>
              </w:rPr>
              <w:t>700</w:t>
            </w:r>
          </w:p>
        </w:tc>
      </w:tr>
      <w:tr w:rsidR="006D0C37" w:rsidRPr="002B566F" w14:paraId="05B7E512" w14:textId="77777777">
        <w:trPr>
          <w:trHeight w:val="238"/>
        </w:trPr>
        <w:tc>
          <w:tcPr>
            <w:tcW w:w="8168" w:type="dxa"/>
            <w:tcBorders>
              <w:top w:val="nil"/>
              <w:bottom w:val="nil"/>
            </w:tcBorders>
            <w:shd w:val="clear" w:color="auto" w:fill="auto"/>
          </w:tcPr>
          <w:p w14:paraId="24CA40E9" w14:textId="77777777" w:rsidR="006D0C37" w:rsidRPr="00423AD4" w:rsidRDefault="006D0C37">
            <w:pPr>
              <w:pStyle w:val="08-Tabelageral"/>
              <w:ind w:left="113"/>
              <w:jc w:val="left"/>
              <w:rPr>
                <w:szCs w:val="14"/>
              </w:rPr>
            </w:pPr>
            <w:r>
              <w:rPr>
                <w:szCs w:val="14"/>
              </w:rPr>
              <w:t>2023</w:t>
            </w:r>
          </w:p>
        </w:tc>
        <w:tc>
          <w:tcPr>
            <w:tcW w:w="1471" w:type="dxa"/>
            <w:tcBorders>
              <w:top w:val="nil"/>
              <w:bottom w:val="nil"/>
            </w:tcBorders>
            <w:shd w:val="clear" w:color="auto" w:fill="auto"/>
          </w:tcPr>
          <w:p w14:paraId="7E28FE7C" w14:textId="77777777" w:rsidR="006D0C37" w:rsidRPr="008261D5" w:rsidRDefault="006D0C37">
            <w:pPr>
              <w:pStyle w:val="08-Tabelageral"/>
              <w:ind w:left="113"/>
              <w:rPr>
                <w:rFonts w:cs="Arial"/>
                <w:szCs w:val="14"/>
              </w:rPr>
            </w:pPr>
            <w:r w:rsidRPr="00DB55B4">
              <w:t>19</w:t>
            </w:r>
            <w:r>
              <w:t>,</w:t>
            </w:r>
            <w:r w:rsidRPr="00DB55B4">
              <w:t>884</w:t>
            </w:r>
            <w:r>
              <w:t>,</w:t>
            </w:r>
            <w:r w:rsidRPr="00DB55B4">
              <w:t>100</w:t>
            </w:r>
          </w:p>
        </w:tc>
      </w:tr>
      <w:tr w:rsidR="006D0C37" w:rsidRPr="002B566F" w14:paraId="58686258" w14:textId="77777777">
        <w:trPr>
          <w:trHeight w:val="238"/>
        </w:trPr>
        <w:tc>
          <w:tcPr>
            <w:tcW w:w="8168" w:type="dxa"/>
            <w:tcBorders>
              <w:top w:val="nil"/>
            </w:tcBorders>
            <w:shd w:val="clear" w:color="auto" w:fill="auto"/>
          </w:tcPr>
          <w:p w14:paraId="7ADB8720" w14:textId="77777777" w:rsidR="006D0C37" w:rsidRPr="000273F4" w:rsidRDefault="006D0C37">
            <w:pPr>
              <w:pStyle w:val="08-Tabelageral"/>
              <w:ind w:left="113"/>
              <w:jc w:val="left"/>
              <w:rPr>
                <w:bCs/>
                <w:szCs w:val="14"/>
              </w:rPr>
            </w:pPr>
            <w:r w:rsidRPr="000273F4">
              <w:rPr>
                <w:rFonts w:cs="Arial"/>
                <w:bCs/>
                <w:szCs w:val="14"/>
              </w:rPr>
              <w:t>1</w:t>
            </w:r>
            <w:r w:rsidRPr="000273F4">
              <w:rPr>
                <w:rFonts w:cs="Arial"/>
                <w:bCs/>
                <w:szCs w:val="14"/>
                <w:vertAlign w:val="superscript"/>
              </w:rPr>
              <w:t>st</w:t>
            </w:r>
            <w:r w:rsidRPr="000273F4">
              <w:rPr>
                <w:rFonts w:cs="Arial"/>
                <w:bCs/>
                <w:szCs w:val="14"/>
              </w:rPr>
              <w:t xml:space="preserve"> </w:t>
            </w:r>
            <w:r>
              <w:rPr>
                <w:rFonts w:cs="Arial"/>
                <w:bCs/>
                <w:szCs w:val="14"/>
              </w:rPr>
              <w:t>Half</w:t>
            </w:r>
            <w:r w:rsidRPr="000273F4">
              <w:rPr>
                <w:rFonts w:cs="Arial"/>
                <w:bCs/>
                <w:szCs w:val="14"/>
              </w:rPr>
              <w:t xml:space="preserve"> 2024</w:t>
            </w:r>
          </w:p>
        </w:tc>
        <w:tc>
          <w:tcPr>
            <w:tcW w:w="1471" w:type="dxa"/>
            <w:tcBorders>
              <w:top w:val="nil"/>
            </w:tcBorders>
            <w:shd w:val="clear" w:color="auto" w:fill="auto"/>
          </w:tcPr>
          <w:p w14:paraId="52DBE18B" w14:textId="77777777" w:rsidR="006D0C37" w:rsidRPr="008261D5" w:rsidRDefault="006D0C37">
            <w:pPr>
              <w:pStyle w:val="08-Tabelageral"/>
              <w:ind w:left="113"/>
              <w:rPr>
                <w:rFonts w:cs="Arial"/>
                <w:szCs w:val="14"/>
              </w:rPr>
            </w:pPr>
            <w:r w:rsidRPr="00DB55B4">
              <w:t>35</w:t>
            </w:r>
            <w:r>
              <w:t>,</w:t>
            </w:r>
            <w:r w:rsidRPr="00DB55B4">
              <w:t>707</w:t>
            </w:r>
            <w:r>
              <w:t>,</w:t>
            </w:r>
            <w:r w:rsidRPr="00DB55B4">
              <w:t>600</w:t>
            </w:r>
          </w:p>
        </w:tc>
      </w:tr>
      <w:tr w:rsidR="006D0C37" w:rsidRPr="002B566F" w14:paraId="182EEBF3" w14:textId="77777777">
        <w:trPr>
          <w:trHeight w:val="238"/>
        </w:trPr>
        <w:tc>
          <w:tcPr>
            <w:tcW w:w="8168" w:type="dxa"/>
            <w:shd w:val="clear" w:color="auto" w:fill="auto"/>
          </w:tcPr>
          <w:p w14:paraId="3791A36F" w14:textId="77777777" w:rsidR="006D0C37" w:rsidRPr="000273F4" w:rsidRDefault="006D0C37">
            <w:pPr>
              <w:pStyle w:val="08-Tabelageral"/>
              <w:jc w:val="left"/>
              <w:rPr>
                <w:b/>
                <w:bCs/>
                <w:kern w:val="2"/>
                <w:szCs w:val="14"/>
              </w:rPr>
            </w:pPr>
            <w:proofErr w:type="spellStart"/>
            <w:r w:rsidRPr="000273F4">
              <w:rPr>
                <w:b/>
                <w:bCs/>
                <w:kern w:val="2"/>
                <w:szCs w:val="14"/>
              </w:rPr>
              <w:t>Avarage</w:t>
            </w:r>
            <w:proofErr w:type="spellEnd"/>
            <w:r w:rsidRPr="000273F4">
              <w:rPr>
                <w:b/>
                <w:bCs/>
                <w:kern w:val="2"/>
                <w:szCs w:val="14"/>
              </w:rPr>
              <w:t xml:space="preserve"> </w:t>
            </w:r>
            <w:proofErr w:type="spellStart"/>
            <w:r w:rsidRPr="000273F4">
              <w:rPr>
                <w:b/>
                <w:bCs/>
                <w:kern w:val="2"/>
                <w:szCs w:val="14"/>
              </w:rPr>
              <w:t>price</w:t>
            </w:r>
            <w:proofErr w:type="spellEnd"/>
            <w:r w:rsidRPr="000273F4">
              <w:rPr>
                <w:b/>
                <w:bCs/>
                <w:kern w:val="2"/>
                <w:szCs w:val="14"/>
              </w:rPr>
              <w:t xml:space="preserve"> (R$)</w:t>
            </w:r>
          </w:p>
        </w:tc>
        <w:tc>
          <w:tcPr>
            <w:tcW w:w="1471" w:type="dxa"/>
            <w:shd w:val="clear" w:color="auto" w:fill="auto"/>
          </w:tcPr>
          <w:p w14:paraId="6937AE84" w14:textId="77777777" w:rsidR="006D0C37" w:rsidRPr="005443B9" w:rsidRDefault="006D0C37">
            <w:pPr>
              <w:pStyle w:val="08-Tabelageral"/>
              <w:ind w:left="113"/>
              <w:rPr>
                <w:rFonts w:cs="Arial"/>
                <w:b/>
                <w:bCs/>
                <w:szCs w:val="14"/>
              </w:rPr>
            </w:pPr>
            <w:r w:rsidRPr="005443B9">
              <w:rPr>
                <w:b/>
                <w:bCs/>
              </w:rPr>
              <w:t>32</w:t>
            </w:r>
            <w:r>
              <w:rPr>
                <w:b/>
                <w:bCs/>
              </w:rPr>
              <w:t>.</w:t>
            </w:r>
            <w:r w:rsidRPr="005443B9">
              <w:rPr>
                <w:b/>
                <w:bCs/>
              </w:rPr>
              <w:t>20</w:t>
            </w:r>
          </w:p>
        </w:tc>
      </w:tr>
      <w:tr w:rsidR="006D0C37" w:rsidRPr="00091A72" w14:paraId="3F2F511C" w14:textId="77777777">
        <w:trPr>
          <w:trHeight w:val="238"/>
        </w:trPr>
        <w:tc>
          <w:tcPr>
            <w:tcW w:w="8168" w:type="dxa"/>
            <w:tcBorders>
              <w:top w:val="nil"/>
              <w:bottom w:val="single" w:sz="2" w:space="0" w:color="1F3864" w:themeColor="accent1" w:themeShade="80"/>
            </w:tcBorders>
            <w:shd w:val="clear" w:color="auto" w:fill="auto"/>
          </w:tcPr>
          <w:p w14:paraId="5B1E95A1" w14:textId="77777777" w:rsidR="006D0C37" w:rsidRPr="000273F4" w:rsidRDefault="006D0C37">
            <w:pPr>
              <w:pStyle w:val="08-Tabelageral"/>
              <w:jc w:val="left"/>
              <w:rPr>
                <w:b/>
                <w:bCs/>
                <w:szCs w:val="14"/>
              </w:rPr>
            </w:pPr>
            <w:r w:rsidRPr="000273F4">
              <w:rPr>
                <w:b/>
                <w:bCs/>
                <w:kern w:val="2"/>
                <w:szCs w:val="14"/>
              </w:rPr>
              <w:t xml:space="preserve">Total (R$ </w:t>
            </w:r>
            <w:proofErr w:type="spellStart"/>
            <w:r w:rsidRPr="000273F4">
              <w:rPr>
                <w:b/>
                <w:bCs/>
                <w:kern w:val="2"/>
                <w:szCs w:val="14"/>
              </w:rPr>
              <w:t>thousand</w:t>
            </w:r>
            <w:proofErr w:type="spellEnd"/>
            <w:r w:rsidRPr="000273F4">
              <w:rPr>
                <w:b/>
                <w:bCs/>
                <w:kern w:val="2"/>
                <w:szCs w:val="14"/>
              </w:rPr>
              <w:t>)</w:t>
            </w:r>
          </w:p>
        </w:tc>
        <w:tc>
          <w:tcPr>
            <w:tcW w:w="1471" w:type="dxa"/>
            <w:tcBorders>
              <w:top w:val="nil"/>
              <w:bottom w:val="single" w:sz="2" w:space="0" w:color="1F3864" w:themeColor="accent1" w:themeShade="80"/>
            </w:tcBorders>
            <w:shd w:val="clear" w:color="auto" w:fill="auto"/>
          </w:tcPr>
          <w:p w14:paraId="3F5F1ED9" w14:textId="77777777" w:rsidR="006D0C37" w:rsidRPr="005443B9" w:rsidRDefault="006D0C37">
            <w:pPr>
              <w:pStyle w:val="08-Tabelageral"/>
              <w:ind w:left="113"/>
              <w:rPr>
                <w:rFonts w:cs="Arial"/>
                <w:b/>
                <w:bCs/>
                <w:szCs w:val="14"/>
              </w:rPr>
            </w:pPr>
            <w:r w:rsidRPr="005443B9">
              <w:rPr>
                <w:b/>
                <w:bCs/>
              </w:rPr>
              <w:t>1</w:t>
            </w:r>
            <w:r>
              <w:rPr>
                <w:b/>
                <w:bCs/>
              </w:rPr>
              <w:t>,</w:t>
            </w:r>
            <w:r w:rsidRPr="005443B9">
              <w:rPr>
                <w:b/>
                <w:bCs/>
              </w:rPr>
              <w:t>790</w:t>
            </w:r>
            <w:r>
              <w:rPr>
                <w:b/>
                <w:bCs/>
              </w:rPr>
              <w:t>,</w:t>
            </w:r>
            <w:r w:rsidRPr="005443B9">
              <w:rPr>
                <w:b/>
                <w:bCs/>
              </w:rPr>
              <w:t>324</w:t>
            </w:r>
          </w:p>
        </w:tc>
      </w:tr>
    </w:tbl>
    <w:p w14:paraId="154776B1" w14:textId="77777777" w:rsidR="006D0C37" w:rsidRPr="00E2299D" w:rsidRDefault="006D0C37" w:rsidP="006D0C37">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4</w:t>
      </w:r>
      <w:r w:rsidRPr="00E2299D">
        <w:rPr>
          <w:b/>
          <w:color w:val="1F3864" w:themeColor="accent1" w:themeShade="80"/>
          <w:lang w:val="en-US"/>
        </w:rPr>
        <w:t>) Employee Reward</w:t>
      </w:r>
      <w:r>
        <w:rPr>
          <w:b/>
          <w:color w:val="1F3864" w:themeColor="accent1" w:themeShade="80"/>
          <w:lang w:val="en-US"/>
        </w:rPr>
        <w:t>s</w:t>
      </w:r>
      <w:r w:rsidRPr="00E2299D">
        <w:rPr>
          <w:b/>
          <w:color w:val="1F3864" w:themeColor="accent1" w:themeShade="80"/>
          <w:lang w:val="en-US"/>
        </w:rPr>
        <w:t xml:space="preserve"> Program</w:t>
      </w:r>
    </w:p>
    <w:p w14:paraId="71A11DC5" w14:textId="77777777" w:rsidR="006D0C37" w:rsidRPr="008F0257" w:rsidRDefault="006D0C37" w:rsidP="006D0C37">
      <w:pPr>
        <w:pStyle w:val="01-Textonormal"/>
        <w:rPr>
          <w:lang w:val="en-US"/>
        </w:rPr>
      </w:pPr>
      <w:r w:rsidRPr="008F0257">
        <w:rPr>
          <w:lang w:val="en-US"/>
        </w:rPr>
        <w:t>On December 18, 2019, the Board of Directors approved the Employee Reward</w:t>
      </w:r>
      <w:r>
        <w:rPr>
          <w:lang w:val="en-US"/>
        </w:rPr>
        <w:t>s</w:t>
      </w:r>
      <w:r w:rsidRPr="008F0257">
        <w:rPr>
          <w:lang w:val="en-US"/>
        </w:rPr>
        <w:t xml:space="preserve"> Program, which aims to recognize BB </w:t>
      </w:r>
      <w:proofErr w:type="spellStart"/>
      <w:r w:rsidRPr="008F0257">
        <w:rPr>
          <w:lang w:val="en-US"/>
        </w:rPr>
        <w:t>Seguros</w:t>
      </w:r>
      <w:proofErr w:type="spellEnd"/>
      <w:r w:rsidRPr="008F0257">
        <w:rPr>
          <w:lang w:val="en-US"/>
        </w:rPr>
        <w:t xml:space="preserve"> employees in non-statutory positions, with outstanding performance in the Development and Career Committee. Considering the new wording of § 4 of art. 457 of the CLT, amended by Law No. 13,467/2017, the program is classified as an award and there is no incidence of labor and social security charges.</w:t>
      </w:r>
    </w:p>
    <w:p w14:paraId="4CFFF49E" w14:textId="77777777" w:rsidR="006D0C37" w:rsidRPr="008F0257" w:rsidRDefault="006D0C37" w:rsidP="006D0C37">
      <w:pPr>
        <w:pStyle w:val="01-Textonormal"/>
        <w:rPr>
          <w:lang w:val="en-US"/>
        </w:rPr>
      </w:pPr>
      <w:r w:rsidRPr="008F0257">
        <w:rPr>
          <w:lang w:val="en-US"/>
        </w:rPr>
        <w:t>On October 2</w:t>
      </w:r>
      <w:r>
        <w:rPr>
          <w:lang w:val="en-US"/>
        </w:rPr>
        <w:t>5</w:t>
      </w:r>
      <w:r w:rsidRPr="008F0257">
        <w:rPr>
          <w:lang w:val="en-US"/>
        </w:rPr>
        <w:t>, 202</w:t>
      </w:r>
      <w:r>
        <w:rPr>
          <w:lang w:val="en-US"/>
        </w:rPr>
        <w:t>4</w:t>
      </w:r>
      <w:r w:rsidRPr="008F0257">
        <w:rPr>
          <w:lang w:val="en-US"/>
        </w:rPr>
        <w:t>, the Board of Directors approved an update to the program rules, which maintained the same objective and the same legal framework.</w:t>
      </w:r>
    </w:p>
    <w:p w14:paraId="12583A87" w14:textId="77777777" w:rsidR="006D0C37" w:rsidRDefault="006D0C37" w:rsidP="006D0C37">
      <w:pPr>
        <w:pStyle w:val="03-SubttulodeNota"/>
        <w:spacing w:line="276" w:lineRule="auto"/>
        <w:rPr>
          <w:b w:val="0"/>
          <w:sz w:val="18"/>
          <w:szCs w:val="18"/>
          <w:lang w:val="en-US"/>
        </w:rPr>
      </w:pPr>
      <w:r w:rsidRPr="003A62A9">
        <w:rPr>
          <w:b w:val="0"/>
          <w:sz w:val="18"/>
          <w:szCs w:val="18"/>
          <w:lang w:val="en-US"/>
        </w:rPr>
        <w:t xml:space="preserve">The program is activated annually and is conditional on achieving the scores defined in the company's employment agreement, which is reflected in the percentage of employees awarded, which can be 40% or 50% according to the performance provided for in the respective agreement. The target audience can vary between 40% or 50% (according to performance in the employment agreement) and includes employees by position, in the case of managerial or equivalent functions, and by position and by directorate, in the case of technical functions. The </w:t>
      </w:r>
      <w:proofErr w:type="gramStart"/>
      <w:r w:rsidRPr="003A62A9">
        <w:rPr>
          <w:b w:val="0"/>
          <w:sz w:val="18"/>
          <w:szCs w:val="18"/>
          <w:lang w:val="en-US"/>
        </w:rPr>
        <w:t>criteria</w:t>
      </w:r>
      <w:proofErr w:type="gramEnd"/>
      <w:r w:rsidRPr="003A62A9">
        <w:rPr>
          <w:b w:val="0"/>
          <w:sz w:val="18"/>
          <w:szCs w:val="18"/>
          <w:lang w:val="en-US"/>
        </w:rPr>
        <w:t xml:space="preserve"> for choosing the employees involves an assessment of technical and behavioral skills, achievement of targets and management style. The bonus is credited 100% (one hundred percent) in cash, after due payment of income tax, in a single installment, within 30 days of the publication of the Career and Development Committee's results.</w:t>
      </w:r>
    </w:p>
    <w:p w14:paraId="5DC9FA73" w14:textId="77777777" w:rsidR="006D0C37" w:rsidRPr="008503D2" w:rsidRDefault="006D0C37" w:rsidP="006D0C37">
      <w:pPr>
        <w:pStyle w:val="03-SubttulodeNota"/>
        <w:rPr>
          <w:color w:val="1F3864" w:themeColor="accent1" w:themeShade="80"/>
          <w:sz w:val="18"/>
          <w:szCs w:val="18"/>
          <w:lang w:val="en-US"/>
        </w:rPr>
      </w:pPr>
      <w:r>
        <w:rPr>
          <w:color w:val="1F3864" w:themeColor="accent1" w:themeShade="80"/>
          <w:sz w:val="18"/>
          <w:szCs w:val="18"/>
          <w:lang w:val="en-US"/>
        </w:rPr>
        <w:t>g</w:t>
      </w:r>
      <w:r w:rsidRPr="00E2299D">
        <w:rPr>
          <w:color w:val="1F3864" w:themeColor="accent1" w:themeShade="80"/>
          <w:sz w:val="18"/>
          <w:szCs w:val="18"/>
          <w:lang w:val="en-US"/>
        </w:rPr>
        <w:t>) Other Accumulated Comprehensive Income</w:t>
      </w:r>
    </w:p>
    <w:p w14:paraId="2899EA77" w14:textId="77777777" w:rsidR="006D0C37" w:rsidRPr="009C3118" w:rsidRDefault="006D0C37" w:rsidP="006D0C37">
      <w:pPr>
        <w:pStyle w:val="01-Textonormal"/>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r w:rsidRPr="003A62A9">
        <w:rPr>
          <w:rFonts w:cs="Arial"/>
          <w:lang w:val="en-US"/>
        </w:rPr>
        <w:t>744</w:t>
      </w:r>
      <w:r>
        <w:rPr>
          <w:rFonts w:cs="Arial"/>
          <w:lang w:val="en-US"/>
        </w:rPr>
        <w:t>,</w:t>
      </w:r>
      <w:r w:rsidRPr="003A62A9">
        <w:rPr>
          <w:rFonts w:cs="Arial"/>
          <w:lang w:val="en-US"/>
        </w:rPr>
        <w:t>605</w:t>
      </w:r>
      <w:r>
        <w:rPr>
          <w:rFonts w:cs="Arial"/>
          <w:lang w:val="en-US"/>
        </w:rPr>
        <w:t xml:space="preserve"> </w:t>
      </w:r>
      <w:r w:rsidRPr="009C3118">
        <w:rPr>
          <w:lang w:val="en-US"/>
        </w:rPr>
        <w:t xml:space="preserve">thousand </w:t>
      </w:r>
      <w:r>
        <w:rPr>
          <w:lang w:val="en-US"/>
        </w:rPr>
        <w:br/>
      </w:r>
      <w:r w:rsidRPr="009C3118">
        <w:rPr>
          <w:lang w:val="en-US"/>
        </w:rPr>
        <w:t xml:space="preserve">(R$ </w:t>
      </w:r>
      <w:r w:rsidRPr="00BC7FD8">
        <w:rPr>
          <w:rFonts w:cs="Arial"/>
          <w:lang w:val="en-US"/>
        </w:rPr>
        <w:t>197</w:t>
      </w:r>
      <w:r>
        <w:rPr>
          <w:rFonts w:cs="Arial"/>
          <w:lang w:val="en-US"/>
        </w:rPr>
        <w:t>,</w:t>
      </w:r>
      <w:r w:rsidRPr="00BC7FD8">
        <w:rPr>
          <w:rFonts w:cs="Arial"/>
          <w:lang w:val="en-US"/>
        </w:rPr>
        <w:t xml:space="preserve">821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3</w:t>
      </w:r>
      <w:r w:rsidRPr="009C3118">
        <w:rPr>
          <w:lang w:val="en-US"/>
        </w:rPr>
        <w:t>) is mainly composed of:</w:t>
      </w:r>
    </w:p>
    <w:p w14:paraId="33C4A528" w14:textId="77777777" w:rsidR="006D0C37" w:rsidRPr="009C3118" w:rsidRDefault="006D0C37" w:rsidP="006D0C37">
      <w:pPr>
        <w:pStyle w:val="01-Textonormal"/>
        <w:rPr>
          <w:lang w:val="en-US"/>
        </w:rPr>
      </w:pPr>
      <w:proofErr w:type="spellStart"/>
      <w:r w:rsidRPr="00FA4EB2">
        <w:rPr>
          <w:lang w:val="en-US"/>
        </w:rPr>
        <w:t>i</w:t>
      </w:r>
      <w:proofErr w:type="spellEnd"/>
      <w:r w:rsidRPr="00FA4EB2">
        <w:rPr>
          <w:lang w:val="en-US"/>
        </w:rPr>
        <w:t xml:space="preserve"> - </w:t>
      </w:r>
      <w:r>
        <w:rPr>
          <w:lang w:val="en-US"/>
        </w:rPr>
        <w:t>Negative</w:t>
      </w:r>
      <w:r w:rsidRPr="00FA4EB2">
        <w:rPr>
          <w:lang w:val="en-US"/>
        </w:rPr>
        <w:t xml:space="preserve"> R$ </w:t>
      </w:r>
      <w:r w:rsidRPr="0037190F">
        <w:rPr>
          <w:rFonts w:cs="Arial"/>
          <w:lang w:val="en-US"/>
        </w:rPr>
        <w:t>311</w:t>
      </w:r>
      <w:r>
        <w:rPr>
          <w:rFonts w:cs="Arial"/>
          <w:lang w:val="en-US"/>
        </w:rPr>
        <w:t>,</w:t>
      </w:r>
      <w:r w:rsidRPr="0037190F">
        <w:rPr>
          <w:rFonts w:cs="Arial"/>
          <w:lang w:val="en-US"/>
        </w:rPr>
        <w:t xml:space="preserve">420 </w:t>
      </w:r>
      <w:r w:rsidRPr="00FA4EB2">
        <w:rPr>
          <w:lang w:val="en-US"/>
        </w:rPr>
        <w:t xml:space="preserve">thousand, </w:t>
      </w:r>
      <w:r w:rsidRPr="00183C1E">
        <w:rPr>
          <w:lang w:val="en-US"/>
        </w:rPr>
        <w:t xml:space="preserve">related to the devaluation resulting from the adjustment to market value of securities classified as Fair Value through Other Comprehensive Income of the investees, net of tax effects. </w:t>
      </w:r>
      <w:proofErr w:type="spellStart"/>
      <w:r w:rsidRPr="00183C1E">
        <w:rPr>
          <w:lang w:val="en-US"/>
        </w:rPr>
        <w:t>Brasilprev</w:t>
      </w:r>
      <w:proofErr w:type="spellEnd"/>
      <w:r w:rsidRPr="00183C1E">
        <w:rPr>
          <w:lang w:val="en-US"/>
        </w:rPr>
        <w:t xml:space="preserve"> reclassified </w:t>
      </w:r>
      <w:r w:rsidRPr="00183C1E">
        <w:rPr>
          <w:lang w:val="en-US"/>
        </w:rPr>
        <w:lastRenderedPageBreak/>
        <w:t xml:space="preserve">financial assets in January/2024 from the Amortized Cost category to </w:t>
      </w:r>
      <w:r w:rsidRPr="00E873CE">
        <w:rPr>
          <w:lang w:val="en-US"/>
        </w:rPr>
        <w:t>Fair Value through Other Comprehensive Income</w:t>
      </w:r>
      <w:r w:rsidRPr="00183C1E">
        <w:rPr>
          <w:lang w:val="en-US"/>
        </w:rPr>
        <w:t xml:space="preserve">, as a result of the effects of SUSEP Circular </w:t>
      </w:r>
      <w:proofErr w:type="gramStart"/>
      <w:r w:rsidRPr="00183C1E">
        <w:rPr>
          <w:lang w:val="en-US"/>
        </w:rPr>
        <w:t>678/2022</w:t>
      </w:r>
      <w:r w:rsidRPr="00FA4EB2">
        <w:rPr>
          <w:lang w:val="en-US"/>
        </w:rPr>
        <w:t>;</w:t>
      </w:r>
      <w:proofErr w:type="gramEnd"/>
    </w:p>
    <w:p w14:paraId="1A00C5C7" w14:textId="77777777" w:rsidR="006D0C37" w:rsidRDefault="006D0C37" w:rsidP="006D0C37">
      <w:pPr>
        <w:pStyle w:val="01-Textonormal"/>
        <w:rPr>
          <w:lang w:val="en-US"/>
        </w:rPr>
      </w:pPr>
      <w:r w:rsidRPr="009C3118">
        <w:rPr>
          <w:lang w:val="en-US"/>
        </w:rPr>
        <w:t xml:space="preserve">ii - </w:t>
      </w:r>
      <w:r w:rsidRPr="005443B9">
        <w:rPr>
          <w:lang w:val="en-US"/>
        </w:rPr>
        <w:t>Negative R$</w:t>
      </w:r>
      <w:r>
        <w:rPr>
          <w:lang w:val="en-US"/>
        </w:rPr>
        <w:t xml:space="preserve"> </w:t>
      </w:r>
      <w:r w:rsidRPr="0037190F">
        <w:rPr>
          <w:lang w:val="en-US"/>
        </w:rPr>
        <w:t>433</w:t>
      </w:r>
      <w:r>
        <w:rPr>
          <w:lang w:val="en-US"/>
        </w:rPr>
        <w:t>,</w:t>
      </w:r>
      <w:r w:rsidRPr="0037190F">
        <w:rPr>
          <w:lang w:val="en-US"/>
        </w:rPr>
        <w:t xml:space="preserve">305 </w:t>
      </w:r>
      <w:r w:rsidRPr="005443B9">
        <w:rPr>
          <w:lang w:val="en-US"/>
        </w:rPr>
        <w:t>thousand</w:t>
      </w:r>
      <w:r w:rsidRPr="009C3118">
        <w:rPr>
          <w:lang w:val="en-US"/>
        </w:rPr>
        <w:t xml:space="preserve">, </w:t>
      </w:r>
      <w:r w:rsidRPr="005443B9">
        <w:rPr>
          <w:lang w:val="en-US"/>
        </w:rPr>
        <w:t xml:space="preserve">relating to the effects of CPC 50, mainly referring to variations in interest rates on products classified as General Model (BBA) in the </w:t>
      </w:r>
      <w:proofErr w:type="spellStart"/>
      <w:r w:rsidRPr="005443B9">
        <w:rPr>
          <w:lang w:val="en-US"/>
        </w:rPr>
        <w:t>companies</w:t>
      </w:r>
      <w:proofErr w:type="spellEnd"/>
      <w:r w:rsidRPr="005443B9">
        <w:rPr>
          <w:lang w:val="en-US"/>
        </w:rPr>
        <w:t xml:space="preserve"> </w:t>
      </w:r>
      <w:proofErr w:type="spellStart"/>
      <w:r w:rsidRPr="005443B9">
        <w:rPr>
          <w:lang w:val="en-US"/>
        </w:rPr>
        <w:t>Brasilprev</w:t>
      </w:r>
      <w:proofErr w:type="spellEnd"/>
      <w:r w:rsidRPr="005443B9">
        <w:rPr>
          <w:lang w:val="en-US"/>
        </w:rPr>
        <w:t xml:space="preserve"> and BB MAPFRE.</w:t>
      </w:r>
    </w:p>
    <w:p w14:paraId="2B0341DC" w14:textId="28B517F7" w:rsidR="00F15F06" w:rsidRPr="00781F9F" w:rsidRDefault="006D0C37" w:rsidP="00781F9F">
      <w:pPr>
        <w:pStyle w:val="01-Textonormal"/>
        <w:rPr>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w:t>
      </w:r>
      <w:proofErr w:type="spellStart"/>
      <w:r w:rsidRPr="009C3118">
        <w:rPr>
          <w:lang w:val="en-US"/>
        </w:rPr>
        <w:t>Seguros</w:t>
      </w:r>
      <w:proofErr w:type="spellEnd"/>
      <w:r w:rsidRPr="009C3118">
        <w:rPr>
          <w:lang w:val="en-US"/>
        </w:rPr>
        <w:t xml:space="preserve"> holds an interest.</w:t>
      </w:r>
    </w:p>
    <w:p w14:paraId="5B7B6AFA" w14:textId="2CFC6A41" w:rsidR="008E63BC"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17" w:name="_Toc157446739"/>
      <w:bookmarkStart w:id="118" w:name="_Toc190680647"/>
      <w:r w:rsidRPr="00432934">
        <w:rPr>
          <w:rFonts w:ascii="Arial" w:hAnsi="Arial" w:cs="Arial"/>
          <w:b/>
          <w:color w:val="1F3864" w:themeColor="accent1" w:themeShade="80"/>
          <w:sz w:val="20"/>
          <w:lang w:val="en-US"/>
        </w:rPr>
        <w:t>26 – RELATED PARTY TRANSACTIONS</w:t>
      </w:r>
      <w:bookmarkEnd w:id="113"/>
      <w:bookmarkEnd w:id="117"/>
      <w:bookmarkEnd w:id="118"/>
    </w:p>
    <w:p w14:paraId="2FC722FA" w14:textId="77777777" w:rsidR="009817AF" w:rsidRPr="004C5A7A" w:rsidRDefault="009817AF" w:rsidP="009817AF">
      <w:pPr>
        <w:pStyle w:val="05-Textonormal"/>
        <w:rPr>
          <w:rFonts w:cs="Arial"/>
          <w:lang w:val="en-US"/>
        </w:rPr>
      </w:pPr>
      <w:bookmarkStart w:id="119" w:name="_Hlk149578710"/>
      <w:r w:rsidRPr="004C5A7A">
        <w:rPr>
          <w:rFonts w:cs="Arial"/>
          <w:lang w:val="en-US"/>
        </w:rPr>
        <w:t xml:space="preserve">BB </w:t>
      </w:r>
      <w:proofErr w:type="spellStart"/>
      <w:r w:rsidRPr="004C5A7A">
        <w:rPr>
          <w:rFonts w:cs="Arial"/>
          <w:lang w:val="en-US"/>
        </w:rPr>
        <w:t>Seguridade</w:t>
      </w:r>
      <w:proofErr w:type="spellEnd"/>
      <w:r w:rsidRPr="004C5A7A">
        <w:rPr>
          <w:rFonts w:cs="Arial"/>
          <w:lang w:val="en-US"/>
        </w:rPr>
        <w:t xml:space="preserve"> has a policy for transactions with related parties approved by the Board of Directors and disclosed to the market, which guides the behavior of BB </w:t>
      </w:r>
      <w:proofErr w:type="spellStart"/>
      <w:r w:rsidRPr="004C5A7A">
        <w:rPr>
          <w:rFonts w:cs="Arial"/>
          <w:lang w:val="en-US"/>
        </w:rPr>
        <w:t>Seguridade</w:t>
      </w:r>
      <w:proofErr w:type="spellEnd"/>
      <w:r w:rsidRPr="004C5A7A">
        <w:rPr>
          <w:rFonts w:cs="Arial"/>
          <w:lang w:val="en-US"/>
        </w:rPr>
        <w:t xml:space="preserve"> and its subsidiaries, employees, administrators, and shareholders in relation to transactions with related parties.</w:t>
      </w:r>
    </w:p>
    <w:p w14:paraId="059595D5" w14:textId="77777777" w:rsidR="009817AF" w:rsidRPr="004C5A7A" w:rsidRDefault="009817AF" w:rsidP="009817AF">
      <w:pPr>
        <w:pStyle w:val="05-Textonormal"/>
        <w:rPr>
          <w:rFonts w:cs="Arial"/>
          <w:lang w:val="en-US"/>
        </w:rPr>
      </w:pPr>
      <w:r w:rsidRPr="004C5A7A">
        <w:rPr>
          <w:rFonts w:cs="Arial"/>
          <w:lang w:val="en-US"/>
        </w:rPr>
        <w:t>As provided for in the policy, transactions with related parties are carried out at usual market prices and rates.</w:t>
      </w:r>
    </w:p>
    <w:p w14:paraId="56A1CB05" w14:textId="77777777" w:rsidR="009817AF" w:rsidRPr="004C5A7A" w:rsidRDefault="009817AF" w:rsidP="009817AF">
      <w:pPr>
        <w:pStyle w:val="05-Textonormal"/>
        <w:rPr>
          <w:rFonts w:cs="Arial"/>
          <w:lang w:val="en-US"/>
        </w:rPr>
      </w:pPr>
      <w:r w:rsidRPr="004C5A7A">
        <w:rPr>
          <w:rFonts w:cs="Arial"/>
          <w:lang w:val="en-US"/>
        </w:rPr>
        <w:t xml:space="preserve">BB </w:t>
      </w:r>
      <w:proofErr w:type="spellStart"/>
      <w:r w:rsidRPr="004C5A7A">
        <w:rPr>
          <w:rFonts w:cs="Arial"/>
          <w:lang w:val="en-US"/>
        </w:rPr>
        <w:t>Seguridade</w:t>
      </w:r>
      <w:proofErr w:type="spellEnd"/>
      <w:r w:rsidRPr="004C5A7A">
        <w:rPr>
          <w:rFonts w:cs="Arial"/>
          <w:lang w:val="en-US"/>
        </w:rPr>
        <w:t xml:space="preserve"> has an agreement with the controlling shareholder Banco do </w:t>
      </w:r>
      <w:proofErr w:type="spellStart"/>
      <w:r w:rsidRPr="004C5A7A">
        <w:rPr>
          <w:rFonts w:cs="Arial"/>
          <w:lang w:val="en-US"/>
        </w:rPr>
        <w:t>Brasil</w:t>
      </w:r>
      <w:proofErr w:type="spellEnd"/>
      <w:r w:rsidRPr="004C5A7A">
        <w:rPr>
          <w:rFonts w:cs="Arial"/>
          <w:lang w:val="en-US"/>
        </w:rPr>
        <w:t xml:space="preserve">, signed on December 20, 2012, with a term of 20 years, it has been updated, through an amendment, on July 24, 2023. BB </w:t>
      </w:r>
      <w:proofErr w:type="spellStart"/>
      <w:r w:rsidRPr="004C5A7A">
        <w:rPr>
          <w:rFonts w:cs="Arial"/>
          <w:lang w:val="en-US"/>
        </w:rPr>
        <w:t>Seguridade</w:t>
      </w:r>
      <w:proofErr w:type="spellEnd"/>
      <w:r w:rsidRPr="004C5A7A">
        <w:rPr>
          <w:rFonts w:cs="Arial"/>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17F652F7" w14:textId="77777777" w:rsidR="009817AF" w:rsidRPr="004C5A7A" w:rsidRDefault="009817AF" w:rsidP="009817AF">
      <w:pPr>
        <w:pStyle w:val="05-Textonormal"/>
        <w:rPr>
          <w:rFonts w:cs="Arial"/>
          <w:lang w:val="en-US"/>
        </w:rPr>
      </w:pPr>
      <w:r w:rsidRPr="004C5A7A">
        <w:rPr>
          <w:rFonts w:cs="Arial"/>
          <w:lang w:val="en-US"/>
        </w:rPr>
        <w:t xml:space="preserve">BB </w:t>
      </w:r>
      <w:proofErr w:type="spellStart"/>
      <w:r w:rsidRPr="004C5A7A">
        <w:rPr>
          <w:rFonts w:cs="Arial"/>
          <w:lang w:val="en-US"/>
        </w:rPr>
        <w:t>Seguridade</w:t>
      </w:r>
      <w:proofErr w:type="spellEnd"/>
      <w:r w:rsidRPr="004C5A7A">
        <w:rPr>
          <w:rFonts w:cs="Arial"/>
          <w:lang w:val="en-US"/>
        </w:rPr>
        <w:t xml:space="preserve"> also has an agreement with its subsidiaries BB </w:t>
      </w:r>
      <w:proofErr w:type="spellStart"/>
      <w:r w:rsidRPr="004C5A7A">
        <w:rPr>
          <w:rFonts w:cs="Arial"/>
          <w:lang w:val="en-US"/>
        </w:rPr>
        <w:t>Corretora</w:t>
      </w:r>
      <w:proofErr w:type="spellEnd"/>
      <w:r w:rsidRPr="004C5A7A">
        <w:rPr>
          <w:rFonts w:cs="Arial"/>
          <w:lang w:val="en-US"/>
        </w:rPr>
        <w:t xml:space="preserve"> and BB </w:t>
      </w:r>
      <w:proofErr w:type="spellStart"/>
      <w:r w:rsidRPr="004C5A7A">
        <w:rPr>
          <w:rFonts w:cs="Arial"/>
          <w:lang w:val="en-US"/>
        </w:rPr>
        <w:t>Seguros</w:t>
      </w:r>
      <w:proofErr w:type="spellEnd"/>
      <w:r w:rsidRPr="004C5A7A">
        <w:rPr>
          <w:rFonts w:cs="Arial"/>
          <w:lang w:val="en-US"/>
        </w:rPr>
        <w:t xml:space="preserve">, signed on June 15, 2016, with a term of 20 years, having been updated, through an amendment, on December 6, 2017. BB Brokerage and BB </w:t>
      </w:r>
      <w:proofErr w:type="spellStart"/>
      <w:r w:rsidRPr="004C5A7A">
        <w:rPr>
          <w:rFonts w:cs="Arial"/>
          <w:lang w:val="en-US"/>
        </w:rPr>
        <w:t>Seguros</w:t>
      </w:r>
      <w:proofErr w:type="spellEnd"/>
      <w:r w:rsidRPr="004C5A7A">
        <w:rPr>
          <w:rFonts w:cs="Arial"/>
          <w:lang w:val="en-US"/>
        </w:rPr>
        <w:t xml:space="preserve"> reimburse BB </w:t>
      </w:r>
      <w:proofErr w:type="spellStart"/>
      <w:r w:rsidRPr="004C5A7A">
        <w:rPr>
          <w:rFonts w:cs="Arial"/>
          <w:lang w:val="en-US"/>
        </w:rPr>
        <w:t>Seguridade</w:t>
      </w:r>
      <w:proofErr w:type="spellEnd"/>
      <w:r w:rsidRPr="004C5A7A">
        <w:rPr>
          <w:rFonts w:cs="Arial"/>
          <w:lang w:val="en-US"/>
        </w:rPr>
        <w:t xml:space="preserve"> for direct and indirect expenses and costs determined by apportionment, resulting from the use of staff, physical space and material, technological and administrative resources necessary to maintain activities.</w:t>
      </w:r>
    </w:p>
    <w:p w14:paraId="5FD98088" w14:textId="77777777" w:rsidR="009817AF" w:rsidRPr="004C5A7A" w:rsidRDefault="009817AF" w:rsidP="009817AF">
      <w:pPr>
        <w:pStyle w:val="05-Textonormal"/>
        <w:rPr>
          <w:rFonts w:cs="Arial"/>
          <w:lang w:val="en-US"/>
        </w:rPr>
      </w:pPr>
      <w:r w:rsidRPr="004C5A7A">
        <w:rPr>
          <w:rFonts w:cs="Arial"/>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3624C117" w14:textId="77777777" w:rsidR="009817AF" w:rsidRPr="004C5A7A" w:rsidRDefault="009817AF" w:rsidP="009817AF">
      <w:pPr>
        <w:pStyle w:val="05-Textonormal"/>
        <w:rPr>
          <w:rFonts w:cs="Arial"/>
          <w:lang w:val="en-US"/>
        </w:rPr>
      </w:pPr>
      <w:r w:rsidRPr="004C5A7A">
        <w:rPr>
          <w:rFonts w:cs="Arial"/>
          <w:lang w:val="en-US"/>
        </w:rPr>
        <w:t xml:space="preserve">The costs of salaries and other benefits granted to key management personnel of the BB </w:t>
      </w:r>
      <w:proofErr w:type="spellStart"/>
      <w:r w:rsidRPr="004C5A7A">
        <w:rPr>
          <w:rFonts w:cs="Arial"/>
          <w:lang w:val="en-US"/>
        </w:rPr>
        <w:t>Seguridade</w:t>
      </w:r>
      <w:proofErr w:type="spellEnd"/>
      <w:r w:rsidRPr="004C5A7A">
        <w:rPr>
          <w:rFonts w:cs="Arial"/>
          <w:lang w:val="en-US"/>
        </w:rPr>
        <w:t xml:space="preserve"> (Executive Board, Audit Committee, Board of Directors, and Fiscal Council):</w:t>
      </w:r>
    </w:p>
    <w:p w14:paraId="3B106779" w14:textId="77777777" w:rsidR="009817AF" w:rsidRPr="004C5A7A" w:rsidRDefault="009817AF" w:rsidP="009163E1">
      <w:pPr>
        <w:pStyle w:val="05-Textonormal"/>
        <w:keepNext/>
        <w:spacing w:before="0" w:after="0" w:line="240" w:lineRule="auto"/>
        <w:jc w:val="right"/>
        <w:rPr>
          <w:rFonts w:cs="Arial"/>
          <w:b/>
          <w:sz w:val="14"/>
          <w:szCs w:val="14"/>
        </w:rPr>
      </w:pPr>
      <w:r w:rsidRPr="004C5A7A">
        <w:rPr>
          <w:rFonts w:cs="Arial"/>
          <w:b/>
          <w:sz w:val="14"/>
          <w:szCs w:val="14"/>
        </w:rPr>
        <w:t xml:space="preserve">R$ </w:t>
      </w:r>
      <w:proofErr w:type="spellStart"/>
      <w:r w:rsidRPr="004C5A7A">
        <w:rPr>
          <w:rFonts w:cs="Arial"/>
          <w:b/>
          <w:sz w:val="14"/>
          <w:szCs w:val="14"/>
        </w:rPr>
        <w:t>thousand</w:t>
      </w:r>
      <w:proofErr w:type="spellEnd"/>
    </w:p>
    <w:tbl>
      <w:tblPr>
        <w:tblW w:w="9639" w:type="dxa"/>
        <w:tblLook w:val="04A0" w:firstRow="1" w:lastRow="0" w:firstColumn="1" w:lastColumn="0" w:noHBand="0" w:noVBand="1"/>
      </w:tblPr>
      <w:tblGrid>
        <w:gridCol w:w="2986"/>
        <w:gridCol w:w="604"/>
        <w:gridCol w:w="1411"/>
        <w:gridCol w:w="811"/>
        <w:gridCol w:w="709"/>
        <w:gridCol w:w="1592"/>
        <w:gridCol w:w="1526"/>
      </w:tblGrid>
      <w:tr w:rsidR="009817AF" w:rsidRPr="00426309" w14:paraId="2626E13B" w14:textId="77777777">
        <w:trPr>
          <w:trHeight w:val="227"/>
        </w:trPr>
        <w:tc>
          <w:tcPr>
            <w:tcW w:w="5812" w:type="dxa"/>
            <w:gridSpan w:val="4"/>
            <w:tcBorders>
              <w:top w:val="single" w:sz="4" w:space="0" w:color="1F3864" w:themeColor="accent1" w:themeShade="80"/>
              <w:bottom w:val="single" w:sz="4" w:space="0" w:color="1F3864" w:themeColor="accent1" w:themeShade="80"/>
            </w:tcBorders>
          </w:tcPr>
          <w:p w14:paraId="7F5E57CF" w14:textId="77777777" w:rsidR="009817AF" w:rsidRPr="00426309" w:rsidRDefault="009817AF">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615B8BA5" w14:textId="77777777" w:rsidR="009817AF" w:rsidRPr="00426309" w:rsidRDefault="009817AF">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bottom w:val="single" w:sz="4" w:space="0" w:color="1F3864" w:themeColor="accent1" w:themeShade="80"/>
            </w:tcBorders>
          </w:tcPr>
          <w:p w14:paraId="10092511" w14:textId="77777777" w:rsidR="009817AF" w:rsidRPr="004443BE" w:rsidRDefault="009817AF">
            <w:pPr>
              <w:keepNext/>
              <w:keepLines/>
              <w:spacing w:before="40" w:after="40"/>
              <w:jc w:val="right"/>
              <w:rPr>
                <w:rFonts w:ascii="Arial" w:hAnsi="Arial" w:cs="Arial"/>
                <w:b/>
                <w:bCs/>
                <w:spacing w:val="-2"/>
                <w:sz w:val="14"/>
                <w:szCs w:val="14"/>
              </w:rPr>
            </w:pPr>
            <w:bookmarkStart w:id="120" w:name="_Hlk181000150"/>
            <w:r w:rsidRPr="004443BE">
              <w:rPr>
                <w:rFonts w:ascii="Arial" w:hAnsi="Arial" w:cs="Arial"/>
                <w:b/>
                <w:bCs/>
                <w:spacing w:val="-2"/>
                <w:sz w:val="14"/>
                <w:szCs w:val="14"/>
              </w:rPr>
              <w:t>202</w:t>
            </w:r>
            <w:r>
              <w:rPr>
                <w:rFonts w:ascii="Arial" w:hAnsi="Arial" w:cs="Arial"/>
                <w:b/>
                <w:bCs/>
                <w:spacing w:val="-2"/>
                <w:sz w:val="14"/>
                <w:szCs w:val="14"/>
              </w:rPr>
              <w:t>4</w:t>
            </w:r>
            <w:bookmarkEnd w:id="120"/>
          </w:p>
        </w:tc>
        <w:tc>
          <w:tcPr>
            <w:tcW w:w="1526" w:type="dxa"/>
            <w:tcBorders>
              <w:top w:val="single" w:sz="4" w:space="0" w:color="1F3864" w:themeColor="accent1" w:themeShade="80"/>
              <w:bottom w:val="single" w:sz="4" w:space="0" w:color="1F3864" w:themeColor="accent1" w:themeShade="80"/>
            </w:tcBorders>
          </w:tcPr>
          <w:p w14:paraId="49DFB4C6" w14:textId="77777777" w:rsidR="009817AF" w:rsidRPr="004443BE" w:rsidRDefault="009817AF">
            <w:pPr>
              <w:keepNext/>
              <w:keepLines/>
              <w:spacing w:before="40" w:after="40"/>
              <w:jc w:val="right"/>
              <w:rPr>
                <w:rFonts w:ascii="Arial" w:hAnsi="Arial" w:cs="Arial"/>
                <w:b/>
                <w:bCs/>
                <w:spacing w:val="-2"/>
                <w:sz w:val="14"/>
                <w:szCs w:val="14"/>
              </w:rPr>
            </w:pPr>
            <w:r>
              <w:rPr>
                <w:rFonts w:ascii="Arial" w:hAnsi="Arial" w:cs="Arial"/>
                <w:b/>
                <w:bCs/>
                <w:spacing w:val="-2"/>
                <w:sz w:val="14"/>
                <w:szCs w:val="14"/>
              </w:rPr>
              <w:t>2023</w:t>
            </w:r>
          </w:p>
        </w:tc>
      </w:tr>
      <w:tr w:rsidR="009817AF" w:rsidRPr="00341602" w14:paraId="0C2CFC93" w14:textId="77777777">
        <w:trPr>
          <w:trHeight w:val="227"/>
        </w:trPr>
        <w:tc>
          <w:tcPr>
            <w:tcW w:w="2986" w:type="dxa"/>
            <w:tcBorders>
              <w:top w:val="single" w:sz="4" w:space="0" w:color="1F3864" w:themeColor="accent1" w:themeShade="80"/>
            </w:tcBorders>
          </w:tcPr>
          <w:p w14:paraId="3C9B4AFB" w14:textId="77777777" w:rsidR="009817AF" w:rsidRPr="00341602" w:rsidRDefault="009817AF">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2C986204" w14:textId="77777777" w:rsidR="009817AF" w:rsidRPr="00341602" w:rsidRDefault="009817AF">
            <w:pPr>
              <w:pStyle w:val="08-Tabelageral"/>
              <w:rPr>
                <w:rFonts w:cs="Arial"/>
                <w:b/>
                <w:bCs/>
                <w:szCs w:val="14"/>
              </w:rPr>
            </w:pPr>
          </w:p>
        </w:tc>
        <w:tc>
          <w:tcPr>
            <w:tcW w:w="1411" w:type="dxa"/>
            <w:tcBorders>
              <w:top w:val="single" w:sz="4" w:space="0" w:color="1F3864" w:themeColor="accent1" w:themeShade="80"/>
            </w:tcBorders>
          </w:tcPr>
          <w:p w14:paraId="6CF4FD54" w14:textId="77777777" w:rsidR="009817AF" w:rsidRPr="00341602" w:rsidRDefault="009817AF">
            <w:pPr>
              <w:pStyle w:val="08-Tabelageral"/>
              <w:rPr>
                <w:rFonts w:cs="Arial"/>
                <w:b/>
                <w:bCs/>
                <w:szCs w:val="14"/>
              </w:rPr>
            </w:pPr>
          </w:p>
        </w:tc>
        <w:tc>
          <w:tcPr>
            <w:tcW w:w="811" w:type="dxa"/>
            <w:tcBorders>
              <w:top w:val="single" w:sz="4" w:space="0" w:color="1F3864" w:themeColor="accent1" w:themeShade="80"/>
            </w:tcBorders>
          </w:tcPr>
          <w:p w14:paraId="0DA78378" w14:textId="77777777" w:rsidR="009817AF" w:rsidRPr="00341602" w:rsidRDefault="009817AF">
            <w:pPr>
              <w:pStyle w:val="08-Tabelageral"/>
              <w:rPr>
                <w:rFonts w:cs="Arial"/>
                <w:b/>
                <w:bCs/>
                <w:szCs w:val="14"/>
              </w:rPr>
            </w:pPr>
          </w:p>
        </w:tc>
        <w:tc>
          <w:tcPr>
            <w:tcW w:w="709" w:type="dxa"/>
            <w:tcBorders>
              <w:top w:val="single" w:sz="4" w:space="0" w:color="1F3864" w:themeColor="accent1" w:themeShade="80"/>
            </w:tcBorders>
          </w:tcPr>
          <w:p w14:paraId="6E6B411F" w14:textId="77777777" w:rsidR="009817AF" w:rsidRPr="00341602" w:rsidRDefault="009817AF">
            <w:pPr>
              <w:pStyle w:val="08-Tabelageral"/>
              <w:rPr>
                <w:rFonts w:cs="Arial"/>
                <w:b/>
                <w:bCs/>
                <w:szCs w:val="14"/>
              </w:rPr>
            </w:pPr>
          </w:p>
        </w:tc>
        <w:tc>
          <w:tcPr>
            <w:tcW w:w="1592" w:type="dxa"/>
            <w:tcBorders>
              <w:top w:val="single" w:sz="2" w:space="0" w:color="9CC2E5" w:themeColor="accent5" w:themeTint="99"/>
            </w:tcBorders>
            <w:shd w:val="clear" w:color="auto" w:fill="auto"/>
          </w:tcPr>
          <w:p w14:paraId="23AE3AC0" w14:textId="77777777" w:rsidR="009817AF" w:rsidRPr="00341602" w:rsidRDefault="009817AF">
            <w:pPr>
              <w:pStyle w:val="08-Tabelageral"/>
              <w:rPr>
                <w:rFonts w:cs="Arial"/>
                <w:b/>
                <w:bCs/>
                <w:szCs w:val="14"/>
              </w:rPr>
            </w:pPr>
            <w:r w:rsidRPr="004C5A7A">
              <w:rPr>
                <w:rFonts w:cs="Arial"/>
                <w:b/>
              </w:rPr>
              <w:t>8,683</w:t>
            </w:r>
          </w:p>
        </w:tc>
        <w:tc>
          <w:tcPr>
            <w:tcW w:w="1526" w:type="dxa"/>
            <w:tcBorders>
              <w:top w:val="single" w:sz="2" w:space="0" w:color="9CC2E5" w:themeColor="accent5" w:themeTint="99"/>
            </w:tcBorders>
            <w:shd w:val="clear" w:color="auto" w:fill="auto"/>
            <w:vAlign w:val="center"/>
          </w:tcPr>
          <w:p w14:paraId="6E108E38" w14:textId="77777777" w:rsidR="009817AF" w:rsidRPr="00341602" w:rsidRDefault="009817AF">
            <w:pPr>
              <w:pStyle w:val="08-Tabelageral"/>
              <w:rPr>
                <w:rFonts w:cs="Arial"/>
                <w:b/>
                <w:bCs/>
                <w:szCs w:val="14"/>
              </w:rPr>
            </w:pPr>
            <w:r w:rsidRPr="00BF2AAF">
              <w:rPr>
                <w:rFonts w:cs="Arial"/>
                <w:b/>
              </w:rPr>
              <w:t>8</w:t>
            </w:r>
            <w:r>
              <w:rPr>
                <w:rFonts w:cs="Arial"/>
                <w:b/>
              </w:rPr>
              <w:t>,</w:t>
            </w:r>
            <w:r w:rsidRPr="00BF2AAF">
              <w:rPr>
                <w:rFonts w:cs="Arial"/>
                <w:b/>
              </w:rPr>
              <w:t>858</w:t>
            </w:r>
          </w:p>
        </w:tc>
      </w:tr>
      <w:tr w:rsidR="009817AF" w:rsidRPr="00341602" w14:paraId="40520CDC" w14:textId="77777777">
        <w:trPr>
          <w:trHeight w:val="227"/>
        </w:trPr>
        <w:tc>
          <w:tcPr>
            <w:tcW w:w="2986" w:type="dxa"/>
          </w:tcPr>
          <w:p w14:paraId="34E23B31" w14:textId="77777777" w:rsidR="009817AF" w:rsidRPr="00341602" w:rsidRDefault="009817AF">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p>
        </w:tc>
        <w:tc>
          <w:tcPr>
            <w:tcW w:w="604" w:type="dxa"/>
          </w:tcPr>
          <w:p w14:paraId="66058B95" w14:textId="77777777" w:rsidR="009817AF" w:rsidRPr="00341602" w:rsidRDefault="009817AF">
            <w:pPr>
              <w:pStyle w:val="08-Tabelageral"/>
              <w:rPr>
                <w:rFonts w:cs="Arial"/>
                <w:b/>
                <w:bCs/>
                <w:szCs w:val="14"/>
              </w:rPr>
            </w:pPr>
          </w:p>
        </w:tc>
        <w:tc>
          <w:tcPr>
            <w:tcW w:w="1411" w:type="dxa"/>
          </w:tcPr>
          <w:p w14:paraId="7DC8C996" w14:textId="77777777" w:rsidR="009817AF" w:rsidRPr="00341602" w:rsidRDefault="009817AF">
            <w:pPr>
              <w:pStyle w:val="08-Tabelageral"/>
              <w:rPr>
                <w:rFonts w:cs="Arial"/>
                <w:b/>
                <w:bCs/>
                <w:szCs w:val="14"/>
              </w:rPr>
            </w:pPr>
          </w:p>
        </w:tc>
        <w:tc>
          <w:tcPr>
            <w:tcW w:w="811" w:type="dxa"/>
          </w:tcPr>
          <w:p w14:paraId="1AEA865E" w14:textId="77777777" w:rsidR="009817AF" w:rsidRPr="00341602" w:rsidRDefault="009817AF">
            <w:pPr>
              <w:pStyle w:val="08-Tabelageral"/>
              <w:rPr>
                <w:rFonts w:cs="Arial"/>
                <w:b/>
                <w:bCs/>
                <w:szCs w:val="14"/>
              </w:rPr>
            </w:pPr>
          </w:p>
        </w:tc>
        <w:tc>
          <w:tcPr>
            <w:tcW w:w="709" w:type="dxa"/>
          </w:tcPr>
          <w:p w14:paraId="323175D4" w14:textId="77777777" w:rsidR="009817AF" w:rsidRPr="00341602" w:rsidRDefault="009817AF">
            <w:pPr>
              <w:pStyle w:val="08-Tabelageral"/>
              <w:rPr>
                <w:rFonts w:cs="Arial"/>
                <w:b/>
                <w:bCs/>
                <w:szCs w:val="14"/>
              </w:rPr>
            </w:pPr>
          </w:p>
        </w:tc>
        <w:tc>
          <w:tcPr>
            <w:tcW w:w="1592" w:type="dxa"/>
            <w:shd w:val="clear" w:color="auto" w:fill="auto"/>
          </w:tcPr>
          <w:p w14:paraId="2E8209E7" w14:textId="77777777" w:rsidR="009817AF" w:rsidRPr="00341602" w:rsidRDefault="009817AF">
            <w:pPr>
              <w:pStyle w:val="08-Tabelageral"/>
              <w:rPr>
                <w:rFonts w:cs="Arial"/>
                <w:b/>
                <w:bCs/>
                <w:szCs w:val="14"/>
              </w:rPr>
            </w:pPr>
            <w:r w:rsidRPr="004C5A7A">
              <w:rPr>
                <w:rFonts w:cs="Arial"/>
                <w:b/>
              </w:rPr>
              <w:t>6,782</w:t>
            </w:r>
          </w:p>
        </w:tc>
        <w:tc>
          <w:tcPr>
            <w:tcW w:w="1526" w:type="dxa"/>
            <w:shd w:val="clear" w:color="auto" w:fill="auto"/>
            <w:vAlign w:val="center"/>
          </w:tcPr>
          <w:p w14:paraId="4DC2AC1F" w14:textId="77777777" w:rsidR="009817AF" w:rsidRPr="00341602" w:rsidRDefault="009817AF">
            <w:pPr>
              <w:pStyle w:val="08-Tabelageral"/>
              <w:rPr>
                <w:rFonts w:cs="Arial"/>
                <w:b/>
                <w:bCs/>
                <w:szCs w:val="14"/>
              </w:rPr>
            </w:pPr>
            <w:r w:rsidRPr="00BF2AAF">
              <w:rPr>
                <w:rFonts w:cs="Arial"/>
                <w:b/>
              </w:rPr>
              <w:t>6</w:t>
            </w:r>
            <w:r>
              <w:rPr>
                <w:rFonts w:cs="Arial"/>
                <w:b/>
              </w:rPr>
              <w:t>,</w:t>
            </w:r>
            <w:r w:rsidRPr="00BF2AAF">
              <w:rPr>
                <w:rFonts w:cs="Arial"/>
                <w:b/>
              </w:rPr>
              <w:t>779</w:t>
            </w:r>
          </w:p>
        </w:tc>
      </w:tr>
      <w:tr w:rsidR="009817AF" w:rsidRPr="00D311AA" w14:paraId="0D825DDD" w14:textId="77777777">
        <w:trPr>
          <w:trHeight w:val="227"/>
        </w:trPr>
        <w:tc>
          <w:tcPr>
            <w:tcW w:w="2986" w:type="dxa"/>
          </w:tcPr>
          <w:p w14:paraId="26C42778" w14:textId="77777777" w:rsidR="009817AF" w:rsidRPr="00D311AA" w:rsidRDefault="009817AF">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4E2AEE60" w14:textId="77777777" w:rsidR="009817AF" w:rsidRPr="00D311AA" w:rsidRDefault="009817AF">
            <w:pPr>
              <w:pStyle w:val="08-Tabelageral"/>
              <w:rPr>
                <w:rFonts w:cs="Arial"/>
                <w:szCs w:val="14"/>
              </w:rPr>
            </w:pPr>
          </w:p>
        </w:tc>
        <w:tc>
          <w:tcPr>
            <w:tcW w:w="1411" w:type="dxa"/>
          </w:tcPr>
          <w:p w14:paraId="6007B329" w14:textId="77777777" w:rsidR="009817AF" w:rsidRPr="00D311AA" w:rsidRDefault="009817AF">
            <w:pPr>
              <w:pStyle w:val="08-Tabelageral"/>
              <w:rPr>
                <w:rFonts w:cs="Arial"/>
                <w:szCs w:val="14"/>
              </w:rPr>
            </w:pPr>
          </w:p>
        </w:tc>
        <w:tc>
          <w:tcPr>
            <w:tcW w:w="811" w:type="dxa"/>
          </w:tcPr>
          <w:p w14:paraId="22712761" w14:textId="77777777" w:rsidR="009817AF" w:rsidRPr="00D311AA" w:rsidRDefault="009817AF">
            <w:pPr>
              <w:pStyle w:val="08-Tabelageral"/>
              <w:rPr>
                <w:rFonts w:cs="Arial"/>
                <w:szCs w:val="14"/>
              </w:rPr>
            </w:pPr>
          </w:p>
        </w:tc>
        <w:tc>
          <w:tcPr>
            <w:tcW w:w="709" w:type="dxa"/>
          </w:tcPr>
          <w:p w14:paraId="6A0074E6" w14:textId="77777777" w:rsidR="009817AF" w:rsidRPr="00D311AA" w:rsidRDefault="009817AF">
            <w:pPr>
              <w:pStyle w:val="08-Tabelageral"/>
              <w:rPr>
                <w:rFonts w:cs="Arial"/>
                <w:szCs w:val="14"/>
              </w:rPr>
            </w:pPr>
          </w:p>
        </w:tc>
        <w:tc>
          <w:tcPr>
            <w:tcW w:w="1592" w:type="dxa"/>
            <w:shd w:val="clear" w:color="auto" w:fill="auto"/>
          </w:tcPr>
          <w:p w14:paraId="2E919264" w14:textId="77777777" w:rsidR="009817AF" w:rsidRPr="00D311AA" w:rsidRDefault="009817AF">
            <w:pPr>
              <w:pStyle w:val="08-Tabelageral"/>
              <w:rPr>
                <w:rFonts w:cs="Arial"/>
                <w:szCs w:val="14"/>
              </w:rPr>
            </w:pPr>
            <w:r w:rsidRPr="004C5A7A">
              <w:rPr>
                <w:rFonts w:cs="Arial"/>
              </w:rPr>
              <w:t>4,670</w:t>
            </w:r>
          </w:p>
        </w:tc>
        <w:tc>
          <w:tcPr>
            <w:tcW w:w="1526" w:type="dxa"/>
            <w:shd w:val="clear" w:color="auto" w:fill="auto"/>
            <w:vAlign w:val="center"/>
          </w:tcPr>
          <w:p w14:paraId="21A9E351" w14:textId="77777777" w:rsidR="009817AF" w:rsidRPr="00D311AA" w:rsidRDefault="009817AF">
            <w:pPr>
              <w:pStyle w:val="08-Tabelageral"/>
              <w:rPr>
                <w:rFonts w:cs="Arial"/>
                <w:szCs w:val="14"/>
              </w:rPr>
            </w:pPr>
            <w:r w:rsidRPr="00BF2AAF">
              <w:rPr>
                <w:rFonts w:cs="Arial"/>
              </w:rPr>
              <w:t>4</w:t>
            </w:r>
            <w:r>
              <w:rPr>
                <w:rFonts w:cs="Arial"/>
              </w:rPr>
              <w:t>,</w:t>
            </w:r>
            <w:r w:rsidRPr="00BF2AAF">
              <w:rPr>
                <w:rFonts w:cs="Arial"/>
              </w:rPr>
              <w:t>739</w:t>
            </w:r>
          </w:p>
        </w:tc>
      </w:tr>
      <w:tr w:rsidR="009817AF" w:rsidRPr="00D311AA" w14:paraId="20994788" w14:textId="77777777">
        <w:trPr>
          <w:trHeight w:val="227"/>
        </w:trPr>
        <w:tc>
          <w:tcPr>
            <w:tcW w:w="2986" w:type="dxa"/>
          </w:tcPr>
          <w:p w14:paraId="5D57AD0B" w14:textId="77777777" w:rsidR="009817AF" w:rsidRPr="00D311AA" w:rsidRDefault="009817AF">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07965CF6" w14:textId="77777777" w:rsidR="009817AF" w:rsidRPr="00D311AA" w:rsidRDefault="009817AF">
            <w:pPr>
              <w:pStyle w:val="08-Tabelageral"/>
              <w:rPr>
                <w:rFonts w:cs="Arial"/>
                <w:szCs w:val="14"/>
              </w:rPr>
            </w:pPr>
          </w:p>
        </w:tc>
        <w:tc>
          <w:tcPr>
            <w:tcW w:w="1411" w:type="dxa"/>
          </w:tcPr>
          <w:p w14:paraId="2E78F44D" w14:textId="77777777" w:rsidR="009817AF" w:rsidRPr="00D311AA" w:rsidRDefault="009817AF">
            <w:pPr>
              <w:pStyle w:val="08-Tabelageral"/>
              <w:rPr>
                <w:rFonts w:cs="Arial"/>
                <w:szCs w:val="14"/>
              </w:rPr>
            </w:pPr>
          </w:p>
        </w:tc>
        <w:tc>
          <w:tcPr>
            <w:tcW w:w="811" w:type="dxa"/>
          </w:tcPr>
          <w:p w14:paraId="71410AE2" w14:textId="77777777" w:rsidR="009817AF" w:rsidRPr="00D311AA" w:rsidRDefault="009817AF">
            <w:pPr>
              <w:pStyle w:val="08-Tabelageral"/>
              <w:rPr>
                <w:rFonts w:cs="Arial"/>
                <w:szCs w:val="14"/>
              </w:rPr>
            </w:pPr>
          </w:p>
        </w:tc>
        <w:tc>
          <w:tcPr>
            <w:tcW w:w="709" w:type="dxa"/>
          </w:tcPr>
          <w:p w14:paraId="674B62EE" w14:textId="77777777" w:rsidR="009817AF" w:rsidRPr="00D311AA" w:rsidRDefault="009817AF">
            <w:pPr>
              <w:pStyle w:val="08-Tabelageral"/>
              <w:rPr>
                <w:rFonts w:cs="Arial"/>
                <w:szCs w:val="14"/>
              </w:rPr>
            </w:pPr>
          </w:p>
        </w:tc>
        <w:tc>
          <w:tcPr>
            <w:tcW w:w="1592" w:type="dxa"/>
            <w:shd w:val="clear" w:color="auto" w:fill="auto"/>
          </w:tcPr>
          <w:p w14:paraId="521F34C7" w14:textId="77777777" w:rsidR="009817AF" w:rsidRPr="00D311AA" w:rsidRDefault="009817AF">
            <w:pPr>
              <w:pStyle w:val="08-Tabelageral"/>
              <w:rPr>
                <w:rFonts w:cs="Arial"/>
                <w:szCs w:val="14"/>
              </w:rPr>
            </w:pPr>
            <w:r w:rsidRPr="004C5A7A">
              <w:rPr>
                <w:rFonts w:cs="Arial"/>
              </w:rPr>
              <w:t>820</w:t>
            </w:r>
          </w:p>
        </w:tc>
        <w:tc>
          <w:tcPr>
            <w:tcW w:w="1526" w:type="dxa"/>
            <w:shd w:val="clear" w:color="auto" w:fill="auto"/>
            <w:vAlign w:val="center"/>
          </w:tcPr>
          <w:p w14:paraId="12389ADA" w14:textId="77777777" w:rsidR="009817AF" w:rsidRPr="00D311AA" w:rsidRDefault="009817AF">
            <w:pPr>
              <w:pStyle w:val="08-Tabelageral"/>
              <w:rPr>
                <w:rFonts w:cs="Arial"/>
                <w:szCs w:val="14"/>
              </w:rPr>
            </w:pPr>
            <w:r w:rsidRPr="00BF2AAF">
              <w:rPr>
                <w:rFonts w:cs="Arial"/>
              </w:rPr>
              <w:t>784</w:t>
            </w:r>
          </w:p>
        </w:tc>
      </w:tr>
      <w:tr w:rsidR="009817AF" w:rsidRPr="00D311AA" w14:paraId="0E0E1D44" w14:textId="77777777">
        <w:trPr>
          <w:trHeight w:val="227"/>
        </w:trPr>
        <w:tc>
          <w:tcPr>
            <w:tcW w:w="2986" w:type="dxa"/>
          </w:tcPr>
          <w:p w14:paraId="3359F7EF" w14:textId="77777777" w:rsidR="009817AF" w:rsidRPr="00D311AA" w:rsidRDefault="009817AF">
            <w:pPr>
              <w:pStyle w:val="08-Tabelageral"/>
              <w:jc w:val="left"/>
              <w:rPr>
                <w:rFonts w:cs="Arial"/>
                <w:b/>
                <w:szCs w:val="14"/>
              </w:rPr>
            </w:pPr>
            <w:r w:rsidRPr="00D311AA">
              <w:rPr>
                <w:rFonts w:cs="Arial"/>
                <w:szCs w:val="14"/>
              </w:rPr>
              <w:t xml:space="preserve">    </w:t>
            </w:r>
            <w:bookmarkStart w:id="121"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121"/>
            <w:proofErr w:type="spellEnd"/>
          </w:p>
        </w:tc>
        <w:tc>
          <w:tcPr>
            <w:tcW w:w="604" w:type="dxa"/>
          </w:tcPr>
          <w:p w14:paraId="1D896943" w14:textId="77777777" w:rsidR="009817AF" w:rsidRPr="00D311AA" w:rsidRDefault="009817AF">
            <w:pPr>
              <w:pStyle w:val="08-Tabelageral"/>
              <w:rPr>
                <w:rFonts w:cs="Arial"/>
                <w:szCs w:val="14"/>
              </w:rPr>
            </w:pPr>
          </w:p>
        </w:tc>
        <w:tc>
          <w:tcPr>
            <w:tcW w:w="1411" w:type="dxa"/>
          </w:tcPr>
          <w:p w14:paraId="3B97F639" w14:textId="77777777" w:rsidR="009817AF" w:rsidRPr="00D311AA" w:rsidRDefault="009817AF">
            <w:pPr>
              <w:pStyle w:val="08-Tabelageral"/>
              <w:rPr>
                <w:rFonts w:cs="Arial"/>
                <w:szCs w:val="14"/>
              </w:rPr>
            </w:pPr>
          </w:p>
        </w:tc>
        <w:tc>
          <w:tcPr>
            <w:tcW w:w="811" w:type="dxa"/>
          </w:tcPr>
          <w:p w14:paraId="4FCDBC1A" w14:textId="77777777" w:rsidR="009817AF" w:rsidRPr="00D311AA" w:rsidRDefault="009817AF">
            <w:pPr>
              <w:pStyle w:val="08-Tabelageral"/>
              <w:rPr>
                <w:rFonts w:cs="Arial"/>
                <w:szCs w:val="14"/>
              </w:rPr>
            </w:pPr>
          </w:p>
        </w:tc>
        <w:tc>
          <w:tcPr>
            <w:tcW w:w="709" w:type="dxa"/>
          </w:tcPr>
          <w:p w14:paraId="22B611A8" w14:textId="77777777" w:rsidR="009817AF" w:rsidRPr="00D311AA" w:rsidRDefault="009817AF">
            <w:pPr>
              <w:pStyle w:val="08-Tabelageral"/>
              <w:rPr>
                <w:rFonts w:cs="Arial"/>
                <w:szCs w:val="14"/>
              </w:rPr>
            </w:pPr>
          </w:p>
        </w:tc>
        <w:tc>
          <w:tcPr>
            <w:tcW w:w="1592" w:type="dxa"/>
            <w:shd w:val="clear" w:color="auto" w:fill="auto"/>
          </w:tcPr>
          <w:p w14:paraId="3DD01633" w14:textId="77777777" w:rsidR="009817AF" w:rsidRPr="00D311AA" w:rsidRDefault="009817AF">
            <w:pPr>
              <w:pStyle w:val="08-Tabelageral"/>
              <w:rPr>
                <w:rFonts w:cs="Arial"/>
                <w:szCs w:val="14"/>
              </w:rPr>
            </w:pPr>
            <w:r w:rsidRPr="004C5A7A">
              <w:rPr>
                <w:rFonts w:cs="Arial"/>
              </w:rPr>
              <w:t>352</w:t>
            </w:r>
          </w:p>
        </w:tc>
        <w:tc>
          <w:tcPr>
            <w:tcW w:w="1526" w:type="dxa"/>
            <w:shd w:val="clear" w:color="auto" w:fill="auto"/>
            <w:vAlign w:val="center"/>
          </w:tcPr>
          <w:p w14:paraId="72F076E5" w14:textId="77777777" w:rsidR="009817AF" w:rsidRPr="00D311AA" w:rsidRDefault="009817AF">
            <w:pPr>
              <w:pStyle w:val="08-Tabelageral"/>
              <w:rPr>
                <w:rFonts w:cs="Arial"/>
                <w:szCs w:val="14"/>
              </w:rPr>
            </w:pPr>
            <w:r w:rsidRPr="00BF2AAF">
              <w:rPr>
                <w:rFonts w:cs="Arial"/>
              </w:rPr>
              <w:t>372</w:t>
            </w:r>
          </w:p>
        </w:tc>
      </w:tr>
      <w:tr w:rsidR="009817AF" w:rsidRPr="00D311AA" w14:paraId="3BF01429" w14:textId="77777777">
        <w:trPr>
          <w:trHeight w:val="227"/>
        </w:trPr>
        <w:tc>
          <w:tcPr>
            <w:tcW w:w="2986" w:type="dxa"/>
          </w:tcPr>
          <w:p w14:paraId="4E8566BC" w14:textId="77777777" w:rsidR="009817AF" w:rsidRPr="00D311AA" w:rsidRDefault="009817AF">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6EC31A81" w14:textId="77777777" w:rsidR="009817AF" w:rsidRPr="00D311AA" w:rsidRDefault="009817AF">
            <w:pPr>
              <w:pStyle w:val="08-Tabelageral"/>
              <w:rPr>
                <w:rFonts w:cs="Arial"/>
                <w:szCs w:val="14"/>
              </w:rPr>
            </w:pPr>
          </w:p>
        </w:tc>
        <w:tc>
          <w:tcPr>
            <w:tcW w:w="1411" w:type="dxa"/>
          </w:tcPr>
          <w:p w14:paraId="4DDCA965" w14:textId="77777777" w:rsidR="009817AF" w:rsidRPr="00D311AA" w:rsidRDefault="009817AF">
            <w:pPr>
              <w:pStyle w:val="08-Tabelageral"/>
              <w:rPr>
                <w:rFonts w:cs="Arial"/>
                <w:szCs w:val="14"/>
              </w:rPr>
            </w:pPr>
          </w:p>
        </w:tc>
        <w:tc>
          <w:tcPr>
            <w:tcW w:w="811" w:type="dxa"/>
          </w:tcPr>
          <w:p w14:paraId="255B5C23" w14:textId="77777777" w:rsidR="009817AF" w:rsidRPr="00D311AA" w:rsidRDefault="009817AF">
            <w:pPr>
              <w:pStyle w:val="08-Tabelageral"/>
              <w:rPr>
                <w:rFonts w:cs="Arial"/>
                <w:szCs w:val="14"/>
              </w:rPr>
            </w:pPr>
          </w:p>
        </w:tc>
        <w:tc>
          <w:tcPr>
            <w:tcW w:w="709" w:type="dxa"/>
          </w:tcPr>
          <w:p w14:paraId="3CEA7964" w14:textId="77777777" w:rsidR="009817AF" w:rsidRPr="00D311AA" w:rsidRDefault="009817AF">
            <w:pPr>
              <w:pStyle w:val="08-Tabelageral"/>
              <w:rPr>
                <w:rFonts w:cs="Arial"/>
                <w:szCs w:val="14"/>
              </w:rPr>
            </w:pPr>
          </w:p>
        </w:tc>
        <w:tc>
          <w:tcPr>
            <w:tcW w:w="1592" w:type="dxa"/>
            <w:shd w:val="clear" w:color="auto" w:fill="auto"/>
          </w:tcPr>
          <w:p w14:paraId="0A3FC088" w14:textId="77777777" w:rsidR="009817AF" w:rsidRPr="00D311AA" w:rsidRDefault="009817AF">
            <w:pPr>
              <w:pStyle w:val="08-Tabelageral"/>
              <w:rPr>
                <w:rFonts w:cs="Arial"/>
                <w:szCs w:val="14"/>
              </w:rPr>
            </w:pPr>
            <w:r w:rsidRPr="004C5A7A">
              <w:rPr>
                <w:rFonts w:cs="Arial"/>
              </w:rPr>
              <w:t>285</w:t>
            </w:r>
          </w:p>
        </w:tc>
        <w:tc>
          <w:tcPr>
            <w:tcW w:w="1526" w:type="dxa"/>
            <w:shd w:val="clear" w:color="auto" w:fill="auto"/>
            <w:vAlign w:val="center"/>
          </w:tcPr>
          <w:p w14:paraId="4AC9D4A8" w14:textId="77777777" w:rsidR="009817AF" w:rsidRPr="00D311AA" w:rsidRDefault="009817AF">
            <w:pPr>
              <w:pStyle w:val="08-Tabelageral"/>
              <w:rPr>
                <w:rFonts w:cs="Arial"/>
                <w:szCs w:val="14"/>
              </w:rPr>
            </w:pPr>
            <w:r w:rsidRPr="00BF2AAF">
              <w:rPr>
                <w:rFonts w:cs="Arial"/>
              </w:rPr>
              <w:t>266</w:t>
            </w:r>
          </w:p>
        </w:tc>
      </w:tr>
      <w:tr w:rsidR="009817AF" w:rsidRPr="00D311AA" w14:paraId="3EB4119A" w14:textId="77777777">
        <w:trPr>
          <w:trHeight w:val="227"/>
        </w:trPr>
        <w:tc>
          <w:tcPr>
            <w:tcW w:w="2986" w:type="dxa"/>
          </w:tcPr>
          <w:p w14:paraId="04424EA7" w14:textId="77777777" w:rsidR="009817AF" w:rsidRPr="00D311AA" w:rsidRDefault="009817AF">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7ED00367" w14:textId="77777777" w:rsidR="009817AF" w:rsidRPr="00D311AA" w:rsidRDefault="009817AF">
            <w:pPr>
              <w:pStyle w:val="08-Tabelageral"/>
              <w:rPr>
                <w:rFonts w:cs="Arial"/>
                <w:szCs w:val="14"/>
              </w:rPr>
            </w:pPr>
          </w:p>
        </w:tc>
        <w:tc>
          <w:tcPr>
            <w:tcW w:w="1411" w:type="dxa"/>
          </w:tcPr>
          <w:p w14:paraId="0D1F831A" w14:textId="77777777" w:rsidR="009817AF" w:rsidRPr="00D311AA" w:rsidRDefault="009817AF">
            <w:pPr>
              <w:pStyle w:val="08-Tabelageral"/>
              <w:rPr>
                <w:rFonts w:cs="Arial"/>
                <w:szCs w:val="14"/>
              </w:rPr>
            </w:pPr>
          </w:p>
        </w:tc>
        <w:tc>
          <w:tcPr>
            <w:tcW w:w="811" w:type="dxa"/>
          </w:tcPr>
          <w:p w14:paraId="0CF53984" w14:textId="77777777" w:rsidR="009817AF" w:rsidRPr="00D311AA" w:rsidRDefault="009817AF">
            <w:pPr>
              <w:pStyle w:val="08-Tabelageral"/>
              <w:rPr>
                <w:rFonts w:cs="Arial"/>
                <w:szCs w:val="14"/>
              </w:rPr>
            </w:pPr>
          </w:p>
        </w:tc>
        <w:tc>
          <w:tcPr>
            <w:tcW w:w="709" w:type="dxa"/>
          </w:tcPr>
          <w:p w14:paraId="36AC31DA" w14:textId="77777777" w:rsidR="009817AF" w:rsidRPr="00D311AA" w:rsidRDefault="009817AF">
            <w:pPr>
              <w:pStyle w:val="08-Tabelageral"/>
              <w:rPr>
                <w:rFonts w:cs="Arial"/>
                <w:szCs w:val="14"/>
              </w:rPr>
            </w:pPr>
          </w:p>
        </w:tc>
        <w:tc>
          <w:tcPr>
            <w:tcW w:w="1592" w:type="dxa"/>
            <w:shd w:val="clear" w:color="auto" w:fill="auto"/>
          </w:tcPr>
          <w:p w14:paraId="07015B2E" w14:textId="77777777" w:rsidR="009817AF" w:rsidRPr="004C5A7A" w:rsidRDefault="009817AF">
            <w:pPr>
              <w:pStyle w:val="08-Tabelageral"/>
              <w:rPr>
                <w:rFonts w:cs="Arial"/>
                <w:b/>
              </w:rPr>
            </w:pPr>
            <w:r w:rsidRPr="004C5A7A">
              <w:rPr>
                <w:rFonts w:cs="Arial"/>
              </w:rPr>
              <w:t>164</w:t>
            </w:r>
          </w:p>
        </w:tc>
        <w:tc>
          <w:tcPr>
            <w:tcW w:w="1526" w:type="dxa"/>
            <w:shd w:val="clear" w:color="auto" w:fill="auto"/>
          </w:tcPr>
          <w:p w14:paraId="5A13A52A" w14:textId="77777777" w:rsidR="009817AF" w:rsidRPr="004C5A7A" w:rsidRDefault="009817AF">
            <w:pPr>
              <w:pStyle w:val="08-Tabelageral"/>
              <w:rPr>
                <w:rFonts w:cs="Arial"/>
                <w:b/>
              </w:rPr>
            </w:pPr>
            <w:r w:rsidRPr="00BF2AAF">
              <w:rPr>
                <w:rFonts w:cs="Arial"/>
                <w:szCs w:val="14"/>
              </w:rPr>
              <w:t>153</w:t>
            </w:r>
          </w:p>
        </w:tc>
      </w:tr>
      <w:tr w:rsidR="009817AF" w:rsidRPr="00E32A3E" w14:paraId="4FDCE647" w14:textId="77777777">
        <w:trPr>
          <w:trHeight w:val="227"/>
        </w:trPr>
        <w:tc>
          <w:tcPr>
            <w:tcW w:w="2986" w:type="dxa"/>
          </w:tcPr>
          <w:p w14:paraId="1D141684" w14:textId="77777777" w:rsidR="009817AF" w:rsidRPr="009A329F" w:rsidRDefault="009817AF">
            <w:pPr>
              <w:pStyle w:val="08-Tabelageral"/>
              <w:jc w:val="left"/>
              <w:rPr>
                <w:rFonts w:cs="Arial"/>
                <w:b/>
                <w:bCs/>
                <w:szCs w:val="14"/>
              </w:rPr>
            </w:pPr>
            <w:r>
              <w:rPr>
                <w:rFonts w:cs="Arial"/>
                <w:szCs w:val="14"/>
              </w:rPr>
              <w:t xml:space="preserve">    </w:t>
            </w:r>
            <w:proofErr w:type="spellStart"/>
            <w:r w:rsidRPr="009A329F">
              <w:rPr>
                <w:rFonts w:cs="Arial"/>
                <w:szCs w:val="14"/>
              </w:rPr>
              <w:t>Risks</w:t>
            </w:r>
            <w:proofErr w:type="spellEnd"/>
            <w:r w:rsidRPr="009A329F">
              <w:rPr>
                <w:rFonts w:cs="Arial"/>
                <w:szCs w:val="14"/>
              </w:rPr>
              <w:t xml:space="preserve">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26B08A11" w14:textId="77777777" w:rsidR="009817AF" w:rsidRPr="00E32A3E" w:rsidRDefault="009817AF">
            <w:pPr>
              <w:pStyle w:val="08-Tabelageral"/>
              <w:rPr>
                <w:rFonts w:cs="Arial"/>
                <w:b/>
                <w:szCs w:val="14"/>
              </w:rPr>
            </w:pPr>
          </w:p>
        </w:tc>
        <w:tc>
          <w:tcPr>
            <w:tcW w:w="1411" w:type="dxa"/>
          </w:tcPr>
          <w:p w14:paraId="5DAD65EC" w14:textId="77777777" w:rsidR="009817AF" w:rsidRPr="00E32A3E" w:rsidRDefault="009817AF">
            <w:pPr>
              <w:pStyle w:val="08-Tabelageral"/>
              <w:rPr>
                <w:rFonts w:cs="Arial"/>
                <w:b/>
                <w:szCs w:val="14"/>
              </w:rPr>
            </w:pPr>
          </w:p>
        </w:tc>
        <w:tc>
          <w:tcPr>
            <w:tcW w:w="811" w:type="dxa"/>
          </w:tcPr>
          <w:p w14:paraId="602BEDF7" w14:textId="77777777" w:rsidR="009817AF" w:rsidRPr="00E32A3E" w:rsidRDefault="009817AF">
            <w:pPr>
              <w:pStyle w:val="08-Tabelageral"/>
              <w:rPr>
                <w:rFonts w:cs="Arial"/>
                <w:b/>
                <w:szCs w:val="14"/>
              </w:rPr>
            </w:pPr>
          </w:p>
        </w:tc>
        <w:tc>
          <w:tcPr>
            <w:tcW w:w="709" w:type="dxa"/>
          </w:tcPr>
          <w:p w14:paraId="105517C4" w14:textId="77777777" w:rsidR="009817AF" w:rsidRPr="00E32A3E" w:rsidRDefault="009817AF">
            <w:pPr>
              <w:pStyle w:val="08-Tabelageral"/>
              <w:rPr>
                <w:rFonts w:cs="Arial"/>
                <w:b/>
                <w:szCs w:val="14"/>
              </w:rPr>
            </w:pPr>
          </w:p>
        </w:tc>
        <w:tc>
          <w:tcPr>
            <w:tcW w:w="1592" w:type="dxa"/>
            <w:shd w:val="clear" w:color="auto" w:fill="auto"/>
          </w:tcPr>
          <w:p w14:paraId="2B7D776C" w14:textId="77777777" w:rsidR="009817AF" w:rsidRPr="004C5A7A" w:rsidRDefault="009817AF">
            <w:pPr>
              <w:pStyle w:val="08-Tabelageral"/>
              <w:rPr>
                <w:rFonts w:cs="Arial"/>
                <w:b/>
              </w:rPr>
            </w:pPr>
            <w:r w:rsidRPr="004C5A7A">
              <w:rPr>
                <w:rFonts w:cs="Arial"/>
              </w:rPr>
              <w:t>491</w:t>
            </w:r>
          </w:p>
        </w:tc>
        <w:tc>
          <w:tcPr>
            <w:tcW w:w="1526" w:type="dxa"/>
            <w:shd w:val="clear" w:color="auto" w:fill="auto"/>
          </w:tcPr>
          <w:p w14:paraId="075B2D13" w14:textId="77777777" w:rsidR="009817AF" w:rsidRPr="004C5A7A" w:rsidRDefault="009817AF">
            <w:pPr>
              <w:pStyle w:val="08-Tabelageral"/>
              <w:rPr>
                <w:rFonts w:cs="Arial"/>
                <w:b/>
              </w:rPr>
            </w:pPr>
            <w:r w:rsidRPr="00BF2AAF">
              <w:rPr>
                <w:rFonts w:cs="Arial"/>
                <w:szCs w:val="14"/>
              </w:rPr>
              <w:t>465</w:t>
            </w:r>
          </w:p>
        </w:tc>
      </w:tr>
      <w:tr w:rsidR="009817AF" w:rsidRPr="00341602" w14:paraId="082457A8" w14:textId="77777777">
        <w:trPr>
          <w:trHeight w:val="227"/>
        </w:trPr>
        <w:tc>
          <w:tcPr>
            <w:tcW w:w="2986" w:type="dxa"/>
          </w:tcPr>
          <w:p w14:paraId="687B0A5B" w14:textId="77777777" w:rsidR="009817AF" w:rsidRPr="00341602" w:rsidRDefault="009817AF">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534939B9" w14:textId="77777777" w:rsidR="009817AF" w:rsidRPr="00341602" w:rsidRDefault="009817AF">
            <w:pPr>
              <w:pStyle w:val="08-Tabelageral"/>
              <w:rPr>
                <w:rFonts w:cs="Arial"/>
                <w:b/>
                <w:bCs/>
                <w:szCs w:val="14"/>
              </w:rPr>
            </w:pPr>
          </w:p>
        </w:tc>
        <w:tc>
          <w:tcPr>
            <w:tcW w:w="1411" w:type="dxa"/>
          </w:tcPr>
          <w:p w14:paraId="3B3840EE" w14:textId="77777777" w:rsidR="009817AF" w:rsidRPr="00341602" w:rsidRDefault="009817AF">
            <w:pPr>
              <w:pStyle w:val="08-Tabelageral"/>
              <w:rPr>
                <w:rFonts w:cs="Arial"/>
                <w:b/>
                <w:bCs/>
                <w:szCs w:val="14"/>
              </w:rPr>
            </w:pPr>
          </w:p>
        </w:tc>
        <w:tc>
          <w:tcPr>
            <w:tcW w:w="811" w:type="dxa"/>
          </w:tcPr>
          <w:p w14:paraId="781FB250" w14:textId="77777777" w:rsidR="009817AF" w:rsidRPr="00341602" w:rsidRDefault="009817AF">
            <w:pPr>
              <w:pStyle w:val="08-Tabelageral"/>
              <w:rPr>
                <w:rFonts w:cs="Arial"/>
                <w:b/>
                <w:bCs/>
                <w:szCs w:val="14"/>
              </w:rPr>
            </w:pPr>
          </w:p>
        </w:tc>
        <w:tc>
          <w:tcPr>
            <w:tcW w:w="709" w:type="dxa"/>
          </w:tcPr>
          <w:p w14:paraId="7308AEAE" w14:textId="77777777" w:rsidR="009817AF" w:rsidRPr="00341602" w:rsidRDefault="009817AF">
            <w:pPr>
              <w:pStyle w:val="08-Tabelageral"/>
              <w:rPr>
                <w:rFonts w:cs="Arial"/>
                <w:b/>
                <w:bCs/>
                <w:szCs w:val="14"/>
              </w:rPr>
            </w:pPr>
          </w:p>
        </w:tc>
        <w:tc>
          <w:tcPr>
            <w:tcW w:w="1592" w:type="dxa"/>
            <w:shd w:val="clear" w:color="auto" w:fill="auto"/>
          </w:tcPr>
          <w:p w14:paraId="2F2240B9" w14:textId="77777777" w:rsidR="009817AF" w:rsidRPr="00341602" w:rsidRDefault="009817AF">
            <w:pPr>
              <w:pStyle w:val="08-Tabelageral"/>
              <w:rPr>
                <w:rFonts w:cs="Arial"/>
                <w:b/>
                <w:bCs/>
                <w:szCs w:val="14"/>
              </w:rPr>
            </w:pPr>
            <w:r w:rsidRPr="004C5A7A">
              <w:rPr>
                <w:rFonts w:cs="Arial"/>
                <w:b/>
              </w:rPr>
              <w:t>1,228</w:t>
            </w:r>
          </w:p>
        </w:tc>
        <w:tc>
          <w:tcPr>
            <w:tcW w:w="1526" w:type="dxa"/>
            <w:shd w:val="clear" w:color="auto" w:fill="auto"/>
          </w:tcPr>
          <w:p w14:paraId="5019C841" w14:textId="77777777" w:rsidR="009817AF" w:rsidRPr="00341602" w:rsidRDefault="009817AF">
            <w:pPr>
              <w:pStyle w:val="08-Tabelageral"/>
              <w:rPr>
                <w:rFonts w:cs="Arial"/>
                <w:b/>
                <w:bCs/>
                <w:szCs w:val="14"/>
              </w:rPr>
            </w:pPr>
            <w:r w:rsidRPr="00BF2AAF">
              <w:rPr>
                <w:rFonts w:cs="Arial"/>
                <w:b/>
              </w:rPr>
              <w:t>1</w:t>
            </w:r>
            <w:r>
              <w:rPr>
                <w:rFonts w:cs="Arial"/>
                <w:b/>
              </w:rPr>
              <w:t>,</w:t>
            </w:r>
            <w:r w:rsidRPr="00BF2AAF">
              <w:rPr>
                <w:rFonts w:cs="Arial"/>
                <w:b/>
              </w:rPr>
              <w:t>407</w:t>
            </w:r>
          </w:p>
        </w:tc>
      </w:tr>
      <w:tr w:rsidR="009817AF" w:rsidRPr="00341602" w14:paraId="7AEA7D13" w14:textId="77777777">
        <w:trPr>
          <w:trHeight w:val="227"/>
        </w:trPr>
        <w:tc>
          <w:tcPr>
            <w:tcW w:w="2986" w:type="dxa"/>
          </w:tcPr>
          <w:p w14:paraId="75438D0A" w14:textId="77777777" w:rsidR="009817AF" w:rsidRPr="00341602" w:rsidRDefault="009817AF">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3B869DA3" w14:textId="77777777" w:rsidR="009817AF" w:rsidRPr="00341602" w:rsidRDefault="009817AF">
            <w:pPr>
              <w:pStyle w:val="08-Tabelageral"/>
              <w:rPr>
                <w:rFonts w:cs="Arial"/>
                <w:b/>
                <w:bCs/>
                <w:szCs w:val="14"/>
              </w:rPr>
            </w:pPr>
          </w:p>
        </w:tc>
        <w:tc>
          <w:tcPr>
            <w:tcW w:w="1411" w:type="dxa"/>
          </w:tcPr>
          <w:p w14:paraId="365A4A5C" w14:textId="77777777" w:rsidR="009817AF" w:rsidRPr="00341602" w:rsidRDefault="009817AF">
            <w:pPr>
              <w:pStyle w:val="08-Tabelageral"/>
              <w:rPr>
                <w:rFonts w:cs="Arial"/>
                <w:b/>
                <w:bCs/>
                <w:szCs w:val="14"/>
              </w:rPr>
            </w:pPr>
          </w:p>
        </w:tc>
        <w:tc>
          <w:tcPr>
            <w:tcW w:w="811" w:type="dxa"/>
          </w:tcPr>
          <w:p w14:paraId="40E38496" w14:textId="77777777" w:rsidR="009817AF" w:rsidRPr="00341602" w:rsidRDefault="009817AF">
            <w:pPr>
              <w:pStyle w:val="08-Tabelageral"/>
              <w:rPr>
                <w:rFonts w:cs="Arial"/>
                <w:b/>
                <w:bCs/>
                <w:szCs w:val="14"/>
              </w:rPr>
            </w:pPr>
          </w:p>
        </w:tc>
        <w:tc>
          <w:tcPr>
            <w:tcW w:w="709" w:type="dxa"/>
          </w:tcPr>
          <w:p w14:paraId="73624E2C" w14:textId="77777777" w:rsidR="009817AF" w:rsidRPr="00341602" w:rsidRDefault="009817AF">
            <w:pPr>
              <w:pStyle w:val="08-Tabelageral"/>
              <w:rPr>
                <w:rFonts w:cs="Arial"/>
                <w:b/>
                <w:bCs/>
                <w:szCs w:val="14"/>
              </w:rPr>
            </w:pPr>
          </w:p>
        </w:tc>
        <w:tc>
          <w:tcPr>
            <w:tcW w:w="1592" w:type="dxa"/>
            <w:shd w:val="clear" w:color="auto" w:fill="auto"/>
          </w:tcPr>
          <w:p w14:paraId="1D5DEC77" w14:textId="77777777" w:rsidR="009817AF" w:rsidRPr="00341602" w:rsidRDefault="009817AF">
            <w:pPr>
              <w:pStyle w:val="08-Tabelageral"/>
              <w:rPr>
                <w:rFonts w:cs="Arial"/>
                <w:b/>
                <w:bCs/>
                <w:szCs w:val="14"/>
              </w:rPr>
            </w:pPr>
            <w:r w:rsidRPr="004C5A7A">
              <w:rPr>
                <w:rFonts w:cs="Arial"/>
                <w:b/>
              </w:rPr>
              <w:t>673</w:t>
            </w:r>
          </w:p>
        </w:tc>
        <w:tc>
          <w:tcPr>
            <w:tcW w:w="1526" w:type="dxa"/>
            <w:shd w:val="clear" w:color="auto" w:fill="auto"/>
          </w:tcPr>
          <w:p w14:paraId="37455C16" w14:textId="77777777" w:rsidR="009817AF" w:rsidRPr="00341602" w:rsidRDefault="009817AF">
            <w:pPr>
              <w:pStyle w:val="08-Tabelageral"/>
              <w:rPr>
                <w:rFonts w:cs="Arial"/>
                <w:b/>
                <w:bCs/>
                <w:szCs w:val="14"/>
              </w:rPr>
            </w:pPr>
            <w:r w:rsidRPr="00BF2AAF">
              <w:rPr>
                <w:rFonts w:cs="Arial"/>
                <w:b/>
              </w:rPr>
              <w:t>672</w:t>
            </w:r>
          </w:p>
        </w:tc>
      </w:tr>
      <w:tr w:rsidR="009817AF" w:rsidRPr="00341602" w14:paraId="43394D8A" w14:textId="77777777">
        <w:trPr>
          <w:trHeight w:val="227"/>
        </w:trPr>
        <w:tc>
          <w:tcPr>
            <w:tcW w:w="2986" w:type="dxa"/>
          </w:tcPr>
          <w:p w14:paraId="10CD2DE1" w14:textId="77777777" w:rsidR="009817AF" w:rsidRPr="00341602" w:rsidRDefault="009817AF">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2A65BA7A" w14:textId="77777777" w:rsidR="009817AF" w:rsidRPr="00341602" w:rsidRDefault="009817AF">
            <w:pPr>
              <w:pStyle w:val="08-Tabelageral"/>
              <w:rPr>
                <w:rFonts w:cs="Arial"/>
                <w:b/>
                <w:bCs/>
                <w:szCs w:val="14"/>
              </w:rPr>
            </w:pPr>
          </w:p>
        </w:tc>
        <w:tc>
          <w:tcPr>
            <w:tcW w:w="1411" w:type="dxa"/>
          </w:tcPr>
          <w:p w14:paraId="1BAF9478" w14:textId="77777777" w:rsidR="009817AF" w:rsidRPr="00341602" w:rsidRDefault="009817AF">
            <w:pPr>
              <w:pStyle w:val="08-Tabelageral"/>
              <w:rPr>
                <w:rFonts w:cs="Arial"/>
                <w:b/>
                <w:bCs/>
                <w:szCs w:val="14"/>
              </w:rPr>
            </w:pPr>
          </w:p>
        </w:tc>
        <w:tc>
          <w:tcPr>
            <w:tcW w:w="811" w:type="dxa"/>
          </w:tcPr>
          <w:p w14:paraId="39DF7146" w14:textId="77777777" w:rsidR="009817AF" w:rsidRPr="00341602" w:rsidRDefault="009817AF">
            <w:pPr>
              <w:pStyle w:val="08-Tabelageral"/>
              <w:rPr>
                <w:rFonts w:cs="Arial"/>
                <w:b/>
                <w:bCs/>
                <w:szCs w:val="14"/>
              </w:rPr>
            </w:pPr>
          </w:p>
        </w:tc>
        <w:tc>
          <w:tcPr>
            <w:tcW w:w="709" w:type="dxa"/>
          </w:tcPr>
          <w:p w14:paraId="4C094E50" w14:textId="77777777" w:rsidR="009817AF" w:rsidRPr="00341602" w:rsidRDefault="009817AF">
            <w:pPr>
              <w:pStyle w:val="08-Tabelageral"/>
              <w:rPr>
                <w:rFonts w:cs="Arial"/>
                <w:b/>
                <w:bCs/>
                <w:szCs w:val="14"/>
              </w:rPr>
            </w:pPr>
          </w:p>
        </w:tc>
        <w:tc>
          <w:tcPr>
            <w:tcW w:w="1592" w:type="dxa"/>
            <w:tcBorders>
              <w:bottom w:val="nil"/>
            </w:tcBorders>
            <w:shd w:val="clear" w:color="auto" w:fill="auto"/>
          </w:tcPr>
          <w:p w14:paraId="1C0E42A2" w14:textId="77777777" w:rsidR="009817AF" w:rsidRPr="00341602" w:rsidRDefault="009817AF">
            <w:pPr>
              <w:pStyle w:val="08-Tabelageral"/>
              <w:rPr>
                <w:rFonts w:cs="Arial"/>
                <w:b/>
                <w:bCs/>
                <w:szCs w:val="14"/>
              </w:rPr>
            </w:pPr>
            <w:r w:rsidRPr="004C5A7A">
              <w:rPr>
                <w:rFonts w:cs="Arial"/>
                <w:b/>
              </w:rPr>
              <w:t>1,222</w:t>
            </w:r>
          </w:p>
        </w:tc>
        <w:tc>
          <w:tcPr>
            <w:tcW w:w="1526" w:type="dxa"/>
            <w:tcBorders>
              <w:bottom w:val="nil"/>
            </w:tcBorders>
            <w:shd w:val="clear" w:color="auto" w:fill="auto"/>
          </w:tcPr>
          <w:p w14:paraId="6A1F0615" w14:textId="77777777" w:rsidR="009817AF" w:rsidRPr="00341602" w:rsidRDefault="009817AF">
            <w:pPr>
              <w:pStyle w:val="08-Tabelageral"/>
              <w:rPr>
                <w:rFonts w:cs="Arial"/>
                <w:b/>
                <w:bCs/>
                <w:szCs w:val="14"/>
              </w:rPr>
            </w:pPr>
            <w:r w:rsidRPr="00BF2AAF">
              <w:rPr>
                <w:rFonts w:cs="Arial"/>
                <w:b/>
              </w:rPr>
              <w:t>1</w:t>
            </w:r>
            <w:r>
              <w:rPr>
                <w:rFonts w:cs="Arial"/>
                <w:b/>
              </w:rPr>
              <w:t>,</w:t>
            </w:r>
            <w:r w:rsidRPr="00BF2AAF">
              <w:rPr>
                <w:rFonts w:cs="Arial"/>
                <w:b/>
              </w:rPr>
              <w:t>124</w:t>
            </w:r>
          </w:p>
        </w:tc>
      </w:tr>
      <w:tr w:rsidR="009817AF" w:rsidRPr="00426309" w14:paraId="08B22A09" w14:textId="77777777">
        <w:trPr>
          <w:trHeight w:val="227"/>
        </w:trPr>
        <w:tc>
          <w:tcPr>
            <w:tcW w:w="2986" w:type="dxa"/>
            <w:tcBorders>
              <w:bottom w:val="single" w:sz="4" w:space="0" w:color="1F3864" w:themeColor="accent1" w:themeShade="80"/>
            </w:tcBorders>
          </w:tcPr>
          <w:p w14:paraId="08606EEB" w14:textId="77777777" w:rsidR="009817AF" w:rsidRPr="00426309" w:rsidRDefault="009817AF">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768BE14B" w14:textId="77777777" w:rsidR="009817AF" w:rsidRPr="00426309" w:rsidRDefault="009817AF">
            <w:pPr>
              <w:pStyle w:val="08-Tabelageral"/>
              <w:rPr>
                <w:rFonts w:cs="Arial"/>
                <w:b/>
                <w:bCs/>
                <w:szCs w:val="14"/>
              </w:rPr>
            </w:pPr>
          </w:p>
        </w:tc>
        <w:tc>
          <w:tcPr>
            <w:tcW w:w="1411" w:type="dxa"/>
            <w:tcBorders>
              <w:bottom w:val="single" w:sz="4" w:space="0" w:color="1F3864" w:themeColor="accent1" w:themeShade="80"/>
            </w:tcBorders>
          </w:tcPr>
          <w:p w14:paraId="6F4EF5BA" w14:textId="77777777" w:rsidR="009817AF" w:rsidRPr="00426309" w:rsidRDefault="009817AF">
            <w:pPr>
              <w:pStyle w:val="08-Tabelageral"/>
              <w:rPr>
                <w:rFonts w:cs="Arial"/>
                <w:b/>
                <w:bCs/>
                <w:szCs w:val="14"/>
              </w:rPr>
            </w:pPr>
          </w:p>
        </w:tc>
        <w:tc>
          <w:tcPr>
            <w:tcW w:w="811" w:type="dxa"/>
            <w:tcBorders>
              <w:bottom w:val="single" w:sz="4" w:space="0" w:color="1F3864" w:themeColor="accent1" w:themeShade="80"/>
            </w:tcBorders>
          </w:tcPr>
          <w:p w14:paraId="4335C799" w14:textId="77777777" w:rsidR="009817AF" w:rsidRPr="00426309" w:rsidRDefault="009817AF">
            <w:pPr>
              <w:pStyle w:val="08-Tabelageral"/>
              <w:rPr>
                <w:rFonts w:cs="Arial"/>
                <w:b/>
                <w:bCs/>
                <w:szCs w:val="14"/>
              </w:rPr>
            </w:pPr>
          </w:p>
        </w:tc>
        <w:tc>
          <w:tcPr>
            <w:tcW w:w="709" w:type="dxa"/>
            <w:tcBorders>
              <w:bottom w:val="single" w:sz="4" w:space="0" w:color="1F3864" w:themeColor="accent1" w:themeShade="80"/>
            </w:tcBorders>
          </w:tcPr>
          <w:p w14:paraId="01370922" w14:textId="77777777" w:rsidR="009817AF" w:rsidRPr="00426309" w:rsidRDefault="009817AF">
            <w:pPr>
              <w:pStyle w:val="08-Tabelageral"/>
              <w:rPr>
                <w:rFonts w:cs="Arial"/>
                <w:b/>
                <w:bCs/>
                <w:szCs w:val="14"/>
              </w:rPr>
            </w:pPr>
          </w:p>
        </w:tc>
        <w:tc>
          <w:tcPr>
            <w:tcW w:w="1592" w:type="dxa"/>
            <w:tcBorders>
              <w:top w:val="nil"/>
              <w:bottom w:val="single" w:sz="4" w:space="0" w:color="1F3864" w:themeColor="accent1" w:themeShade="80"/>
            </w:tcBorders>
            <w:shd w:val="clear" w:color="auto" w:fill="auto"/>
          </w:tcPr>
          <w:p w14:paraId="37661AF2" w14:textId="77777777" w:rsidR="009817AF" w:rsidRPr="00426309" w:rsidRDefault="009817AF">
            <w:pPr>
              <w:pStyle w:val="08-Tabelageral"/>
              <w:rPr>
                <w:rFonts w:cs="Arial"/>
                <w:b/>
                <w:bCs/>
                <w:szCs w:val="14"/>
              </w:rPr>
            </w:pPr>
            <w:r w:rsidRPr="004C5A7A">
              <w:rPr>
                <w:rFonts w:cs="Arial"/>
                <w:b/>
              </w:rPr>
              <w:t>9,905</w:t>
            </w:r>
          </w:p>
        </w:tc>
        <w:tc>
          <w:tcPr>
            <w:tcW w:w="1526" w:type="dxa"/>
            <w:tcBorders>
              <w:top w:val="nil"/>
              <w:bottom w:val="single" w:sz="4" w:space="0" w:color="1F3864" w:themeColor="accent1" w:themeShade="80"/>
            </w:tcBorders>
            <w:shd w:val="clear" w:color="auto" w:fill="auto"/>
          </w:tcPr>
          <w:p w14:paraId="6324753A" w14:textId="77777777" w:rsidR="009817AF" w:rsidRPr="00426309" w:rsidRDefault="009817AF">
            <w:pPr>
              <w:pStyle w:val="08-Tabelageral"/>
              <w:rPr>
                <w:rFonts w:cs="Arial"/>
                <w:b/>
                <w:bCs/>
                <w:szCs w:val="14"/>
              </w:rPr>
            </w:pPr>
            <w:r w:rsidRPr="00BF2AAF">
              <w:rPr>
                <w:rFonts w:cs="Arial"/>
                <w:b/>
              </w:rPr>
              <w:t>9</w:t>
            </w:r>
            <w:r>
              <w:rPr>
                <w:rFonts w:cs="Arial"/>
                <w:b/>
              </w:rPr>
              <w:t>,</w:t>
            </w:r>
            <w:r w:rsidRPr="00BF2AAF">
              <w:rPr>
                <w:rFonts w:cs="Arial"/>
                <w:b/>
              </w:rPr>
              <w:t>982</w:t>
            </w:r>
          </w:p>
        </w:tc>
      </w:tr>
    </w:tbl>
    <w:p w14:paraId="36034754" w14:textId="77777777" w:rsidR="009817AF" w:rsidRPr="004C5A7A" w:rsidRDefault="009817AF" w:rsidP="00A76AF4">
      <w:pPr>
        <w:pStyle w:val="07-Legenda"/>
        <w:numPr>
          <w:ilvl w:val="0"/>
          <w:numId w:val="4"/>
        </w:numPr>
        <w:ind w:left="284" w:hanging="284"/>
        <w:rPr>
          <w:rStyle w:val="tlid-translation"/>
          <w:rFonts w:cs="Arial"/>
        </w:rPr>
      </w:pPr>
      <w:r w:rsidRPr="004C5A7A">
        <w:rPr>
          <w:rStyle w:val="tlid-translation"/>
          <w:rFonts w:cs="Arial"/>
          <w:lang w:val="en"/>
        </w:rPr>
        <w:t xml:space="preserve">Refers to the value in kind of settlement of the Administrators' Variable Remuneration Program (PRVA) of 2023 </w:t>
      </w:r>
      <w:r w:rsidRPr="004C5A7A">
        <w:rPr>
          <w:rFonts w:cs="Arial"/>
          <w:lang w:val="en-US"/>
        </w:rPr>
        <w:t xml:space="preserve">and advance in kind of PRVA 2024. </w:t>
      </w:r>
      <w:r w:rsidRPr="004C5A7A">
        <w:rPr>
          <w:rFonts w:cs="Arial"/>
        </w:rPr>
        <w:t xml:space="preserve">Gross </w:t>
      </w:r>
      <w:proofErr w:type="spellStart"/>
      <w:r w:rsidRPr="004C5A7A">
        <w:rPr>
          <w:rFonts w:cs="Arial"/>
        </w:rPr>
        <w:t>value</w:t>
      </w:r>
      <w:proofErr w:type="spellEnd"/>
      <w:r w:rsidRPr="004C5A7A">
        <w:rPr>
          <w:rFonts w:cs="Arial"/>
        </w:rPr>
        <w:t xml:space="preserve">, </w:t>
      </w:r>
      <w:proofErr w:type="spellStart"/>
      <w:r w:rsidRPr="004C5A7A">
        <w:rPr>
          <w:rFonts w:cs="Arial"/>
        </w:rPr>
        <w:t>before</w:t>
      </w:r>
      <w:proofErr w:type="spellEnd"/>
      <w:r w:rsidRPr="004C5A7A">
        <w:rPr>
          <w:rFonts w:cs="Arial"/>
        </w:rPr>
        <w:t xml:space="preserve"> </w:t>
      </w:r>
      <w:proofErr w:type="spellStart"/>
      <w:r w:rsidRPr="004C5A7A">
        <w:rPr>
          <w:rFonts w:cs="Arial"/>
        </w:rPr>
        <w:t>the</w:t>
      </w:r>
      <w:proofErr w:type="spellEnd"/>
      <w:r w:rsidRPr="004C5A7A">
        <w:rPr>
          <w:rFonts w:cs="Arial"/>
        </w:rPr>
        <w:t xml:space="preserve"> </w:t>
      </w:r>
      <w:proofErr w:type="spellStart"/>
      <w:r w:rsidRPr="004C5A7A">
        <w:rPr>
          <w:rFonts w:cs="Arial"/>
        </w:rPr>
        <w:t>discount</w:t>
      </w:r>
      <w:proofErr w:type="spellEnd"/>
      <w:r w:rsidRPr="004C5A7A">
        <w:rPr>
          <w:rFonts w:cs="Arial"/>
        </w:rPr>
        <w:t xml:space="preserve"> </w:t>
      </w:r>
      <w:proofErr w:type="spellStart"/>
      <w:r w:rsidRPr="004C5A7A">
        <w:rPr>
          <w:rFonts w:cs="Arial"/>
        </w:rPr>
        <w:t>related</w:t>
      </w:r>
      <w:proofErr w:type="spellEnd"/>
      <w:r w:rsidRPr="004C5A7A">
        <w:rPr>
          <w:rFonts w:cs="Arial"/>
        </w:rPr>
        <w:t xml:space="preserve"> </w:t>
      </w:r>
      <w:proofErr w:type="spellStart"/>
      <w:r w:rsidRPr="004C5A7A">
        <w:rPr>
          <w:rFonts w:cs="Arial"/>
        </w:rPr>
        <w:t>to</w:t>
      </w:r>
      <w:proofErr w:type="spellEnd"/>
      <w:r w:rsidRPr="004C5A7A">
        <w:rPr>
          <w:rFonts w:cs="Arial"/>
        </w:rPr>
        <w:t xml:space="preserve"> Income </w:t>
      </w:r>
      <w:proofErr w:type="spellStart"/>
      <w:r w:rsidRPr="004C5A7A">
        <w:rPr>
          <w:rFonts w:cs="Arial"/>
        </w:rPr>
        <w:t>Tax</w:t>
      </w:r>
      <w:proofErr w:type="spellEnd"/>
      <w:r w:rsidRPr="004C5A7A">
        <w:rPr>
          <w:rFonts w:cs="Arial"/>
        </w:rPr>
        <w:t>.</w:t>
      </w:r>
    </w:p>
    <w:p w14:paraId="36D433DD" w14:textId="77777777" w:rsidR="009817AF" w:rsidRPr="004C5A7A" w:rsidRDefault="009817AF" w:rsidP="00A76AF4">
      <w:pPr>
        <w:pStyle w:val="07-Legenda"/>
        <w:numPr>
          <w:ilvl w:val="0"/>
          <w:numId w:val="4"/>
        </w:numPr>
        <w:spacing w:before="0"/>
        <w:ind w:left="284" w:hanging="284"/>
        <w:rPr>
          <w:rFonts w:cs="Arial"/>
          <w:szCs w:val="14"/>
          <w:lang w:val="en-US"/>
        </w:rPr>
      </w:pPr>
      <w:r w:rsidRPr="004C5A7A">
        <w:rPr>
          <w:rStyle w:val="tlid-translation"/>
          <w:rFonts w:cs="Arial"/>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4C5A7A">
        <w:rPr>
          <w:rFonts w:cs="Arial"/>
          <w:szCs w:val="14"/>
          <w:lang w:val="en-US"/>
        </w:rPr>
        <w:t xml:space="preserve"> </w:t>
      </w:r>
    </w:p>
    <w:p w14:paraId="05D670AB" w14:textId="77777777" w:rsidR="009817AF" w:rsidRPr="004C5A7A" w:rsidRDefault="009817AF" w:rsidP="00A76AF4">
      <w:pPr>
        <w:pStyle w:val="07-Legenda"/>
        <w:numPr>
          <w:ilvl w:val="0"/>
          <w:numId w:val="4"/>
        </w:numPr>
        <w:spacing w:before="0"/>
        <w:ind w:left="284" w:hanging="284"/>
        <w:rPr>
          <w:rStyle w:val="tlid-translation"/>
          <w:rFonts w:cs="Arial"/>
        </w:rPr>
      </w:pPr>
      <w:r w:rsidRPr="009817AF">
        <w:rPr>
          <w:rFonts w:cs="Arial"/>
          <w:szCs w:val="14"/>
          <w:lang w:val="en-US"/>
        </w:rPr>
        <w:t>Refers</w:t>
      </w:r>
      <w:r w:rsidRPr="004C5A7A">
        <w:rPr>
          <w:rStyle w:val="tlid-translation"/>
          <w:rFonts w:cs="Arial"/>
          <w:lang w:val="en-US"/>
        </w:rPr>
        <w:t xml:space="preserve"> to the cost of shares relating to the installments of the share-based payment programs for 2019, 2020, 2021, 2022 and 2023. </w:t>
      </w:r>
      <w:r w:rsidRPr="009817AF">
        <w:rPr>
          <w:rFonts w:cs="Arial"/>
          <w:szCs w:val="14"/>
          <w:lang w:val="en-US"/>
        </w:rPr>
        <w:t>In 1</w:t>
      </w:r>
      <w:r w:rsidRPr="009817AF">
        <w:rPr>
          <w:rFonts w:cs="Arial"/>
          <w:szCs w:val="14"/>
          <w:vertAlign w:val="superscript"/>
          <w:lang w:val="en-US"/>
        </w:rPr>
        <w:t>st</w:t>
      </w:r>
      <w:r w:rsidRPr="009817AF">
        <w:rPr>
          <w:rFonts w:cs="Arial"/>
          <w:szCs w:val="14"/>
          <w:lang w:val="en-US"/>
        </w:rPr>
        <w:t xml:space="preserve"> Half 2023, refers</w:t>
      </w:r>
      <w:r w:rsidRPr="004C5A7A">
        <w:rPr>
          <w:rStyle w:val="tlid-translation"/>
          <w:rFonts w:cs="Arial"/>
          <w:lang w:val="en-US"/>
        </w:rPr>
        <w:t xml:space="preserve"> to the cost of shares relating to the installments of the share-based payment programs for 2019, 2020, 2021, 2022 and 2023. </w:t>
      </w:r>
      <w:r w:rsidRPr="004C5A7A">
        <w:rPr>
          <w:rStyle w:val="tlid-translation"/>
          <w:rFonts w:cs="Arial"/>
        </w:rPr>
        <w:t xml:space="preserve">Gross </w:t>
      </w:r>
      <w:proofErr w:type="spellStart"/>
      <w:r w:rsidRPr="004C5A7A">
        <w:rPr>
          <w:rStyle w:val="tlid-translation"/>
          <w:rFonts w:cs="Arial"/>
        </w:rPr>
        <w:t>value</w:t>
      </w:r>
      <w:proofErr w:type="spellEnd"/>
      <w:r w:rsidRPr="004C5A7A">
        <w:rPr>
          <w:rStyle w:val="tlid-translation"/>
          <w:rFonts w:cs="Arial"/>
        </w:rPr>
        <w:t xml:space="preserve">, </w:t>
      </w:r>
      <w:proofErr w:type="spellStart"/>
      <w:r w:rsidRPr="004C5A7A">
        <w:rPr>
          <w:rStyle w:val="tlid-translation"/>
          <w:rFonts w:cs="Arial"/>
        </w:rPr>
        <w:t>before</w:t>
      </w:r>
      <w:proofErr w:type="spellEnd"/>
      <w:r w:rsidRPr="004C5A7A">
        <w:rPr>
          <w:rStyle w:val="tlid-translation"/>
          <w:rFonts w:cs="Arial"/>
        </w:rPr>
        <w:t xml:space="preserve"> </w:t>
      </w:r>
      <w:proofErr w:type="spellStart"/>
      <w:r w:rsidRPr="004C5A7A">
        <w:rPr>
          <w:rStyle w:val="tlid-translation"/>
          <w:rFonts w:cs="Arial"/>
        </w:rPr>
        <w:t>the</w:t>
      </w:r>
      <w:proofErr w:type="spellEnd"/>
      <w:r w:rsidRPr="004C5A7A">
        <w:rPr>
          <w:rStyle w:val="tlid-translation"/>
          <w:rFonts w:cs="Arial"/>
        </w:rPr>
        <w:t xml:space="preserve"> income </w:t>
      </w:r>
      <w:proofErr w:type="spellStart"/>
      <w:r w:rsidRPr="004C5A7A">
        <w:rPr>
          <w:rStyle w:val="tlid-translation"/>
          <w:rFonts w:cs="Arial"/>
        </w:rPr>
        <w:t>tax</w:t>
      </w:r>
      <w:proofErr w:type="spellEnd"/>
      <w:r w:rsidRPr="004C5A7A">
        <w:rPr>
          <w:rStyle w:val="tlid-translation"/>
          <w:rFonts w:cs="Arial"/>
        </w:rPr>
        <w:t xml:space="preserve"> </w:t>
      </w:r>
      <w:proofErr w:type="spellStart"/>
      <w:r w:rsidRPr="004C5A7A">
        <w:rPr>
          <w:rStyle w:val="tlid-translation"/>
          <w:rFonts w:cs="Arial"/>
        </w:rPr>
        <w:t>discount</w:t>
      </w:r>
      <w:proofErr w:type="spellEnd"/>
      <w:r w:rsidRPr="004C5A7A">
        <w:rPr>
          <w:rStyle w:val="tlid-translation"/>
          <w:rFonts w:cs="Arial"/>
        </w:rPr>
        <w:t>.</w:t>
      </w:r>
    </w:p>
    <w:p w14:paraId="0EACF943" w14:textId="77777777" w:rsidR="009817AF" w:rsidRPr="004C5A7A" w:rsidRDefault="009817AF" w:rsidP="009817AF">
      <w:pPr>
        <w:pStyle w:val="05-Textonormal"/>
        <w:rPr>
          <w:rFonts w:cs="Arial"/>
          <w:lang w:val="en-US"/>
        </w:rPr>
      </w:pPr>
      <w:r w:rsidRPr="004C5A7A">
        <w:rPr>
          <w:rFonts w:cs="Arial"/>
          <w:lang w:val="en-US"/>
        </w:rPr>
        <w:t xml:space="preserve">According to the variable remuneration policy of BB </w:t>
      </w:r>
      <w:proofErr w:type="spellStart"/>
      <w:r w:rsidRPr="004C5A7A">
        <w:rPr>
          <w:rFonts w:cs="Arial"/>
          <w:lang w:val="en-US"/>
        </w:rPr>
        <w:t>Seguridade</w:t>
      </w:r>
      <w:proofErr w:type="spellEnd"/>
      <w:r w:rsidRPr="004C5A7A">
        <w:rPr>
          <w:rFonts w:cs="Arial"/>
          <w:lang w:val="en-US"/>
        </w:rPr>
        <w:t>, established in accordance with Law 6.404/1976, Article 152, and Accounting Pronouncements Committee 10 - CPC 10 (R1) [IFRS 2] - Share-based Payment, the part of variable remuneration of the Executive Board is paid in shares.</w:t>
      </w:r>
    </w:p>
    <w:p w14:paraId="1CE3281A" w14:textId="77777777" w:rsidR="009817AF" w:rsidRPr="004C5A7A" w:rsidRDefault="009817AF" w:rsidP="009817AF">
      <w:pPr>
        <w:pStyle w:val="05-Textonormal"/>
        <w:rPr>
          <w:rStyle w:val="tlid-translation"/>
          <w:rFonts w:cs="Arial"/>
          <w:lang w:val="en-US"/>
        </w:rPr>
      </w:pPr>
      <w:r w:rsidRPr="004C5A7A">
        <w:rPr>
          <w:rStyle w:val="tlid-translation"/>
          <w:rFonts w:cs="Arial"/>
          <w:lang w:val="en-US"/>
        </w:rPr>
        <w:t xml:space="preserve">BB </w:t>
      </w:r>
      <w:proofErr w:type="spellStart"/>
      <w:r w:rsidRPr="004C5A7A">
        <w:rPr>
          <w:rStyle w:val="tlid-translation"/>
          <w:rFonts w:cs="Arial"/>
          <w:lang w:val="en-US"/>
        </w:rPr>
        <w:t>Seguridade</w:t>
      </w:r>
      <w:proofErr w:type="spellEnd"/>
      <w:r w:rsidRPr="004C5A7A">
        <w:rPr>
          <w:rStyle w:val="tlid-translation"/>
          <w:rFonts w:cs="Arial"/>
          <w:lang w:val="en-US"/>
        </w:rPr>
        <w:t xml:space="preserve"> does not provide post-employment benefits to its key management personnel or to its employees.</w:t>
      </w:r>
    </w:p>
    <w:p w14:paraId="51864017" w14:textId="77777777" w:rsidR="009817AF" w:rsidRPr="004C5A7A" w:rsidRDefault="009817AF" w:rsidP="009817AF">
      <w:pPr>
        <w:pStyle w:val="05-Textonormal"/>
        <w:rPr>
          <w:rFonts w:cs="Arial"/>
          <w:lang w:val="en-US"/>
        </w:rPr>
      </w:pPr>
      <w:r w:rsidRPr="004C5A7A">
        <w:rPr>
          <w:rStyle w:val="tlid-translation"/>
          <w:rFonts w:cs="Arial"/>
          <w:lang w:val="en-US"/>
        </w:rPr>
        <w:t xml:space="preserve">Current personnel costs are reimbursed to the controller Banco do </w:t>
      </w:r>
      <w:proofErr w:type="spellStart"/>
      <w:r w:rsidRPr="004C5A7A">
        <w:rPr>
          <w:rStyle w:val="tlid-translation"/>
          <w:rFonts w:cs="Arial"/>
          <w:lang w:val="en-US"/>
        </w:rPr>
        <w:t>Brasil</w:t>
      </w:r>
      <w:proofErr w:type="spellEnd"/>
      <w:r w:rsidRPr="004C5A7A">
        <w:rPr>
          <w:rStyle w:val="tlid-translation"/>
          <w:rFonts w:cs="Arial"/>
          <w:lang w:val="en-US"/>
        </w:rPr>
        <w:t xml:space="preserve"> S.A., under the employee assignment agreement, in the period in which they are allocated to the Company's activities.</w:t>
      </w:r>
    </w:p>
    <w:p w14:paraId="2655999C" w14:textId="77777777" w:rsidR="009817AF" w:rsidRPr="004C5A7A" w:rsidRDefault="009817AF" w:rsidP="009817AF">
      <w:pPr>
        <w:pStyle w:val="05-Textonormal"/>
        <w:rPr>
          <w:rFonts w:cs="Arial"/>
          <w:lang w:val="en-US"/>
        </w:rPr>
      </w:pPr>
      <w:r w:rsidRPr="004C5A7A">
        <w:rPr>
          <w:rFonts w:cs="Arial"/>
          <w:lang w:val="en-US"/>
        </w:rPr>
        <w:t xml:space="preserve">The Group trades banking transactions with its Controller, Banco do </w:t>
      </w:r>
      <w:proofErr w:type="spellStart"/>
      <w:r w:rsidRPr="004C5A7A">
        <w:rPr>
          <w:rFonts w:cs="Arial"/>
          <w:lang w:val="en-US"/>
        </w:rPr>
        <w:t>Brasil</w:t>
      </w:r>
      <w:proofErr w:type="spellEnd"/>
      <w:r w:rsidRPr="004C5A7A">
        <w:rPr>
          <w:rFonts w:cs="Arial"/>
          <w:lang w:val="en-US"/>
        </w:rPr>
        <w:t xml:space="preserve"> S.A. such as current account deposits (unpaid), use of corporate cards issued by the Bank, financial applications, service deliveries and warranty in conditions equivalent to those available to other customers.</w:t>
      </w:r>
    </w:p>
    <w:p w14:paraId="3CF2B4B0" w14:textId="77777777" w:rsidR="009817AF" w:rsidRPr="004C5A7A" w:rsidRDefault="009817AF" w:rsidP="009817AF">
      <w:pPr>
        <w:pStyle w:val="05-Textonormal"/>
        <w:rPr>
          <w:rFonts w:cs="Arial"/>
          <w:lang w:val="en-US"/>
        </w:rPr>
      </w:pPr>
      <w:r w:rsidRPr="004C5A7A">
        <w:rPr>
          <w:rFonts w:cs="Arial"/>
          <w:lang w:val="en-US"/>
        </w:rPr>
        <w:lastRenderedPageBreak/>
        <w:t>The Group does not grant loans to its Directors, Fiscal Council members, Board of Directors, and Audit Committee.</w:t>
      </w:r>
    </w:p>
    <w:p w14:paraId="460A948F" w14:textId="77777777" w:rsidR="009817AF" w:rsidRPr="004C5A7A" w:rsidRDefault="009817AF" w:rsidP="009817AF">
      <w:pPr>
        <w:pStyle w:val="05-Textonormal"/>
        <w:rPr>
          <w:rFonts w:cs="Arial"/>
          <w:lang w:val="en-US"/>
        </w:rPr>
      </w:pPr>
      <w:r w:rsidRPr="004C5A7A">
        <w:rPr>
          <w:rFonts w:cs="Arial"/>
          <w:lang w:val="en-US"/>
        </w:rPr>
        <w:t xml:space="preserve">BB </w:t>
      </w:r>
      <w:proofErr w:type="spellStart"/>
      <w:r w:rsidRPr="004C5A7A">
        <w:rPr>
          <w:rFonts w:cs="Arial"/>
          <w:lang w:val="en-US"/>
        </w:rPr>
        <w:t>Corretora</w:t>
      </w:r>
      <w:proofErr w:type="spellEnd"/>
      <w:r w:rsidRPr="004C5A7A">
        <w:rPr>
          <w:rFonts w:cs="Arial"/>
          <w:lang w:val="en-US"/>
        </w:rPr>
        <w:t xml:space="preserve"> has commercialization contracts for insurance products in the banking channel with all its investees, the main ones being listed below:</w:t>
      </w:r>
    </w:p>
    <w:p w14:paraId="1EF21CE0" w14:textId="68FEA7ED" w:rsidR="009817AF" w:rsidRPr="004C5A7A" w:rsidRDefault="009817AF" w:rsidP="00A76AF4">
      <w:pPr>
        <w:pStyle w:val="05-Textonormal"/>
        <w:numPr>
          <w:ilvl w:val="0"/>
          <w:numId w:val="3"/>
        </w:numPr>
        <w:ind w:left="426" w:hanging="142"/>
        <w:rPr>
          <w:rFonts w:cs="Arial"/>
          <w:lang w:val="en-US"/>
        </w:rPr>
      </w:pPr>
      <w:proofErr w:type="spellStart"/>
      <w:r w:rsidRPr="004C5A7A">
        <w:rPr>
          <w:rFonts w:cs="Arial"/>
          <w:lang w:val="en-US"/>
        </w:rPr>
        <w:t>Brasilseg</w:t>
      </w:r>
      <w:proofErr w:type="spellEnd"/>
      <w:r w:rsidRPr="004C5A7A">
        <w:rPr>
          <w:rFonts w:cs="Arial"/>
          <w:lang w:val="en-US"/>
        </w:rPr>
        <w:t xml:space="preserve"> Companhia de </w:t>
      </w:r>
      <w:proofErr w:type="spellStart"/>
      <w:r w:rsidRPr="004C5A7A">
        <w:rPr>
          <w:rFonts w:cs="Arial"/>
          <w:lang w:val="en-US"/>
        </w:rPr>
        <w:t>Seguros</w:t>
      </w:r>
      <w:proofErr w:type="spellEnd"/>
      <w:r w:rsidRPr="004C5A7A">
        <w:rPr>
          <w:rFonts w:cs="Arial"/>
          <w:lang w:val="en-US"/>
        </w:rPr>
        <w:t xml:space="preserve"> and </w:t>
      </w:r>
      <w:proofErr w:type="spellStart"/>
      <w:r w:rsidRPr="004C5A7A">
        <w:rPr>
          <w:rFonts w:cs="Arial"/>
          <w:lang w:val="en-US"/>
        </w:rPr>
        <w:t>Aliança</w:t>
      </w:r>
      <w:proofErr w:type="spellEnd"/>
      <w:r w:rsidRPr="004C5A7A">
        <w:rPr>
          <w:rFonts w:cs="Arial"/>
          <w:lang w:val="en-US"/>
        </w:rPr>
        <w:t xml:space="preserve"> do </w:t>
      </w:r>
      <w:proofErr w:type="spellStart"/>
      <w:r w:rsidRPr="004C5A7A">
        <w:rPr>
          <w:rFonts w:cs="Arial"/>
          <w:lang w:val="en-US"/>
        </w:rPr>
        <w:t>Brasil</w:t>
      </w:r>
      <w:proofErr w:type="spellEnd"/>
      <w:r w:rsidRPr="004C5A7A">
        <w:rPr>
          <w:rFonts w:cs="Arial"/>
          <w:lang w:val="en-US"/>
        </w:rPr>
        <w:t xml:space="preserve"> </w:t>
      </w:r>
      <w:proofErr w:type="spellStart"/>
      <w:r w:rsidRPr="004C5A7A">
        <w:rPr>
          <w:rFonts w:cs="Arial"/>
          <w:lang w:val="en-US"/>
        </w:rPr>
        <w:t>Seguros</w:t>
      </w:r>
      <w:proofErr w:type="spellEnd"/>
      <w:r w:rsidRPr="004C5A7A">
        <w:rPr>
          <w:rFonts w:cs="Arial"/>
          <w:lang w:val="en-US"/>
        </w:rPr>
        <w:t xml:space="preserve"> S.A., subsidiaries of BB M</w:t>
      </w:r>
      <w:r w:rsidR="00B00DB1">
        <w:rPr>
          <w:rFonts w:cs="Arial"/>
          <w:lang w:val="en-US"/>
        </w:rPr>
        <w:t>AP</w:t>
      </w:r>
      <w:r w:rsidR="00822142">
        <w:rPr>
          <w:rFonts w:cs="Arial"/>
          <w:lang w:val="en-US"/>
        </w:rPr>
        <w:t>FRE</w:t>
      </w:r>
      <w:r w:rsidRPr="004C5A7A">
        <w:rPr>
          <w:rFonts w:cs="Arial"/>
          <w:lang w:val="en-US"/>
        </w:rPr>
        <w:t xml:space="preserve"> </w:t>
      </w:r>
      <w:proofErr w:type="spellStart"/>
      <w:r w:rsidRPr="004C5A7A">
        <w:rPr>
          <w:rFonts w:cs="Arial"/>
          <w:lang w:val="en-US"/>
        </w:rPr>
        <w:t>Participações</w:t>
      </w:r>
      <w:proofErr w:type="spellEnd"/>
      <w:r w:rsidRPr="004C5A7A">
        <w:rPr>
          <w:rFonts w:cs="Arial"/>
          <w:lang w:val="en-US"/>
        </w:rPr>
        <w:t xml:space="preserve"> S.A., for the sale of insurance, signed on June 30, 2011, valid until June 30, 2031, renewable for subsequent periods of 5 years.</w:t>
      </w:r>
    </w:p>
    <w:p w14:paraId="494A7891" w14:textId="77777777" w:rsidR="009817AF" w:rsidRPr="004C5A7A" w:rsidRDefault="009817AF" w:rsidP="00A76AF4">
      <w:pPr>
        <w:pStyle w:val="05-Textonormal"/>
        <w:numPr>
          <w:ilvl w:val="0"/>
          <w:numId w:val="3"/>
        </w:numPr>
        <w:ind w:left="426" w:hanging="142"/>
        <w:rPr>
          <w:rFonts w:cs="Arial"/>
          <w:lang w:val="en-US"/>
        </w:rPr>
      </w:pPr>
      <w:proofErr w:type="spellStart"/>
      <w:r w:rsidRPr="004C5A7A">
        <w:rPr>
          <w:rFonts w:cs="Arial"/>
          <w:lang w:val="en-US"/>
        </w:rPr>
        <w:t>Brasilprev</w:t>
      </w:r>
      <w:proofErr w:type="spellEnd"/>
      <w:r w:rsidRPr="004C5A7A">
        <w:rPr>
          <w:rFonts w:cs="Arial"/>
          <w:lang w:val="en-US"/>
        </w:rPr>
        <w:t xml:space="preserve"> </w:t>
      </w:r>
      <w:proofErr w:type="spellStart"/>
      <w:r w:rsidRPr="004C5A7A">
        <w:rPr>
          <w:rFonts w:cs="Arial"/>
          <w:lang w:val="en-US"/>
        </w:rPr>
        <w:t>Seguros</w:t>
      </w:r>
      <w:proofErr w:type="spellEnd"/>
      <w:r w:rsidRPr="004C5A7A">
        <w:rPr>
          <w:rFonts w:cs="Arial"/>
          <w:lang w:val="en-US"/>
        </w:rPr>
        <w:t xml:space="preserve"> e </w:t>
      </w:r>
      <w:proofErr w:type="spellStart"/>
      <w:r w:rsidRPr="004C5A7A">
        <w:rPr>
          <w:rFonts w:cs="Arial"/>
          <w:lang w:val="en-US"/>
        </w:rPr>
        <w:t>Previdência</w:t>
      </w:r>
      <w:proofErr w:type="spellEnd"/>
      <w:r w:rsidRPr="004C5A7A">
        <w:rPr>
          <w:rFonts w:cs="Arial"/>
          <w:lang w:val="en-US"/>
        </w:rPr>
        <w:t xml:space="preserve"> S.A., for the sale of private pension plans, signed on October 06, 1999, for a period of 5 years, automatically renewable for equal periods.</w:t>
      </w:r>
    </w:p>
    <w:p w14:paraId="49003F8C" w14:textId="77777777" w:rsidR="009817AF" w:rsidRPr="004C5A7A" w:rsidRDefault="009817AF" w:rsidP="00A76AF4">
      <w:pPr>
        <w:pStyle w:val="05-Textonormal"/>
        <w:numPr>
          <w:ilvl w:val="0"/>
          <w:numId w:val="3"/>
        </w:numPr>
        <w:ind w:left="426" w:hanging="142"/>
        <w:rPr>
          <w:rFonts w:cs="Arial"/>
          <w:lang w:val="en-US"/>
        </w:rPr>
      </w:pPr>
      <w:proofErr w:type="spellStart"/>
      <w:r w:rsidRPr="004C5A7A">
        <w:rPr>
          <w:rFonts w:cs="Arial"/>
          <w:lang w:val="en-US"/>
        </w:rPr>
        <w:t>Brasilcap</w:t>
      </w:r>
      <w:proofErr w:type="spellEnd"/>
      <w:r w:rsidRPr="004C5A7A">
        <w:rPr>
          <w:rFonts w:cs="Arial"/>
          <w:lang w:val="en-US"/>
        </w:rPr>
        <w:t xml:space="preserve"> </w:t>
      </w:r>
      <w:proofErr w:type="spellStart"/>
      <w:r w:rsidRPr="004C5A7A">
        <w:rPr>
          <w:rFonts w:cs="Arial"/>
          <w:lang w:val="en-US"/>
        </w:rPr>
        <w:t>Capitalização</w:t>
      </w:r>
      <w:proofErr w:type="spellEnd"/>
      <w:r w:rsidRPr="004C5A7A">
        <w:rPr>
          <w:rFonts w:cs="Arial"/>
          <w:lang w:val="en-US"/>
        </w:rPr>
        <w:t xml:space="preserve"> S.A., for the sale of capitalization bonds, signed on July 14, 1999, for a period of 5 years, automatically renewable for equal periods.</w:t>
      </w:r>
    </w:p>
    <w:p w14:paraId="2992B4C7" w14:textId="77777777" w:rsidR="009817AF" w:rsidRPr="004C5A7A" w:rsidRDefault="009817AF" w:rsidP="009817AF">
      <w:pPr>
        <w:pStyle w:val="05-Textonormal"/>
        <w:rPr>
          <w:rFonts w:cs="Arial"/>
          <w:lang w:val="en-US"/>
        </w:rPr>
      </w:pPr>
      <w:r w:rsidRPr="004C5A7A">
        <w:rPr>
          <w:rFonts w:cs="Arial"/>
          <w:lang w:val="en-US"/>
        </w:rPr>
        <w:t>The schedules below introduce the main transactions involving the companies within the effective utilization of resources:</w:t>
      </w:r>
    </w:p>
    <w:p w14:paraId="7C2E04BD" w14:textId="77777777" w:rsidR="009817AF" w:rsidRPr="004C5A7A" w:rsidRDefault="009817AF" w:rsidP="00A76AF4">
      <w:pPr>
        <w:pStyle w:val="03-SubttulodeNota"/>
        <w:numPr>
          <w:ilvl w:val="0"/>
          <w:numId w:val="2"/>
        </w:numPr>
        <w:ind w:left="284" w:hanging="284"/>
        <w:rPr>
          <w:rFonts w:cs="Arial"/>
          <w:color w:val="1F3864" w:themeColor="accent1" w:themeShade="80"/>
          <w:sz w:val="18"/>
          <w:szCs w:val="18"/>
        </w:rPr>
      </w:pPr>
      <w:proofErr w:type="spellStart"/>
      <w:r w:rsidRPr="004C5A7A">
        <w:rPr>
          <w:rFonts w:cs="Arial"/>
          <w:color w:val="1F3864" w:themeColor="accent1" w:themeShade="80"/>
          <w:sz w:val="18"/>
          <w:szCs w:val="18"/>
        </w:rPr>
        <w:t>Summary</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of</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related</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party</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transactions</w:t>
      </w:r>
      <w:proofErr w:type="spellEnd"/>
    </w:p>
    <w:p w14:paraId="0C78CDAF" w14:textId="77777777" w:rsidR="009817AF" w:rsidRPr="004C5A7A" w:rsidRDefault="009817AF" w:rsidP="009817AF">
      <w:pPr>
        <w:pStyle w:val="03-SubttulodeNota"/>
        <w:rPr>
          <w:rFonts w:cs="Arial"/>
          <w:color w:val="1F3864" w:themeColor="accent1" w:themeShade="80"/>
          <w:sz w:val="18"/>
          <w:szCs w:val="18"/>
        </w:rPr>
      </w:pPr>
      <w:r w:rsidRPr="004C5A7A">
        <w:rPr>
          <w:rFonts w:cs="Arial"/>
          <w:color w:val="1F3864" w:themeColor="accent1" w:themeShade="80"/>
          <w:sz w:val="18"/>
          <w:szCs w:val="18"/>
        </w:rPr>
        <w:t xml:space="preserve">BB Seguridade – </w:t>
      </w:r>
      <w:proofErr w:type="spellStart"/>
      <w:r w:rsidRPr="004C5A7A">
        <w:rPr>
          <w:rFonts w:cs="Arial"/>
          <w:color w:val="1F3864" w:themeColor="accent1" w:themeShade="80"/>
          <w:sz w:val="18"/>
          <w:szCs w:val="18"/>
        </w:rPr>
        <w:t>Controller</w:t>
      </w:r>
      <w:proofErr w:type="spellEnd"/>
    </w:p>
    <w:p w14:paraId="11777257" w14:textId="77777777" w:rsidR="009817AF" w:rsidRPr="004C5A7A" w:rsidRDefault="009817AF" w:rsidP="009163E1">
      <w:pPr>
        <w:pStyle w:val="01-TtulodeNota"/>
        <w:spacing w:before="0" w:after="0"/>
        <w:ind w:right="141"/>
        <w:jc w:val="right"/>
        <w:rPr>
          <w:rFonts w:cs="Arial"/>
          <w:sz w:val="14"/>
          <w:szCs w:val="14"/>
        </w:rPr>
      </w:pPr>
      <w:r w:rsidRPr="004C5A7A">
        <w:rPr>
          <w:rFonts w:cs="Arial"/>
          <w:sz w:val="14"/>
          <w:szCs w:val="14"/>
        </w:rPr>
        <w:t xml:space="preserve">R$ </w:t>
      </w:r>
      <w:proofErr w:type="spellStart"/>
      <w:r w:rsidRPr="004C5A7A">
        <w:rPr>
          <w:rFonts w:cs="Arial"/>
          <w:sz w:val="14"/>
          <w:szCs w:val="14"/>
        </w:rPr>
        <w:t>thousand</w:t>
      </w:r>
      <w:proofErr w:type="spellEnd"/>
    </w:p>
    <w:tbl>
      <w:tblPr>
        <w:tblW w:w="4946" w:type="pct"/>
        <w:tblLook w:val="04A0" w:firstRow="1" w:lastRow="0" w:firstColumn="1" w:lastColumn="0" w:noHBand="0" w:noVBand="1"/>
      </w:tblPr>
      <w:tblGrid>
        <w:gridCol w:w="1108"/>
        <w:gridCol w:w="3005"/>
        <w:gridCol w:w="1321"/>
        <w:gridCol w:w="1321"/>
        <w:gridCol w:w="1321"/>
        <w:gridCol w:w="1319"/>
      </w:tblGrid>
      <w:tr w:rsidR="009817AF" w:rsidRPr="00024BAF" w14:paraId="432FD7B2" w14:textId="77777777">
        <w:trPr>
          <w:trHeight w:hRule="exact" w:val="227"/>
        </w:trPr>
        <w:tc>
          <w:tcPr>
            <w:tcW w:w="589" w:type="pct"/>
            <w:tcBorders>
              <w:top w:val="single" w:sz="4" w:space="0" w:color="1F3864" w:themeColor="accent1" w:themeShade="80"/>
            </w:tcBorders>
          </w:tcPr>
          <w:p w14:paraId="2E6A3D30" w14:textId="77777777" w:rsidR="009817AF" w:rsidRPr="00024BAF" w:rsidRDefault="009817AF">
            <w:pPr>
              <w:pStyle w:val="08-Tabelageral"/>
              <w:rPr>
                <w:rFonts w:cs="Arial"/>
                <w:b/>
                <w:bCs/>
                <w:szCs w:val="14"/>
              </w:rPr>
            </w:pPr>
          </w:p>
        </w:tc>
        <w:tc>
          <w:tcPr>
            <w:tcW w:w="1599" w:type="pct"/>
            <w:tcBorders>
              <w:top w:val="single" w:sz="4" w:space="0" w:color="1F3864" w:themeColor="accent1" w:themeShade="80"/>
            </w:tcBorders>
          </w:tcPr>
          <w:p w14:paraId="3CBA1C26" w14:textId="77777777" w:rsidR="009817AF" w:rsidRPr="00024BAF" w:rsidRDefault="009817AF">
            <w:pPr>
              <w:pStyle w:val="08-Tabelageral"/>
              <w:rPr>
                <w:rFonts w:cs="Arial"/>
                <w:b/>
                <w:bCs/>
                <w:szCs w:val="14"/>
              </w:rPr>
            </w:pPr>
          </w:p>
        </w:tc>
        <w:tc>
          <w:tcPr>
            <w:tcW w:w="1406" w:type="pct"/>
            <w:gridSpan w:val="2"/>
            <w:tcBorders>
              <w:top w:val="single" w:sz="4" w:space="0" w:color="1F3864" w:themeColor="accent1" w:themeShade="80"/>
              <w:bottom w:val="single" w:sz="4" w:space="0" w:color="1F3864" w:themeColor="accent1" w:themeShade="80"/>
            </w:tcBorders>
          </w:tcPr>
          <w:p w14:paraId="4AD6C31B" w14:textId="77777777" w:rsidR="009817AF" w:rsidRPr="00024BAF" w:rsidRDefault="009817AF">
            <w:pPr>
              <w:pStyle w:val="08-Tabelageral"/>
              <w:jc w:val="center"/>
              <w:rPr>
                <w:rFonts w:cs="Arial"/>
                <w:b/>
                <w:bCs/>
                <w:szCs w:val="14"/>
              </w:rPr>
            </w:pPr>
            <w:proofErr w:type="spellStart"/>
            <w:r>
              <w:rPr>
                <w:rFonts w:cs="Arial"/>
                <w:b/>
                <w:bCs/>
                <w:szCs w:val="14"/>
              </w:rPr>
              <w:t>Dec</w:t>
            </w:r>
            <w:proofErr w:type="spellEnd"/>
            <w:r w:rsidRPr="00024BAF">
              <w:rPr>
                <w:rFonts w:cs="Arial"/>
                <w:b/>
                <w:bCs/>
                <w:szCs w:val="14"/>
              </w:rPr>
              <w:t xml:space="preserve"> </w:t>
            </w:r>
            <w:r>
              <w:rPr>
                <w:rFonts w:cs="Arial"/>
                <w:b/>
                <w:bCs/>
                <w:szCs w:val="14"/>
              </w:rPr>
              <w:t>31</w:t>
            </w:r>
            <w:r w:rsidRPr="00024BAF">
              <w:rPr>
                <w:rFonts w:cs="Arial"/>
                <w:b/>
                <w:bCs/>
                <w:szCs w:val="14"/>
              </w:rPr>
              <w:t>, 202</w:t>
            </w:r>
            <w:r>
              <w:rPr>
                <w:rFonts w:cs="Arial"/>
                <w:b/>
                <w:bCs/>
                <w:szCs w:val="14"/>
              </w:rPr>
              <w:t>4</w:t>
            </w:r>
          </w:p>
        </w:tc>
        <w:tc>
          <w:tcPr>
            <w:tcW w:w="1405" w:type="pct"/>
            <w:gridSpan w:val="2"/>
            <w:tcBorders>
              <w:top w:val="single" w:sz="4" w:space="0" w:color="1F3864" w:themeColor="accent1" w:themeShade="80"/>
              <w:bottom w:val="single" w:sz="4" w:space="0" w:color="1F3864" w:themeColor="accent1" w:themeShade="80"/>
            </w:tcBorders>
          </w:tcPr>
          <w:p w14:paraId="2C07D2D4" w14:textId="77777777" w:rsidR="009817AF" w:rsidRPr="00024BAF" w:rsidRDefault="009817AF">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3</w:t>
            </w:r>
          </w:p>
        </w:tc>
      </w:tr>
      <w:tr w:rsidR="009817AF" w:rsidRPr="00024BAF" w14:paraId="0CE9D244" w14:textId="77777777">
        <w:trPr>
          <w:trHeight w:hRule="exact" w:val="283"/>
        </w:trPr>
        <w:tc>
          <w:tcPr>
            <w:tcW w:w="2188" w:type="pct"/>
            <w:gridSpan w:val="2"/>
            <w:tcBorders>
              <w:bottom w:val="single" w:sz="4" w:space="0" w:color="1F3864" w:themeColor="accent1" w:themeShade="80"/>
            </w:tcBorders>
          </w:tcPr>
          <w:p w14:paraId="1D72A8D9" w14:textId="77777777" w:rsidR="009817AF" w:rsidRPr="00024BAF" w:rsidRDefault="009817AF">
            <w:pPr>
              <w:pStyle w:val="08-Tabelageral"/>
              <w:rPr>
                <w:rFonts w:cs="Arial"/>
                <w:szCs w:val="14"/>
              </w:rPr>
            </w:pPr>
          </w:p>
        </w:tc>
        <w:tc>
          <w:tcPr>
            <w:tcW w:w="703" w:type="pct"/>
            <w:tcBorders>
              <w:top w:val="single" w:sz="4" w:space="0" w:color="1F3864" w:themeColor="accent1" w:themeShade="80"/>
              <w:bottom w:val="single" w:sz="4" w:space="0" w:color="1F3864" w:themeColor="accent1" w:themeShade="80"/>
            </w:tcBorders>
          </w:tcPr>
          <w:p w14:paraId="52C456DC" w14:textId="77777777" w:rsidR="009817AF" w:rsidRPr="00024BAF" w:rsidRDefault="009817AF">
            <w:pPr>
              <w:pStyle w:val="08-Tabelageral"/>
              <w:rPr>
                <w:rFonts w:cs="Arial"/>
                <w:b/>
                <w:szCs w:val="14"/>
              </w:rPr>
            </w:pPr>
            <w:r w:rsidRPr="00024BAF">
              <w:rPr>
                <w:rFonts w:cs="Arial"/>
                <w:b/>
                <w:szCs w:val="14"/>
              </w:rPr>
              <w:t>Banco do Brasil</w:t>
            </w:r>
          </w:p>
        </w:tc>
        <w:tc>
          <w:tcPr>
            <w:tcW w:w="703" w:type="pct"/>
            <w:tcBorders>
              <w:top w:val="single" w:sz="4" w:space="0" w:color="1F3864" w:themeColor="accent1" w:themeShade="80"/>
              <w:bottom w:val="single" w:sz="4" w:space="0" w:color="1F3864" w:themeColor="accent1" w:themeShade="80"/>
            </w:tcBorders>
          </w:tcPr>
          <w:p w14:paraId="51452171" w14:textId="77777777" w:rsidR="009817AF" w:rsidRPr="00024BAF" w:rsidRDefault="009817AF">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703" w:type="pct"/>
            <w:tcBorders>
              <w:top w:val="single" w:sz="4" w:space="0" w:color="1F3864" w:themeColor="accent1" w:themeShade="80"/>
              <w:bottom w:val="single" w:sz="4" w:space="0" w:color="1F3864" w:themeColor="accent1" w:themeShade="80"/>
            </w:tcBorders>
          </w:tcPr>
          <w:p w14:paraId="6420DEFD" w14:textId="77777777" w:rsidR="009817AF" w:rsidRPr="00024BAF" w:rsidRDefault="009817AF">
            <w:pPr>
              <w:pStyle w:val="08-Tabelageral"/>
              <w:rPr>
                <w:rFonts w:cs="Arial"/>
                <w:b/>
                <w:szCs w:val="14"/>
              </w:rPr>
            </w:pPr>
            <w:r w:rsidRPr="00024BAF">
              <w:rPr>
                <w:rFonts w:cs="Arial"/>
                <w:b/>
                <w:szCs w:val="14"/>
              </w:rPr>
              <w:t>Banco do Brasil</w:t>
            </w:r>
          </w:p>
        </w:tc>
        <w:tc>
          <w:tcPr>
            <w:tcW w:w="702" w:type="pct"/>
            <w:tcBorders>
              <w:top w:val="single" w:sz="4" w:space="0" w:color="1F3864" w:themeColor="accent1" w:themeShade="80"/>
              <w:bottom w:val="single" w:sz="4" w:space="0" w:color="1F3864" w:themeColor="accent1" w:themeShade="80"/>
            </w:tcBorders>
          </w:tcPr>
          <w:p w14:paraId="5C17822D" w14:textId="77777777" w:rsidR="009817AF" w:rsidRPr="00024BAF" w:rsidRDefault="009817AF">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9817AF" w:rsidRPr="00024BAF" w14:paraId="3F89985C" w14:textId="77777777">
        <w:trPr>
          <w:trHeight w:val="241"/>
        </w:trPr>
        <w:tc>
          <w:tcPr>
            <w:tcW w:w="2188" w:type="pct"/>
            <w:gridSpan w:val="2"/>
            <w:tcBorders>
              <w:top w:val="single" w:sz="4" w:space="0" w:color="1F3864" w:themeColor="accent1" w:themeShade="80"/>
            </w:tcBorders>
          </w:tcPr>
          <w:p w14:paraId="01342CFC" w14:textId="77777777" w:rsidR="009817AF" w:rsidRPr="00024BAF" w:rsidRDefault="009817AF">
            <w:pPr>
              <w:pStyle w:val="08-Tabelageral"/>
              <w:jc w:val="left"/>
              <w:rPr>
                <w:rFonts w:cs="Arial"/>
                <w:b/>
                <w:bCs/>
                <w:szCs w:val="14"/>
              </w:rPr>
            </w:pPr>
            <w:proofErr w:type="spellStart"/>
            <w:r w:rsidRPr="00024BAF">
              <w:rPr>
                <w:rFonts w:cs="Arial"/>
                <w:b/>
                <w:bCs/>
                <w:szCs w:val="14"/>
              </w:rPr>
              <w:t>Assets</w:t>
            </w:r>
            <w:proofErr w:type="spellEnd"/>
          </w:p>
        </w:tc>
        <w:tc>
          <w:tcPr>
            <w:tcW w:w="703" w:type="pct"/>
            <w:tcBorders>
              <w:top w:val="single" w:sz="4" w:space="0" w:color="1F3864" w:themeColor="accent1" w:themeShade="80"/>
            </w:tcBorders>
          </w:tcPr>
          <w:p w14:paraId="49AE6E74" w14:textId="77777777" w:rsidR="009817AF" w:rsidRPr="00024BAF" w:rsidRDefault="009817AF">
            <w:pPr>
              <w:pStyle w:val="08-Tabelageral"/>
              <w:rPr>
                <w:rFonts w:cs="Arial"/>
                <w:b/>
                <w:bCs/>
                <w:szCs w:val="14"/>
              </w:rPr>
            </w:pPr>
          </w:p>
        </w:tc>
        <w:tc>
          <w:tcPr>
            <w:tcW w:w="703" w:type="pct"/>
            <w:tcBorders>
              <w:top w:val="single" w:sz="4" w:space="0" w:color="1F3864" w:themeColor="accent1" w:themeShade="80"/>
            </w:tcBorders>
          </w:tcPr>
          <w:p w14:paraId="43D026BE" w14:textId="77777777" w:rsidR="009817AF" w:rsidRPr="00024BAF" w:rsidRDefault="009817AF">
            <w:pPr>
              <w:pStyle w:val="08-Tabelageral"/>
              <w:rPr>
                <w:rFonts w:cs="Arial"/>
                <w:b/>
                <w:bCs/>
                <w:szCs w:val="14"/>
              </w:rPr>
            </w:pPr>
          </w:p>
        </w:tc>
        <w:tc>
          <w:tcPr>
            <w:tcW w:w="703" w:type="pct"/>
            <w:tcBorders>
              <w:top w:val="single" w:sz="4" w:space="0" w:color="1F3864" w:themeColor="accent1" w:themeShade="80"/>
            </w:tcBorders>
          </w:tcPr>
          <w:p w14:paraId="236B1AB8" w14:textId="77777777" w:rsidR="009817AF" w:rsidRPr="00024BAF" w:rsidRDefault="009817AF">
            <w:pPr>
              <w:pStyle w:val="08-Tabelageral"/>
              <w:rPr>
                <w:rFonts w:cs="Arial"/>
                <w:b/>
                <w:bCs/>
                <w:szCs w:val="14"/>
              </w:rPr>
            </w:pPr>
          </w:p>
        </w:tc>
        <w:tc>
          <w:tcPr>
            <w:tcW w:w="702" w:type="pct"/>
            <w:tcBorders>
              <w:top w:val="single" w:sz="4" w:space="0" w:color="1F3864" w:themeColor="accent1" w:themeShade="80"/>
            </w:tcBorders>
          </w:tcPr>
          <w:p w14:paraId="5EECDA8F" w14:textId="77777777" w:rsidR="009817AF" w:rsidRPr="00024BAF" w:rsidRDefault="009817AF">
            <w:pPr>
              <w:pStyle w:val="08-Tabelageral"/>
              <w:rPr>
                <w:rFonts w:cs="Arial"/>
                <w:b/>
                <w:bCs/>
                <w:szCs w:val="14"/>
              </w:rPr>
            </w:pPr>
          </w:p>
        </w:tc>
      </w:tr>
      <w:tr w:rsidR="009817AF" w:rsidRPr="00024BAF" w14:paraId="7A384C23" w14:textId="77777777">
        <w:trPr>
          <w:trHeight w:val="241"/>
        </w:trPr>
        <w:tc>
          <w:tcPr>
            <w:tcW w:w="2188" w:type="pct"/>
            <w:gridSpan w:val="2"/>
          </w:tcPr>
          <w:p w14:paraId="1CA6D74B" w14:textId="77777777" w:rsidR="009817AF" w:rsidRPr="00024BAF" w:rsidRDefault="009817AF">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703" w:type="pct"/>
            <w:shd w:val="clear" w:color="auto" w:fill="auto"/>
          </w:tcPr>
          <w:p w14:paraId="479E11DE" w14:textId="77777777" w:rsidR="009817AF" w:rsidRPr="00024BAF" w:rsidRDefault="009817AF">
            <w:pPr>
              <w:pStyle w:val="08-Tabelageral"/>
              <w:rPr>
                <w:rFonts w:cs="Arial"/>
                <w:szCs w:val="14"/>
              </w:rPr>
            </w:pPr>
            <w:r w:rsidRPr="004C5A7A">
              <w:rPr>
                <w:rFonts w:cs="Arial"/>
              </w:rPr>
              <w:t>335,647</w:t>
            </w:r>
          </w:p>
        </w:tc>
        <w:tc>
          <w:tcPr>
            <w:tcW w:w="703" w:type="pct"/>
            <w:shd w:val="clear" w:color="auto" w:fill="auto"/>
          </w:tcPr>
          <w:p w14:paraId="16203F47" w14:textId="77777777" w:rsidR="009817AF" w:rsidRPr="00024BAF" w:rsidRDefault="009817AF">
            <w:pPr>
              <w:pStyle w:val="08-Tabelageral"/>
              <w:rPr>
                <w:rFonts w:cs="Arial"/>
                <w:szCs w:val="14"/>
              </w:rPr>
            </w:pPr>
            <w:r w:rsidRPr="004C5A7A">
              <w:rPr>
                <w:rFonts w:cs="Arial"/>
              </w:rPr>
              <w:t>--</w:t>
            </w:r>
          </w:p>
        </w:tc>
        <w:tc>
          <w:tcPr>
            <w:tcW w:w="703" w:type="pct"/>
            <w:shd w:val="clear" w:color="auto" w:fill="auto"/>
          </w:tcPr>
          <w:p w14:paraId="6E284129" w14:textId="77777777" w:rsidR="009817AF" w:rsidRPr="00024BAF" w:rsidRDefault="009817AF">
            <w:pPr>
              <w:pStyle w:val="08-Tabelageral"/>
              <w:rPr>
                <w:rFonts w:cs="Arial"/>
                <w:szCs w:val="14"/>
              </w:rPr>
            </w:pPr>
            <w:r w:rsidRPr="004C5A7A">
              <w:rPr>
                <w:rFonts w:cs="Arial"/>
              </w:rPr>
              <w:t>645,070</w:t>
            </w:r>
          </w:p>
        </w:tc>
        <w:tc>
          <w:tcPr>
            <w:tcW w:w="702" w:type="pct"/>
            <w:shd w:val="clear" w:color="auto" w:fill="auto"/>
          </w:tcPr>
          <w:p w14:paraId="1958AED8" w14:textId="77777777" w:rsidR="009817AF" w:rsidRPr="00024BAF" w:rsidRDefault="009817AF">
            <w:pPr>
              <w:pStyle w:val="08-Tabelageral"/>
              <w:rPr>
                <w:rFonts w:cs="Arial"/>
                <w:szCs w:val="14"/>
              </w:rPr>
            </w:pPr>
            <w:r w:rsidRPr="004C5A7A">
              <w:rPr>
                <w:rFonts w:cs="Arial"/>
              </w:rPr>
              <w:t>--</w:t>
            </w:r>
          </w:p>
        </w:tc>
      </w:tr>
      <w:tr w:rsidR="009817AF" w:rsidRPr="00024BAF" w14:paraId="084C6645" w14:textId="77777777">
        <w:trPr>
          <w:trHeight w:val="241"/>
        </w:trPr>
        <w:tc>
          <w:tcPr>
            <w:tcW w:w="2188" w:type="pct"/>
            <w:gridSpan w:val="2"/>
          </w:tcPr>
          <w:p w14:paraId="5CCDD958" w14:textId="77777777" w:rsidR="009817AF" w:rsidRPr="009817AF" w:rsidRDefault="009817AF">
            <w:pPr>
              <w:pStyle w:val="08-Tabelageral"/>
              <w:jc w:val="left"/>
              <w:rPr>
                <w:rFonts w:cs="Arial"/>
                <w:b/>
                <w:szCs w:val="14"/>
                <w:lang w:val="en-US"/>
              </w:rPr>
            </w:pPr>
            <w:r w:rsidRPr="009817AF">
              <w:rPr>
                <w:rFonts w:cs="Arial"/>
                <w:szCs w:val="14"/>
                <w:lang w:val="en-US"/>
              </w:rPr>
              <w:t>Dividends/interest on equity receivable</w:t>
            </w:r>
          </w:p>
        </w:tc>
        <w:tc>
          <w:tcPr>
            <w:tcW w:w="703" w:type="pct"/>
            <w:shd w:val="clear" w:color="auto" w:fill="auto"/>
          </w:tcPr>
          <w:p w14:paraId="6017DDE8" w14:textId="77777777" w:rsidR="009817AF" w:rsidRPr="00024BAF" w:rsidRDefault="009817AF">
            <w:pPr>
              <w:pStyle w:val="08-Tabelageral"/>
              <w:rPr>
                <w:rFonts w:cs="Arial"/>
                <w:szCs w:val="14"/>
              </w:rPr>
            </w:pPr>
            <w:r w:rsidRPr="004C5A7A">
              <w:rPr>
                <w:rFonts w:cs="Arial"/>
              </w:rPr>
              <w:t>--</w:t>
            </w:r>
          </w:p>
        </w:tc>
        <w:tc>
          <w:tcPr>
            <w:tcW w:w="703" w:type="pct"/>
            <w:shd w:val="clear" w:color="auto" w:fill="auto"/>
          </w:tcPr>
          <w:p w14:paraId="0EA8FE6D" w14:textId="77777777" w:rsidR="009817AF" w:rsidRPr="00024BAF" w:rsidRDefault="009817AF">
            <w:pPr>
              <w:pStyle w:val="08-Tabelageral"/>
              <w:rPr>
                <w:rFonts w:cs="Arial"/>
                <w:szCs w:val="14"/>
              </w:rPr>
            </w:pPr>
            <w:r w:rsidRPr="000E3DE4">
              <w:rPr>
                <w:rFonts w:cs="Arial"/>
                <w:color w:val="000000"/>
                <w:szCs w:val="14"/>
              </w:rPr>
              <w:t>4</w:t>
            </w:r>
            <w:r>
              <w:rPr>
                <w:rFonts w:cs="Arial"/>
                <w:color w:val="000000"/>
                <w:szCs w:val="14"/>
              </w:rPr>
              <w:t>,</w:t>
            </w:r>
            <w:r w:rsidRPr="000E3DE4">
              <w:rPr>
                <w:rFonts w:cs="Arial"/>
                <w:color w:val="000000"/>
                <w:szCs w:val="14"/>
              </w:rPr>
              <w:t>145</w:t>
            </w:r>
            <w:r>
              <w:rPr>
                <w:rFonts w:cs="Arial"/>
                <w:color w:val="000000"/>
                <w:szCs w:val="14"/>
              </w:rPr>
              <w:t>,</w:t>
            </w:r>
            <w:r w:rsidRPr="000E3DE4">
              <w:rPr>
                <w:rFonts w:cs="Arial"/>
                <w:color w:val="000000"/>
                <w:szCs w:val="14"/>
              </w:rPr>
              <w:t>40</w:t>
            </w:r>
            <w:r>
              <w:rPr>
                <w:rFonts w:cs="Arial"/>
                <w:color w:val="000000"/>
                <w:szCs w:val="14"/>
              </w:rPr>
              <w:t>2</w:t>
            </w:r>
          </w:p>
        </w:tc>
        <w:tc>
          <w:tcPr>
            <w:tcW w:w="703" w:type="pct"/>
            <w:shd w:val="clear" w:color="auto" w:fill="auto"/>
          </w:tcPr>
          <w:p w14:paraId="043559B8" w14:textId="77777777" w:rsidR="009817AF" w:rsidRPr="00024BAF" w:rsidRDefault="009817AF">
            <w:pPr>
              <w:pStyle w:val="08-Tabelageral"/>
              <w:rPr>
                <w:rFonts w:cs="Arial"/>
                <w:szCs w:val="14"/>
              </w:rPr>
            </w:pPr>
            <w:r w:rsidRPr="004C5A7A">
              <w:rPr>
                <w:rFonts w:cs="Arial"/>
              </w:rPr>
              <w:t>--</w:t>
            </w:r>
          </w:p>
        </w:tc>
        <w:tc>
          <w:tcPr>
            <w:tcW w:w="702" w:type="pct"/>
            <w:shd w:val="clear" w:color="auto" w:fill="auto"/>
          </w:tcPr>
          <w:p w14:paraId="0DBF8B37" w14:textId="77777777" w:rsidR="009817AF" w:rsidRPr="00024BAF" w:rsidRDefault="009817AF">
            <w:pPr>
              <w:pStyle w:val="08-Tabelageral"/>
              <w:rPr>
                <w:rFonts w:cs="Arial"/>
                <w:szCs w:val="14"/>
              </w:rPr>
            </w:pPr>
            <w:r>
              <w:rPr>
                <w:rFonts w:cs="Arial"/>
                <w:color w:val="000000"/>
                <w:szCs w:val="14"/>
              </w:rPr>
              <w:t>2,362,126</w:t>
            </w:r>
          </w:p>
        </w:tc>
      </w:tr>
      <w:tr w:rsidR="009817AF" w:rsidRPr="00024BAF" w14:paraId="5FB84EDE" w14:textId="77777777">
        <w:trPr>
          <w:trHeight w:val="241"/>
        </w:trPr>
        <w:tc>
          <w:tcPr>
            <w:tcW w:w="2188" w:type="pct"/>
            <w:gridSpan w:val="2"/>
          </w:tcPr>
          <w:p w14:paraId="75FC1BC3" w14:textId="77777777" w:rsidR="009817AF" w:rsidRPr="00024BAF" w:rsidRDefault="009817AF">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shd w:val="clear" w:color="auto" w:fill="auto"/>
          </w:tcPr>
          <w:p w14:paraId="63C1F89B" w14:textId="77777777" w:rsidR="009817AF" w:rsidRPr="00024BAF" w:rsidRDefault="009817AF">
            <w:pPr>
              <w:pStyle w:val="08-Tabelageral"/>
              <w:rPr>
                <w:rFonts w:cs="Arial"/>
                <w:szCs w:val="14"/>
              </w:rPr>
            </w:pPr>
            <w:r w:rsidRPr="004C5A7A">
              <w:rPr>
                <w:rFonts w:cs="Arial"/>
              </w:rPr>
              <w:t>--</w:t>
            </w:r>
          </w:p>
        </w:tc>
        <w:tc>
          <w:tcPr>
            <w:tcW w:w="703" w:type="pct"/>
            <w:shd w:val="clear" w:color="auto" w:fill="auto"/>
          </w:tcPr>
          <w:p w14:paraId="236B3A63" w14:textId="77777777" w:rsidR="009817AF" w:rsidRPr="00024BAF" w:rsidRDefault="009817AF">
            <w:pPr>
              <w:pStyle w:val="08-Tabelageral"/>
              <w:rPr>
                <w:rFonts w:cs="Arial"/>
                <w:szCs w:val="14"/>
              </w:rPr>
            </w:pPr>
            <w:r w:rsidRPr="004C5A7A">
              <w:rPr>
                <w:rFonts w:cs="Arial"/>
              </w:rPr>
              <w:t>10,799</w:t>
            </w:r>
          </w:p>
        </w:tc>
        <w:tc>
          <w:tcPr>
            <w:tcW w:w="703" w:type="pct"/>
            <w:shd w:val="clear" w:color="auto" w:fill="auto"/>
          </w:tcPr>
          <w:p w14:paraId="63ABA6E7" w14:textId="77777777" w:rsidR="009817AF" w:rsidRPr="00024BAF" w:rsidRDefault="009817AF">
            <w:pPr>
              <w:pStyle w:val="08-Tabelageral"/>
              <w:rPr>
                <w:rFonts w:cs="Arial"/>
                <w:szCs w:val="14"/>
              </w:rPr>
            </w:pPr>
            <w:r w:rsidRPr="004C5A7A">
              <w:rPr>
                <w:rFonts w:cs="Arial"/>
              </w:rPr>
              <w:t>--</w:t>
            </w:r>
          </w:p>
        </w:tc>
        <w:tc>
          <w:tcPr>
            <w:tcW w:w="702" w:type="pct"/>
            <w:shd w:val="clear" w:color="auto" w:fill="auto"/>
          </w:tcPr>
          <w:p w14:paraId="4B2EDBEF" w14:textId="77777777" w:rsidR="009817AF" w:rsidRPr="00024BAF" w:rsidRDefault="009817AF">
            <w:pPr>
              <w:pStyle w:val="08-Tabelageral"/>
              <w:rPr>
                <w:rFonts w:cs="Arial"/>
                <w:szCs w:val="14"/>
              </w:rPr>
            </w:pPr>
            <w:r w:rsidRPr="004C5A7A">
              <w:rPr>
                <w:rFonts w:cs="Arial"/>
              </w:rPr>
              <w:t>10,417</w:t>
            </w:r>
          </w:p>
        </w:tc>
      </w:tr>
      <w:tr w:rsidR="009817AF" w:rsidRPr="00024BAF" w14:paraId="30ED358F" w14:textId="77777777">
        <w:trPr>
          <w:trHeight w:val="241"/>
        </w:trPr>
        <w:tc>
          <w:tcPr>
            <w:tcW w:w="2188" w:type="pct"/>
            <w:gridSpan w:val="2"/>
          </w:tcPr>
          <w:p w14:paraId="3CB67BD5" w14:textId="77777777" w:rsidR="009817AF" w:rsidRPr="00024BAF" w:rsidRDefault="009817AF">
            <w:pPr>
              <w:pStyle w:val="08-Tabelageral"/>
              <w:jc w:val="left"/>
              <w:rPr>
                <w:rFonts w:cs="Arial"/>
                <w:b/>
                <w:bCs/>
                <w:szCs w:val="14"/>
              </w:rPr>
            </w:pPr>
            <w:proofErr w:type="spellStart"/>
            <w:r w:rsidRPr="00024BAF">
              <w:rPr>
                <w:rFonts w:cs="Arial"/>
                <w:b/>
                <w:bCs/>
                <w:szCs w:val="14"/>
              </w:rPr>
              <w:t>Liabilities</w:t>
            </w:r>
            <w:proofErr w:type="spellEnd"/>
          </w:p>
        </w:tc>
        <w:tc>
          <w:tcPr>
            <w:tcW w:w="703" w:type="pct"/>
            <w:shd w:val="clear" w:color="auto" w:fill="auto"/>
          </w:tcPr>
          <w:p w14:paraId="3FB96469" w14:textId="77777777" w:rsidR="009817AF" w:rsidRPr="00024BAF" w:rsidRDefault="009817AF">
            <w:pPr>
              <w:pStyle w:val="08-Tabelageral"/>
              <w:rPr>
                <w:rFonts w:cs="Arial"/>
                <w:b/>
                <w:bCs/>
                <w:szCs w:val="14"/>
              </w:rPr>
            </w:pPr>
          </w:p>
        </w:tc>
        <w:tc>
          <w:tcPr>
            <w:tcW w:w="703" w:type="pct"/>
            <w:shd w:val="clear" w:color="auto" w:fill="auto"/>
          </w:tcPr>
          <w:p w14:paraId="464DD54E" w14:textId="77777777" w:rsidR="009817AF" w:rsidRPr="00024BAF" w:rsidRDefault="009817AF">
            <w:pPr>
              <w:pStyle w:val="08-Tabelageral"/>
              <w:rPr>
                <w:rFonts w:cs="Arial"/>
                <w:b/>
                <w:bCs/>
                <w:szCs w:val="14"/>
              </w:rPr>
            </w:pPr>
          </w:p>
        </w:tc>
        <w:tc>
          <w:tcPr>
            <w:tcW w:w="703" w:type="pct"/>
            <w:shd w:val="clear" w:color="auto" w:fill="auto"/>
          </w:tcPr>
          <w:p w14:paraId="32FCDDEA" w14:textId="77777777" w:rsidR="009817AF" w:rsidRPr="00024BAF" w:rsidRDefault="009817AF">
            <w:pPr>
              <w:pStyle w:val="08-Tabelageral"/>
              <w:rPr>
                <w:rFonts w:cs="Arial"/>
                <w:b/>
                <w:bCs/>
                <w:szCs w:val="14"/>
              </w:rPr>
            </w:pPr>
          </w:p>
        </w:tc>
        <w:tc>
          <w:tcPr>
            <w:tcW w:w="702" w:type="pct"/>
            <w:shd w:val="clear" w:color="auto" w:fill="auto"/>
          </w:tcPr>
          <w:p w14:paraId="29DA25E9" w14:textId="77777777" w:rsidR="009817AF" w:rsidRPr="00024BAF" w:rsidRDefault="009817AF">
            <w:pPr>
              <w:pStyle w:val="08-Tabelageral"/>
              <w:rPr>
                <w:rFonts w:cs="Arial"/>
                <w:b/>
                <w:bCs/>
                <w:szCs w:val="14"/>
              </w:rPr>
            </w:pPr>
          </w:p>
        </w:tc>
      </w:tr>
      <w:tr w:rsidR="009817AF" w:rsidRPr="00024BAF" w14:paraId="42F2C182" w14:textId="77777777">
        <w:trPr>
          <w:trHeight w:val="241"/>
        </w:trPr>
        <w:tc>
          <w:tcPr>
            <w:tcW w:w="2188" w:type="pct"/>
            <w:gridSpan w:val="2"/>
          </w:tcPr>
          <w:p w14:paraId="172C8798" w14:textId="77777777" w:rsidR="009817AF" w:rsidRPr="00024BAF" w:rsidRDefault="009817AF">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703" w:type="pct"/>
            <w:tcBorders>
              <w:bottom w:val="nil"/>
            </w:tcBorders>
            <w:shd w:val="clear" w:color="auto" w:fill="auto"/>
            <w:vAlign w:val="center"/>
          </w:tcPr>
          <w:p w14:paraId="225A8120" w14:textId="77777777" w:rsidR="009817AF" w:rsidRPr="00024BAF" w:rsidRDefault="009817AF">
            <w:pPr>
              <w:pStyle w:val="08-Tabelageral"/>
              <w:rPr>
                <w:rFonts w:cs="Arial"/>
                <w:szCs w:val="14"/>
              </w:rPr>
            </w:pPr>
            <w:r w:rsidRPr="004C5A7A">
              <w:rPr>
                <w:rFonts w:cs="Arial"/>
              </w:rPr>
              <w:t>2,922,517</w:t>
            </w:r>
          </w:p>
        </w:tc>
        <w:tc>
          <w:tcPr>
            <w:tcW w:w="703" w:type="pct"/>
            <w:tcBorders>
              <w:bottom w:val="nil"/>
            </w:tcBorders>
            <w:shd w:val="clear" w:color="auto" w:fill="auto"/>
          </w:tcPr>
          <w:p w14:paraId="0518773B" w14:textId="77777777" w:rsidR="009817AF" w:rsidRPr="00024BAF" w:rsidRDefault="009817AF">
            <w:pPr>
              <w:pStyle w:val="08-Tabelageral"/>
              <w:rPr>
                <w:rFonts w:cs="Arial"/>
                <w:szCs w:val="14"/>
              </w:rPr>
            </w:pPr>
            <w:r w:rsidRPr="004C5A7A">
              <w:rPr>
                <w:rFonts w:cs="Arial"/>
              </w:rPr>
              <w:t>--</w:t>
            </w:r>
          </w:p>
        </w:tc>
        <w:tc>
          <w:tcPr>
            <w:tcW w:w="703" w:type="pct"/>
            <w:tcBorders>
              <w:bottom w:val="nil"/>
            </w:tcBorders>
            <w:shd w:val="clear" w:color="auto" w:fill="auto"/>
            <w:vAlign w:val="center"/>
          </w:tcPr>
          <w:p w14:paraId="16A2B44E" w14:textId="77777777" w:rsidR="009817AF" w:rsidRPr="00024BAF" w:rsidRDefault="009817AF">
            <w:pPr>
              <w:pStyle w:val="08-Tabelageral"/>
              <w:rPr>
                <w:rFonts w:cs="Arial"/>
                <w:szCs w:val="14"/>
              </w:rPr>
            </w:pPr>
            <w:r w:rsidRPr="004C5A7A">
              <w:rPr>
                <w:rFonts w:cs="Arial"/>
              </w:rPr>
              <w:t>1,626,642</w:t>
            </w:r>
          </w:p>
        </w:tc>
        <w:tc>
          <w:tcPr>
            <w:tcW w:w="702" w:type="pct"/>
            <w:tcBorders>
              <w:bottom w:val="nil"/>
            </w:tcBorders>
            <w:shd w:val="clear" w:color="auto" w:fill="auto"/>
          </w:tcPr>
          <w:p w14:paraId="7AEBCBB4" w14:textId="77777777" w:rsidR="009817AF" w:rsidRPr="00024BAF" w:rsidRDefault="009817AF">
            <w:pPr>
              <w:pStyle w:val="08-Tabelageral"/>
              <w:rPr>
                <w:rFonts w:cs="Arial"/>
                <w:szCs w:val="14"/>
              </w:rPr>
            </w:pPr>
            <w:r w:rsidRPr="004C5A7A">
              <w:rPr>
                <w:rFonts w:cs="Arial"/>
              </w:rPr>
              <w:t>--</w:t>
            </w:r>
          </w:p>
        </w:tc>
      </w:tr>
      <w:tr w:rsidR="009817AF" w:rsidRPr="00024BAF" w14:paraId="408AC76E" w14:textId="77777777">
        <w:trPr>
          <w:trHeight w:val="241"/>
        </w:trPr>
        <w:tc>
          <w:tcPr>
            <w:tcW w:w="2188" w:type="pct"/>
            <w:gridSpan w:val="2"/>
            <w:tcBorders>
              <w:bottom w:val="single" w:sz="4" w:space="0" w:color="1F3864" w:themeColor="accent1" w:themeShade="80"/>
            </w:tcBorders>
          </w:tcPr>
          <w:p w14:paraId="75F681A6" w14:textId="77777777" w:rsidR="009817AF" w:rsidRPr="00024BAF" w:rsidRDefault="009817AF">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Borders>
              <w:top w:val="nil"/>
              <w:bottom w:val="single" w:sz="2" w:space="0" w:color="1F3864" w:themeColor="accent1" w:themeShade="80"/>
            </w:tcBorders>
            <w:shd w:val="clear" w:color="auto" w:fill="auto"/>
            <w:vAlign w:val="center"/>
          </w:tcPr>
          <w:p w14:paraId="0CD8ACF4" w14:textId="77777777" w:rsidR="009817AF" w:rsidRPr="00024BAF" w:rsidRDefault="009817AF">
            <w:pPr>
              <w:pStyle w:val="08-Tabelageral"/>
              <w:rPr>
                <w:rFonts w:cs="Arial"/>
                <w:szCs w:val="14"/>
              </w:rPr>
            </w:pPr>
            <w:r w:rsidRPr="004C5A7A">
              <w:rPr>
                <w:rFonts w:cs="Arial"/>
              </w:rPr>
              <w:t>9,730</w:t>
            </w:r>
          </w:p>
        </w:tc>
        <w:tc>
          <w:tcPr>
            <w:tcW w:w="703" w:type="pct"/>
            <w:tcBorders>
              <w:top w:val="nil"/>
              <w:bottom w:val="single" w:sz="2" w:space="0" w:color="1F3864" w:themeColor="accent1" w:themeShade="80"/>
            </w:tcBorders>
            <w:shd w:val="clear" w:color="auto" w:fill="auto"/>
          </w:tcPr>
          <w:p w14:paraId="6F6FB2A0" w14:textId="77777777" w:rsidR="009817AF" w:rsidRPr="00024BAF" w:rsidRDefault="009817AF">
            <w:pPr>
              <w:pStyle w:val="08-Tabelageral"/>
              <w:rPr>
                <w:rFonts w:cs="Arial"/>
                <w:szCs w:val="14"/>
              </w:rPr>
            </w:pPr>
            <w:r w:rsidRPr="004C5A7A">
              <w:rPr>
                <w:rFonts w:cs="Arial"/>
              </w:rPr>
              <w:t>--</w:t>
            </w:r>
          </w:p>
        </w:tc>
        <w:tc>
          <w:tcPr>
            <w:tcW w:w="703" w:type="pct"/>
            <w:tcBorders>
              <w:top w:val="nil"/>
              <w:bottom w:val="single" w:sz="2" w:space="0" w:color="1F3864" w:themeColor="accent1" w:themeShade="80"/>
            </w:tcBorders>
            <w:shd w:val="clear" w:color="auto" w:fill="auto"/>
            <w:vAlign w:val="center"/>
          </w:tcPr>
          <w:p w14:paraId="2B24A7DA" w14:textId="77777777" w:rsidR="009817AF" w:rsidRPr="00024BAF" w:rsidRDefault="009817AF">
            <w:pPr>
              <w:pStyle w:val="08-Tabelageral"/>
              <w:rPr>
                <w:rFonts w:cs="Arial"/>
                <w:szCs w:val="14"/>
              </w:rPr>
            </w:pPr>
            <w:r w:rsidRPr="004C5A7A">
              <w:rPr>
                <w:rFonts w:cs="Arial"/>
              </w:rPr>
              <w:t>9,203</w:t>
            </w:r>
          </w:p>
        </w:tc>
        <w:tc>
          <w:tcPr>
            <w:tcW w:w="702" w:type="pct"/>
            <w:tcBorders>
              <w:top w:val="nil"/>
              <w:bottom w:val="single" w:sz="2" w:space="0" w:color="1F3864" w:themeColor="accent1" w:themeShade="80"/>
            </w:tcBorders>
            <w:shd w:val="clear" w:color="auto" w:fill="auto"/>
          </w:tcPr>
          <w:p w14:paraId="38481643" w14:textId="77777777" w:rsidR="009817AF" w:rsidRPr="00024BAF" w:rsidRDefault="009817AF">
            <w:pPr>
              <w:pStyle w:val="08-Tabelageral"/>
              <w:rPr>
                <w:rFonts w:cs="Arial"/>
                <w:szCs w:val="14"/>
              </w:rPr>
            </w:pPr>
            <w:r w:rsidRPr="004C5A7A">
              <w:rPr>
                <w:rFonts w:cs="Arial"/>
              </w:rPr>
              <w:t>--</w:t>
            </w:r>
          </w:p>
        </w:tc>
      </w:tr>
    </w:tbl>
    <w:p w14:paraId="27119E8E" w14:textId="77777777" w:rsidR="009817AF" w:rsidRDefault="009817AF" w:rsidP="009817AF">
      <w:pPr>
        <w:pStyle w:val="07-Legenda"/>
        <w:rPr>
          <w:rFonts w:cs="Arial"/>
        </w:rPr>
      </w:pPr>
    </w:p>
    <w:p w14:paraId="69FC6E06" w14:textId="77777777" w:rsidR="009817AF" w:rsidRPr="004C5A7A" w:rsidRDefault="009817AF" w:rsidP="009163E1">
      <w:pPr>
        <w:pStyle w:val="01-TtulodeNota"/>
        <w:keepNext/>
        <w:spacing w:before="0" w:after="0"/>
        <w:ind w:right="141"/>
        <w:jc w:val="right"/>
        <w:rPr>
          <w:rFonts w:cs="Arial"/>
          <w:sz w:val="14"/>
          <w:szCs w:val="14"/>
        </w:rPr>
      </w:pPr>
      <w:r w:rsidRPr="004C5A7A">
        <w:rPr>
          <w:rFonts w:cs="Arial"/>
          <w:sz w:val="14"/>
          <w:szCs w:val="14"/>
        </w:rPr>
        <w:t xml:space="preserve">R$ </w:t>
      </w:r>
      <w:proofErr w:type="spellStart"/>
      <w:r w:rsidRPr="004C5A7A">
        <w:rPr>
          <w:rFonts w:cs="Arial"/>
          <w:sz w:val="14"/>
          <w:szCs w:val="14"/>
        </w:rPr>
        <w:t>thousand</w:t>
      </w:r>
      <w:proofErr w:type="spellEnd"/>
    </w:p>
    <w:tbl>
      <w:tblPr>
        <w:tblW w:w="4946" w:type="pct"/>
        <w:tblLook w:val="04A0" w:firstRow="1" w:lastRow="0" w:firstColumn="1" w:lastColumn="0" w:noHBand="0" w:noVBand="1"/>
      </w:tblPr>
      <w:tblGrid>
        <w:gridCol w:w="1256"/>
        <w:gridCol w:w="2208"/>
        <w:gridCol w:w="1481"/>
        <w:gridCol w:w="1483"/>
        <w:gridCol w:w="1481"/>
        <w:gridCol w:w="1486"/>
      </w:tblGrid>
      <w:tr w:rsidR="009817AF" w:rsidRPr="00024BAF" w14:paraId="4944C7A2" w14:textId="77777777">
        <w:trPr>
          <w:trHeight w:hRule="exact" w:val="227"/>
        </w:trPr>
        <w:tc>
          <w:tcPr>
            <w:tcW w:w="669" w:type="pct"/>
            <w:tcBorders>
              <w:top w:val="single" w:sz="4" w:space="0" w:color="1F3864" w:themeColor="accent1" w:themeShade="80"/>
            </w:tcBorders>
          </w:tcPr>
          <w:p w14:paraId="1415BE1D" w14:textId="77777777" w:rsidR="009817AF" w:rsidRPr="004C5A7A" w:rsidRDefault="009817AF">
            <w:pPr>
              <w:pStyle w:val="08-Tabelageral"/>
              <w:rPr>
                <w:rFonts w:cs="Arial"/>
                <w:b/>
                <w:szCs w:val="14"/>
              </w:rPr>
            </w:pPr>
          </w:p>
        </w:tc>
        <w:tc>
          <w:tcPr>
            <w:tcW w:w="1175" w:type="pct"/>
            <w:tcBorders>
              <w:top w:val="single" w:sz="4" w:space="0" w:color="1F3864" w:themeColor="accent1" w:themeShade="80"/>
            </w:tcBorders>
          </w:tcPr>
          <w:p w14:paraId="212B2186" w14:textId="77777777" w:rsidR="009817AF" w:rsidRPr="004C5A7A" w:rsidRDefault="009817AF">
            <w:pPr>
              <w:pStyle w:val="08-Tabelageral"/>
              <w:rPr>
                <w:rFonts w:cs="Arial"/>
                <w:b/>
                <w:szCs w:val="14"/>
              </w:rPr>
            </w:pPr>
          </w:p>
        </w:tc>
        <w:tc>
          <w:tcPr>
            <w:tcW w:w="1577" w:type="pct"/>
            <w:gridSpan w:val="2"/>
            <w:tcBorders>
              <w:top w:val="single" w:sz="4" w:space="0" w:color="1F3864" w:themeColor="accent1" w:themeShade="80"/>
              <w:bottom w:val="single" w:sz="4" w:space="0" w:color="1F3864" w:themeColor="accent1" w:themeShade="80"/>
            </w:tcBorders>
          </w:tcPr>
          <w:p w14:paraId="0EB1D3FF" w14:textId="77777777" w:rsidR="009817AF" w:rsidRPr="004C5A7A" w:rsidRDefault="009817AF">
            <w:pPr>
              <w:pStyle w:val="08-Tabelageral"/>
              <w:jc w:val="center"/>
              <w:rPr>
                <w:rFonts w:cs="Arial"/>
                <w:b/>
                <w:szCs w:val="14"/>
              </w:rPr>
            </w:pPr>
            <w:r w:rsidRPr="004C5A7A">
              <w:rPr>
                <w:rFonts w:cs="Arial"/>
                <w:b/>
                <w:szCs w:val="14"/>
              </w:rPr>
              <w:t>2024</w:t>
            </w:r>
          </w:p>
        </w:tc>
        <w:tc>
          <w:tcPr>
            <w:tcW w:w="1579" w:type="pct"/>
            <w:gridSpan w:val="2"/>
            <w:tcBorders>
              <w:top w:val="single" w:sz="4" w:space="0" w:color="1F3864" w:themeColor="accent1" w:themeShade="80"/>
              <w:bottom w:val="single" w:sz="4" w:space="0" w:color="1F3864" w:themeColor="accent1" w:themeShade="80"/>
            </w:tcBorders>
          </w:tcPr>
          <w:p w14:paraId="571E8798" w14:textId="77777777" w:rsidR="009817AF" w:rsidRPr="004C5A7A" w:rsidRDefault="009817AF">
            <w:pPr>
              <w:pStyle w:val="08-Tabelageral"/>
              <w:jc w:val="center"/>
              <w:rPr>
                <w:rFonts w:cs="Arial"/>
                <w:b/>
                <w:szCs w:val="14"/>
              </w:rPr>
            </w:pPr>
            <w:r w:rsidRPr="004C5A7A">
              <w:rPr>
                <w:rFonts w:cs="Arial"/>
                <w:b/>
                <w:szCs w:val="14"/>
              </w:rPr>
              <w:t>2023</w:t>
            </w:r>
          </w:p>
        </w:tc>
      </w:tr>
      <w:tr w:rsidR="009817AF" w:rsidRPr="00024BAF" w14:paraId="683F8EC0" w14:textId="77777777">
        <w:trPr>
          <w:trHeight w:hRule="exact" w:val="283"/>
        </w:trPr>
        <w:tc>
          <w:tcPr>
            <w:tcW w:w="1844" w:type="pct"/>
            <w:gridSpan w:val="2"/>
            <w:tcBorders>
              <w:bottom w:val="single" w:sz="4" w:space="0" w:color="1F3864" w:themeColor="accent1" w:themeShade="80"/>
            </w:tcBorders>
          </w:tcPr>
          <w:p w14:paraId="6EAB5D87" w14:textId="77777777" w:rsidR="009817AF" w:rsidRPr="004C5A7A" w:rsidRDefault="009817AF">
            <w:pPr>
              <w:pStyle w:val="08-Tabelageral"/>
              <w:rPr>
                <w:rFonts w:cs="Arial"/>
                <w:szCs w:val="14"/>
              </w:rPr>
            </w:pPr>
          </w:p>
        </w:tc>
        <w:tc>
          <w:tcPr>
            <w:tcW w:w="788" w:type="pct"/>
            <w:tcBorders>
              <w:top w:val="single" w:sz="4" w:space="0" w:color="1F3864" w:themeColor="accent1" w:themeShade="80"/>
              <w:bottom w:val="single" w:sz="4" w:space="0" w:color="1F3864" w:themeColor="accent1" w:themeShade="80"/>
            </w:tcBorders>
          </w:tcPr>
          <w:p w14:paraId="3F2FEF6A" w14:textId="77777777" w:rsidR="009817AF" w:rsidRPr="004C5A7A" w:rsidRDefault="009817AF">
            <w:pPr>
              <w:pStyle w:val="08-Tabelageral"/>
              <w:rPr>
                <w:rFonts w:cs="Arial"/>
                <w:b/>
                <w:szCs w:val="14"/>
              </w:rPr>
            </w:pPr>
            <w:r w:rsidRPr="004C5A7A">
              <w:rPr>
                <w:rFonts w:cs="Arial"/>
                <w:b/>
                <w:szCs w:val="14"/>
              </w:rPr>
              <w:t>Banco do Brasil</w:t>
            </w:r>
          </w:p>
        </w:tc>
        <w:tc>
          <w:tcPr>
            <w:tcW w:w="789" w:type="pct"/>
            <w:tcBorders>
              <w:top w:val="single" w:sz="4" w:space="0" w:color="1F3864" w:themeColor="accent1" w:themeShade="80"/>
              <w:bottom w:val="single" w:sz="4" w:space="0" w:color="1F3864" w:themeColor="accent1" w:themeShade="80"/>
            </w:tcBorders>
          </w:tcPr>
          <w:p w14:paraId="2D009A96" w14:textId="77777777" w:rsidR="009817AF" w:rsidRPr="004C5A7A" w:rsidRDefault="009817AF">
            <w:pPr>
              <w:pStyle w:val="08-Tabelageral"/>
              <w:rPr>
                <w:rFonts w:cs="Arial"/>
                <w:b/>
                <w:szCs w:val="14"/>
              </w:rPr>
            </w:pPr>
            <w:proofErr w:type="spellStart"/>
            <w:r w:rsidRPr="004C5A7A">
              <w:rPr>
                <w:rFonts w:cs="Arial"/>
                <w:b/>
                <w:szCs w:val="14"/>
              </w:rPr>
              <w:t>Subsidiaries</w:t>
            </w:r>
            <w:proofErr w:type="spellEnd"/>
            <w:r w:rsidRPr="004C5A7A">
              <w:rPr>
                <w:rFonts w:cs="Arial"/>
                <w:b/>
                <w:szCs w:val="14"/>
              </w:rPr>
              <w:t xml:space="preserve"> </w:t>
            </w:r>
            <w:r w:rsidRPr="004C5A7A">
              <w:rPr>
                <w:rFonts w:cs="Arial"/>
                <w:b/>
                <w:szCs w:val="14"/>
                <w:vertAlign w:val="superscript"/>
              </w:rPr>
              <w:t>(1)</w:t>
            </w:r>
          </w:p>
        </w:tc>
        <w:tc>
          <w:tcPr>
            <w:tcW w:w="788" w:type="pct"/>
            <w:tcBorders>
              <w:top w:val="single" w:sz="4" w:space="0" w:color="1F3864" w:themeColor="accent1" w:themeShade="80"/>
              <w:bottom w:val="single" w:sz="4" w:space="0" w:color="1F3864" w:themeColor="accent1" w:themeShade="80"/>
            </w:tcBorders>
          </w:tcPr>
          <w:p w14:paraId="0B37479C" w14:textId="77777777" w:rsidR="009817AF" w:rsidRPr="004C5A7A" w:rsidRDefault="009817AF">
            <w:pPr>
              <w:pStyle w:val="08-Tabelageral"/>
              <w:rPr>
                <w:rFonts w:cs="Arial"/>
                <w:b/>
                <w:szCs w:val="14"/>
              </w:rPr>
            </w:pPr>
            <w:r w:rsidRPr="004C5A7A">
              <w:rPr>
                <w:rFonts w:cs="Arial"/>
                <w:b/>
                <w:szCs w:val="14"/>
              </w:rPr>
              <w:t>Banco do Brasil</w:t>
            </w:r>
          </w:p>
        </w:tc>
        <w:tc>
          <w:tcPr>
            <w:tcW w:w="791" w:type="pct"/>
            <w:tcBorders>
              <w:top w:val="single" w:sz="4" w:space="0" w:color="1F3864" w:themeColor="accent1" w:themeShade="80"/>
              <w:bottom w:val="single" w:sz="4" w:space="0" w:color="1F3864" w:themeColor="accent1" w:themeShade="80"/>
            </w:tcBorders>
          </w:tcPr>
          <w:p w14:paraId="62C2DA5A" w14:textId="77777777" w:rsidR="009817AF" w:rsidRPr="004C5A7A" w:rsidRDefault="009817AF">
            <w:pPr>
              <w:pStyle w:val="08-Tabelageral"/>
              <w:rPr>
                <w:rFonts w:cs="Arial"/>
                <w:b/>
                <w:szCs w:val="14"/>
              </w:rPr>
            </w:pPr>
            <w:proofErr w:type="spellStart"/>
            <w:r w:rsidRPr="004C5A7A">
              <w:rPr>
                <w:rFonts w:cs="Arial"/>
                <w:b/>
                <w:szCs w:val="14"/>
              </w:rPr>
              <w:t>Subsidiaries</w:t>
            </w:r>
            <w:proofErr w:type="spellEnd"/>
            <w:r w:rsidRPr="004C5A7A">
              <w:rPr>
                <w:rFonts w:cs="Arial"/>
                <w:b/>
                <w:szCs w:val="14"/>
              </w:rPr>
              <w:t xml:space="preserve"> </w:t>
            </w:r>
            <w:r w:rsidRPr="004C5A7A">
              <w:rPr>
                <w:rFonts w:cs="Arial"/>
                <w:b/>
                <w:szCs w:val="14"/>
                <w:vertAlign w:val="superscript"/>
              </w:rPr>
              <w:t>(1)</w:t>
            </w:r>
          </w:p>
        </w:tc>
      </w:tr>
      <w:tr w:rsidR="009817AF" w:rsidRPr="00024BAF" w14:paraId="7BDDFA71" w14:textId="77777777">
        <w:trPr>
          <w:trHeight w:val="241"/>
        </w:trPr>
        <w:tc>
          <w:tcPr>
            <w:tcW w:w="1844" w:type="pct"/>
            <w:gridSpan w:val="2"/>
            <w:tcBorders>
              <w:top w:val="single" w:sz="4" w:space="0" w:color="1F3864" w:themeColor="accent1" w:themeShade="80"/>
            </w:tcBorders>
          </w:tcPr>
          <w:p w14:paraId="695456B5" w14:textId="77777777" w:rsidR="009817AF" w:rsidRPr="004C5A7A" w:rsidRDefault="009817AF">
            <w:pPr>
              <w:pStyle w:val="08-Tabelageral"/>
              <w:jc w:val="left"/>
              <w:rPr>
                <w:rFonts w:cs="Arial"/>
                <w:b/>
                <w:szCs w:val="14"/>
              </w:rPr>
            </w:pPr>
            <w:r w:rsidRPr="004C5A7A">
              <w:rPr>
                <w:rFonts w:cs="Arial"/>
                <w:b/>
                <w:szCs w:val="14"/>
              </w:rPr>
              <w:t>Income</w:t>
            </w:r>
          </w:p>
        </w:tc>
        <w:tc>
          <w:tcPr>
            <w:tcW w:w="788" w:type="pct"/>
            <w:tcBorders>
              <w:top w:val="single" w:sz="4" w:space="0" w:color="1F3864" w:themeColor="accent1" w:themeShade="80"/>
            </w:tcBorders>
          </w:tcPr>
          <w:p w14:paraId="638F3A5D" w14:textId="77777777" w:rsidR="009817AF" w:rsidRPr="004C5A7A" w:rsidRDefault="009817AF">
            <w:pPr>
              <w:pStyle w:val="08-Tabelageral"/>
              <w:rPr>
                <w:rFonts w:cs="Arial"/>
                <w:b/>
                <w:szCs w:val="14"/>
              </w:rPr>
            </w:pPr>
          </w:p>
        </w:tc>
        <w:tc>
          <w:tcPr>
            <w:tcW w:w="789" w:type="pct"/>
            <w:tcBorders>
              <w:top w:val="single" w:sz="4" w:space="0" w:color="1F3864" w:themeColor="accent1" w:themeShade="80"/>
            </w:tcBorders>
          </w:tcPr>
          <w:p w14:paraId="08BEEF1C" w14:textId="77777777" w:rsidR="009817AF" w:rsidRPr="004C5A7A" w:rsidRDefault="009817AF">
            <w:pPr>
              <w:pStyle w:val="08-Tabelageral"/>
              <w:rPr>
                <w:rFonts w:cs="Arial"/>
                <w:b/>
                <w:szCs w:val="14"/>
              </w:rPr>
            </w:pPr>
          </w:p>
        </w:tc>
        <w:tc>
          <w:tcPr>
            <w:tcW w:w="788" w:type="pct"/>
            <w:tcBorders>
              <w:top w:val="single" w:sz="4" w:space="0" w:color="1F3864" w:themeColor="accent1" w:themeShade="80"/>
            </w:tcBorders>
          </w:tcPr>
          <w:p w14:paraId="1FE7B92D" w14:textId="77777777" w:rsidR="009817AF" w:rsidRPr="004C5A7A" w:rsidRDefault="009817AF">
            <w:pPr>
              <w:pStyle w:val="08-Tabelageral"/>
              <w:rPr>
                <w:rFonts w:cs="Arial"/>
                <w:b/>
                <w:szCs w:val="14"/>
              </w:rPr>
            </w:pPr>
          </w:p>
        </w:tc>
        <w:tc>
          <w:tcPr>
            <w:tcW w:w="791" w:type="pct"/>
            <w:tcBorders>
              <w:top w:val="single" w:sz="4" w:space="0" w:color="1F3864" w:themeColor="accent1" w:themeShade="80"/>
            </w:tcBorders>
          </w:tcPr>
          <w:p w14:paraId="17B7A913" w14:textId="77777777" w:rsidR="009817AF" w:rsidRPr="004C5A7A" w:rsidRDefault="009817AF">
            <w:pPr>
              <w:pStyle w:val="08-Tabelageral"/>
              <w:rPr>
                <w:rFonts w:cs="Arial"/>
                <w:b/>
                <w:szCs w:val="14"/>
              </w:rPr>
            </w:pPr>
          </w:p>
        </w:tc>
      </w:tr>
      <w:tr w:rsidR="009817AF" w:rsidRPr="00024BAF" w14:paraId="7F7314C6" w14:textId="77777777">
        <w:trPr>
          <w:trHeight w:val="241"/>
        </w:trPr>
        <w:tc>
          <w:tcPr>
            <w:tcW w:w="1844" w:type="pct"/>
            <w:gridSpan w:val="2"/>
          </w:tcPr>
          <w:p w14:paraId="0DDDB844" w14:textId="77777777" w:rsidR="009817AF" w:rsidRPr="004C5A7A" w:rsidRDefault="009817AF">
            <w:pPr>
              <w:pStyle w:val="08-Tabelageral"/>
              <w:jc w:val="left"/>
              <w:rPr>
                <w:rFonts w:cs="Arial"/>
                <w:b/>
                <w:szCs w:val="14"/>
                <w:lang w:val="en-US"/>
              </w:rPr>
            </w:pPr>
            <w:r w:rsidRPr="004C5A7A">
              <w:rPr>
                <w:rFonts w:cs="Arial"/>
                <w:szCs w:val="14"/>
                <w:lang w:val="en-US"/>
              </w:rPr>
              <w:t>Interest earnings of financial instruments</w:t>
            </w:r>
          </w:p>
        </w:tc>
        <w:tc>
          <w:tcPr>
            <w:tcW w:w="788" w:type="pct"/>
            <w:tcBorders>
              <w:top w:val="nil"/>
            </w:tcBorders>
            <w:shd w:val="clear" w:color="auto" w:fill="auto"/>
          </w:tcPr>
          <w:p w14:paraId="0DF2BBE2" w14:textId="77777777" w:rsidR="009817AF" w:rsidRPr="004C5A7A" w:rsidRDefault="009817AF">
            <w:pPr>
              <w:pStyle w:val="08-Tabelageral"/>
              <w:rPr>
                <w:rFonts w:cs="Arial"/>
                <w:szCs w:val="14"/>
              </w:rPr>
            </w:pPr>
            <w:r w:rsidRPr="004C5A7A">
              <w:rPr>
                <w:rFonts w:cs="Arial"/>
              </w:rPr>
              <w:t>42,844</w:t>
            </w:r>
          </w:p>
        </w:tc>
        <w:tc>
          <w:tcPr>
            <w:tcW w:w="789" w:type="pct"/>
            <w:tcBorders>
              <w:top w:val="nil"/>
            </w:tcBorders>
            <w:shd w:val="clear" w:color="auto" w:fill="auto"/>
          </w:tcPr>
          <w:p w14:paraId="341E82E7" w14:textId="77777777" w:rsidR="009817AF" w:rsidRPr="004C5A7A" w:rsidRDefault="009817AF">
            <w:pPr>
              <w:pStyle w:val="08-Tabelageral"/>
              <w:rPr>
                <w:rFonts w:cs="Arial"/>
                <w:szCs w:val="14"/>
              </w:rPr>
            </w:pPr>
            <w:r w:rsidRPr="004C5A7A">
              <w:rPr>
                <w:rFonts w:cs="Arial"/>
              </w:rPr>
              <w:t>--</w:t>
            </w:r>
          </w:p>
        </w:tc>
        <w:tc>
          <w:tcPr>
            <w:tcW w:w="788" w:type="pct"/>
            <w:tcBorders>
              <w:top w:val="nil"/>
            </w:tcBorders>
            <w:shd w:val="clear" w:color="auto" w:fill="auto"/>
          </w:tcPr>
          <w:p w14:paraId="11909B6E" w14:textId="77777777" w:rsidR="009817AF" w:rsidRPr="004C5A7A" w:rsidRDefault="009817AF">
            <w:pPr>
              <w:pStyle w:val="08-Tabelageral"/>
              <w:rPr>
                <w:rFonts w:cs="Arial"/>
                <w:szCs w:val="14"/>
              </w:rPr>
            </w:pPr>
            <w:r w:rsidRPr="00BF2AAF">
              <w:rPr>
                <w:rFonts w:cs="Arial"/>
              </w:rPr>
              <w:t>44</w:t>
            </w:r>
            <w:r>
              <w:rPr>
                <w:rFonts w:cs="Arial"/>
              </w:rPr>
              <w:t>,</w:t>
            </w:r>
            <w:r w:rsidRPr="00BF2AAF">
              <w:rPr>
                <w:rFonts w:cs="Arial"/>
              </w:rPr>
              <w:t>866</w:t>
            </w:r>
          </w:p>
        </w:tc>
        <w:tc>
          <w:tcPr>
            <w:tcW w:w="791" w:type="pct"/>
            <w:tcBorders>
              <w:top w:val="nil"/>
            </w:tcBorders>
            <w:shd w:val="clear" w:color="auto" w:fill="auto"/>
          </w:tcPr>
          <w:p w14:paraId="73A797AF" w14:textId="77777777" w:rsidR="009817AF" w:rsidRPr="004C5A7A" w:rsidRDefault="009817AF">
            <w:pPr>
              <w:pStyle w:val="08-Tabelageral"/>
              <w:rPr>
                <w:rFonts w:cs="Arial"/>
                <w:szCs w:val="14"/>
              </w:rPr>
            </w:pPr>
            <w:r w:rsidRPr="00BF2AAF">
              <w:rPr>
                <w:rFonts w:cs="Arial"/>
              </w:rPr>
              <w:t>--</w:t>
            </w:r>
          </w:p>
        </w:tc>
      </w:tr>
      <w:tr w:rsidR="009817AF" w:rsidRPr="00024BAF" w14:paraId="50A82A28" w14:textId="77777777">
        <w:trPr>
          <w:trHeight w:val="241"/>
        </w:trPr>
        <w:tc>
          <w:tcPr>
            <w:tcW w:w="1844" w:type="pct"/>
            <w:gridSpan w:val="2"/>
          </w:tcPr>
          <w:p w14:paraId="7CF0E809" w14:textId="77777777" w:rsidR="009817AF" w:rsidRPr="004C5A7A" w:rsidRDefault="009817AF">
            <w:pPr>
              <w:pStyle w:val="08-Tabelageral"/>
              <w:jc w:val="left"/>
              <w:rPr>
                <w:rFonts w:cs="Arial"/>
                <w:b/>
                <w:szCs w:val="14"/>
              </w:rPr>
            </w:pPr>
            <w:proofErr w:type="spellStart"/>
            <w:r w:rsidRPr="004C5A7A">
              <w:rPr>
                <w:rFonts w:cs="Arial"/>
                <w:szCs w:val="14"/>
              </w:rPr>
              <w:t>Personnel</w:t>
            </w:r>
            <w:proofErr w:type="spellEnd"/>
            <w:r w:rsidRPr="004C5A7A">
              <w:rPr>
                <w:rFonts w:cs="Arial"/>
                <w:szCs w:val="14"/>
              </w:rPr>
              <w:t xml:space="preserve"> </w:t>
            </w:r>
            <w:proofErr w:type="spellStart"/>
            <w:r w:rsidRPr="004C5A7A">
              <w:rPr>
                <w:rFonts w:cs="Arial"/>
                <w:szCs w:val="14"/>
              </w:rPr>
              <w:t>expenses</w:t>
            </w:r>
            <w:proofErr w:type="spellEnd"/>
          </w:p>
        </w:tc>
        <w:tc>
          <w:tcPr>
            <w:tcW w:w="788" w:type="pct"/>
            <w:shd w:val="clear" w:color="auto" w:fill="auto"/>
          </w:tcPr>
          <w:p w14:paraId="4102A811" w14:textId="77777777" w:rsidR="009817AF" w:rsidRPr="004C5A7A" w:rsidRDefault="009817AF">
            <w:pPr>
              <w:pStyle w:val="08-Tabelageral"/>
              <w:rPr>
                <w:rFonts w:cs="Arial"/>
                <w:szCs w:val="14"/>
              </w:rPr>
            </w:pPr>
            <w:r w:rsidRPr="004C5A7A">
              <w:rPr>
                <w:rFonts w:cs="Arial"/>
              </w:rPr>
              <w:t>(11,853)</w:t>
            </w:r>
          </w:p>
        </w:tc>
        <w:tc>
          <w:tcPr>
            <w:tcW w:w="789" w:type="pct"/>
            <w:shd w:val="clear" w:color="auto" w:fill="auto"/>
          </w:tcPr>
          <w:p w14:paraId="1DF66553" w14:textId="77777777" w:rsidR="009817AF" w:rsidRPr="004C5A7A" w:rsidRDefault="009817AF">
            <w:pPr>
              <w:pStyle w:val="08-Tabelageral"/>
              <w:rPr>
                <w:rFonts w:cs="Arial"/>
                <w:szCs w:val="14"/>
              </w:rPr>
            </w:pPr>
            <w:r w:rsidRPr="004C5A7A">
              <w:rPr>
                <w:rFonts w:cs="Arial"/>
              </w:rPr>
              <w:t>--</w:t>
            </w:r>
          </w:p>
        </w:tc>
        <w:tc>
          <w:tcPr>
            <w:tcW w:w="788" w:type="pct"/>
            <w:shd w:val="clear" w:color="auto" w:fill="auto"/>
          </w:tcPr>
          <w:p w14:paraId="1099F021" w14:textId="77777777" w:rsidR="009817AF" w:rsidRPr="004C5A7A" w:rsidRDefault="009817AF">
            <w:pPr>
              <w:pStyle w:val="08-Tabelageral"/>
              <w:rPr>
                <w:rFonts w:cs="Arial"/>
                <w:szCs w:val="14"/>
              </w:rPr>
            </w:pPr>
            <w:r w:rsidRPr="00BF2AAF">
              <w:rPr>
                <w:rFonts w:cs="Arial"/>
              </w:rPr>
              <w:t>(13</w:t>
            </w:r>
            <w:r>
              <w:rPr>
                <w:rFonts w:cs="Arial"/>
              </w:rPr>
              <w:t>,</w:t>
            </w:r>
            <w:r w:rsidRPr="00BF2AAF">
              <w:rPr>
                <w:rFonts w:cs="Arial"/>
              </w:rPr>
              <w:t>129)</w:t>
            </w:r>
          </w:p>
        </w:tc>
        <w:tc>
          <w:tcPr>
            <w:tcW w:w="791" w:type="pct"/>
            <w:shd w:val="clear" w:color="auto" w:fill="auto"/>
          </w:tcPr>
          <w:p w14:paraId="7C9DE6B2" w14:textId="77777777" w:rsidR="009817AF" w:rsidRPr="004C5A7A" w:rsidRDefault="009817AF">
            <w:pPr>
              <w:pStyle w:val="08-Tabelageral"/>
              <w:rPr>
                <w:rFonts w:cs="Arial"/>
                <w:szCs w:val="14"/>
              </w:rPr>
            </w:pPr>
            <w:r w:rsidRPr="00BF2AAF">
              <w:rPr>
                <w:rFonts w:cs="Arial"/>
              </w:rPr>
              <w:t>--</w:t>
            </w:r>
          </w:p>
        </w:tc>
      </w:tr>
      <w:tr w:rsidR="009817AF" w:rsidRPr="00024BAF" w14:paraId="0257C58F" w14:textId="77777777">
        <w:trPr>
          <w:trHeight w:val="241"/>
        </w:trPr>
        <w:tc>
          <w:tcPr>
            <w:tcW w:w="1844" w:type="pct"/>
            <w:gridSpan w:val="2"/>
          </w:tcPr>
          <w:p w14:paraId="5E662529" w14:textId="77777777" w:rsidR="009817AF" w:rsidRPr="004C5A7A" w:rsidRDefault="009817AF">
            <w:pPr>
              <w:pStyle w:val="08-Tabelageral"/>
              <w:jc w:val="left"/>
              <w:rPr>
                <w:rFonts w:cs="Arial"/>
                <w:b/>
                <w:szCs w:val="14"/>
              </w:rPr>
            </w:pPr>
            <w:proofErr w:type="spellStart"/>
            <w:r w:rsidRPr="004C5A7A">
              <w:rPr>
                <w:rFonts w:cs="Arial"/>
                <w:szCs w:val="14"/>
              </w:rPr>
              <w:t>Administrative</w:t>
            </w:r>
            <w:proofErr w:type="spellEnd"/>
            <w:r w:rsidRPr="004C5A7A">
              <w:rPr>
                <w:rFonts w:cs="Arial"/>
                <w:szCs w:val="14"/>
              </w:rPr>
              <w:t xml:space="preserve"> </w:t>
            </w:r>
            <w:proofErr w:type="spellStart"/>
            <w:r w:rsidRPr="004C5A7A">
              <w:rPr>
                <w:rFonts w:cs="Arial"/>
                <w:szCs w:val="14"/>
              </w:rPr>
              <w:t>expenses</w:t>
            </w:r>
            <w:proofErr w:type="spellEnd"/>
            <w:r w:rsidRPr="004C5A7A">
              <w:rPr>
                <w:rFonts w:cs="Arial"/>
                <w:szCs w:val="14"/>
              </w:rPr>
              <w:t xml:space="preserve"> </w:t>
            </w:r>
            <w:r w:rsidRPr="004C5A7A">
              <w:rPr>
                <w:rFonts w:cs="Arial"/>
                <w:szCs w:val="14"/>
                <w:vertAlign w:val="superscript"/>
              </w:rPr>
              <w:t>(2)</w:t>
            </w:r>
          </w:p>
        </w:tc>
        <w:tc>
          <w:tcPr>
            <w:tcW w:w="788" w:type="pct"/>
            <w:shd w:val="clear" w:color="auto" w:fill="auto"/>
          </w:tcPr>
          <w:p w14:paraId="0FAC6D90" w14:textId="77777777" w:rsidR="009817AF" w:rsidRPr="004C5A7A" w:rsidRDefault="009817AF">
            <w:pPr>
              <w:pStyle w:val="08-Tabelageral"/>
              <w:rPr>
                <w:rFonts w:cs="Arial"/>
                <w:szCs w:val="14"/>
              </w:rPr>
            </w:pPr>
            <w:r w:rsidRPr="004C5A7A">
              <w:rPr>
                <w:rFonts w:cs="Arial"/>
              </w:rPr>
              <w:t>(1,327)</w:t>
            </w:r>
          </w:p>
        </w:tc>
        <w:tc>
          <w:tcPr>
            <w:tcW w:w="789" w:type="pct"/>
            <w:shd w:val="clear" w:color="auto" w:fill="auto"/>
          </w:tcPr>
          <w:p w14:paraId="64F3F4B8" w14:textId="77777777" w:rsidR="009817AF" w:rsidRPr="004C5A7A" w:rsidRDefault="009817AF">
            <w:pPr>
              <w:pStyle w:val="08-Tabelageral"/>
              <w:rPr>
                <w:rFonts w:cs="Arial"/>
                <w:szCs w:val="14"/>
              </w:rPr>
            </w:pPr>
            <w:r w:rsidRPr="004C5A7A">
              <w:rPr>
                <w:rFonts w:cs="Arial"/>
              </w:rPr>
              <w:t>--</w:t>
            </w:r>
          </w:p>
        </w:tc>
        <w:tc>
          <w:tcPr>
            <w:tcW w:w="788" w:type="pct"/>
            <w:shd w:val="clear" w:color="auto" w:fill="auto"/>
          </w:tcPr>
          <w:p w14:paraId="7E0014A7" w14:textId="77777777" w:rsidR="009817AF" w:rsidRPr="004C5A7A" w:rsidRDefault="009817AF">
            <w:pPr>
              <w:pStyle w:val="08-Tabelageral"/>
              <w:rPr>
                <w:rFonts w:cs="Arial"/>
                <w:szCs w:val="14"/>
              </w:rPr>
            </w:pPr>
            <w:r w:rsidRPr="00BF2AAF">
              <w:rPr>
                <w:rFonts w:cs="Arial"/>
              </w:rPr>
              <w:t>(1</w:t>
            </w:r>
            <w:r>
              <w:rPr>
                <w:rFonts w:cs="Arial"/>
              </w:rPr>
              <w:t>,</w:t>
            </w:r>
            <w:r w:rsidRPr="00BF2AAF">
              <w:rPr>
                <w:rFonts w:cs="Arial"/>
              </w:rPr>
              <w:t>963)</w:t>
            </w:r>
          </w:p>
        </w:tc>
        <w:tc>
          <w:tcPr>
            <w:tcW w:w="791" w:type="pct"/>
            <w:shd w:val="clear" w:color="auto" w:fill="auto"/>
          </w:tcPr>
          <w:p w14:paraId="64253464" w14:textId="77777777" w:rsidR="009817AF" w:rsidRPr="004C5A7A" w:rsidRDefault="009817AF">
            <w:pPr>
              <w:pStyle w:val="08-Tabelageral"/>
              <w:rPr>
                <w:rFonts w:cs="Arial"/>
                <w:szCs w:val="14"/>
              </w:rPr>
            </w:pPr>
            <w:r w:rsidRPr="00BF2AAF">
              <w:rPr>
                <w:rFonts w:cs="Arial"/>
              </w:rPr>
              <w:t>--</w:t>
            </w:r>
          </w:p>
        </w:tc>
      </w:tr>
      <w:tr w:rsidR="009817AF" w:rsidRPr="00024BAF" w14:paraId="32D46C2C" w14:textId="77777777">
        <w:trPr>
          <w:trHeight w:val="241"/>
        </w:trPr>
        <w:tc>
          <w:tcPr>
            <w:tcW w:w="1844" w:type="pct"/>
            <w:gridSpan w:val="2"/>
          </w:tcPr>
          <w:p w14:paraId="7C42C1A2" w14:textId="77777777" w:rsidR="009817AF" w:rsidRPr="004C5A7A" w:rsidRDefault="009817AF">
            <w:pPr>
              <w:pStyle w:val="08-Tabelageral"/>
              <w:jc w:val="left"/>
              <w:rPr>
                <w:rFonts w:cs="Arial"/>
                <w:b/>
                <w:szCs w:val="14"/>
              </w:rPr>
            </w:pPr>
            <w:proofErr w:type="spellStart"/>
            <w:r w:rsidRPr="004C5A7A">
              <w:rPr>
                <w:rFonts w:cs="Arial"/>
                <w:szCs w:val="14"/>
              </w:rPr>
              <w:t>Monetary</w:t>
            </w:r>
            <w:proofErr w:type="spellEnd"/>
            <w:r w:rsidRPr="004C5A7A">
              <w:rPr>
                <w:rFonts w:cs="Arial"/>
                <w:szCs w:val="14"/>
              </w:rPr>
              <w:t xml:space="preserve"> </w:t>
            </w:r>
            <w:proofErr w:type="spellStart"/>
            <w:r w:rsidRPr="004C5A7A">
              <w:rPr>
                <w:rFonts w:cs="Arial"/>
                <w:szCs w:val="14"/>
              </w:rPr>
              <w:t>assets</w:t>
            </w:r>
            <w:proofErr w:type="spellEnd"/>
            <w:r w:rsidRPr="004C5A7A">
              <w:rPr>
                <w:rFonts w:cs="Arial"/>
                <w:szCs w:val="14"/>
              </w:rPr>
              <w:t xml:space="preserve"> </w:t>
            </w:r>
            <w:proofErr w:type="spellStart"/>
            <w:r w:rsidRPr="004C5A7A">
              <w:rPr>
                <w:rFonts w:cs="Arial"/>
                <w:szCs w:val="14"/>
              </w:rPr>
              <w:t>changes</w:t>
            </w:r>
            <w:proofErr w:type="spellEnd"/>
          </w:p>
        </w:tc>
        <w:tc>
          <w:tcPr>
            <w:tcW w:w="788" w:type="pct"/>
            <w:shd w:val="clear" w:color="auto" w:fill="auto"/>
          </w:tcPr>
          <w:p w14:paraId="280B5705" w14:textId="77777777" w:rsidR="009817AF" w:rsidRPr="004C5A7A" w:rsidRDefault="009817AF">
            <w:pPr>
              <w:pStyle w:val="08-Tabelageral"/>
              <w:rPr>
                <w:rFonts w:cs="Arial"/>
                <w:szCs w:val="14"/>
              </w:rPr>
            </w:pPr>
            <w:r w:rsidRPr="004C5A7A">
              <w:rPr>
                <w:rFonts w:cs="Arial"/>
              </w:rPr>
              <w:t>--</w:t>
            </w:r>
          </w:p>
        </w:tc>
        <w:tc>
          <w:tcPr>
            <w:tcW w:w="789" w:type="pct"/>
            <w:shd w:val="clear" w:color="auto" w:fill="auto"/>
          </w:tcPr>
          <w:p w14:paraId="56162C43" w14:textId="77777777" w:rsidR="009817AF" w:rsidRPr="004C5A7A" w:rsidRDefault="009817AF">
            <w:pPr>
              <w:pStyle w:val="08-Tabelageral"/>
              <w:rPr>
                <w:rFonts w:cs="Arial"/>
                <w:szCs w:val="14"/>
              </w:rPr>
            </w:pPr>
            <w:r w:rsidRPr="004C5A7A">
              <w:rPr>
                <w:rFonts w:cs="Arial"/>
              </w:rPr>
              <w:t>33,904</w:t>
            </w:r>
          </w:p>
        </w:tc>
        <w:tc>
          <w:tcPr>
            <w:tcW w:w="788" w:type="pct"/>
            <w:shd w:val="clear" w:color="auto" w:fill="auto"/>
          </w:tcPr>
          <w:p w14:paraId="2BACF130" w14:textId="77777777" w:rsidR="009817AF" w:rsidRPr="004C5A7A" w:rsidRDefault="009817AF">
            <w:pPr>
              <w:pStyle w:val="08-Tabelageral"/>
              <w:rPr>
                <w:rFonts w:cs="Arial"/>
                <w:szCs w:val="14"/>
              </w:rPr>
            </w:pPr>
            <w:r w:rsidRPr="00BF2AAF">
              <w:rPr>
                <w:rFonts w:cs="Arial"/>
              </w:rPr>
              <w:t>--</w:t>
            </w:r>
          </w:p>
        </w:tc>
        <w:tc>
          <w:tcPr>
            <w:tcW w:w="791" w:type="pct"/>
            <w:shd w:val="clear" w:color="auto" w:fill="auto"/>
          </w:tcPr>
          <w:p w14:paraId="24AD9907" w14:textId="77777777" w:rsidR="009817AF" w:rsidRPr="004C5A7A" w:rsidRDefault="009817AF">
            <w:pPr>
              <w:pStyle w:val="08-Tabelageral"/>
              <w:rPr>
                <w:rFonts w:cs="Arial"/>
                <w:szCs w:val="14"/>
              </w:rPr>
            </w:pPr>
            <w:r w:rsidRPr="00BF2AAF">
              <w:rPr>
                <w:rFonts w:cs="Arial"/>
              </w:rPr>
              <w:t>77</w:t>
            </w:r>
            <w:r>
              <w:rPr>
                <w:rFonts w:cs="Arial"/>
              </w:rPr>
              <w:t>,</w:t>
            </w:r>
            <w:r w:rsidRPr="00BF2AAF">
              <w:rPr>
                <w:rFonts w:cs="Arial"/>
              </w:rPr>
              <w:t>483</w:t>
            </w:r>
          </w:p>
        </w:tc>
      </w:tr>
      <w:tr w:rsidR="009817AF" w:rsidRPr="00024BAF" w14:paraId="5F4860F6" w14:textId="77777777" w:rsidTr="00B7760C">
        <w:trPr>
          <w:trHeight w:val="241"/>
        </w:trPr>
        <w:tc>
          <w:tcPr>
            <w:tcW w:w="1844" w:type="pct"/>
            <w:gridSpan w:val="2"/>
            <w:tcBorders>
              <w:bottom w:val="single" w:sz="4" w:space="0" w:color="auto"/>
            </w:tcBorders>
          </w:tcPr>
          <w:p w14:paraId="1A46AA87" w14:textId="77777777" w:rsidR="009817AF" w:rsidRPr="004C5A7A" w:rsidRDefault="009817AF">
            <w:pPr>
              <w:pStyle w:val="08-Tabelageral"/>
              <w:jc w:val="left"/>
              <w:rPr>
                <w:rFonts w:cs="Arial"/>
                <w:b/>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88" w:type="pct"/>
            <w:tcBorders>
              <w:bottom w:val="single" w:sz="4" w:space="0" w:color="auto"/>
            </w:tcBorders>
            <w:shd w:val="clear" w:color="auto" w:fill="auto"/>
          </w:tcPr>
          <w:p w14:paraId="2408CF04" w14:textId="77777777" w:rsidR="009817AF" w:rsidRPr="004C5A7A" w:rsidRDefault="009817AF">
            <w:pPr>
              <w:pStyle w:val="08-Tabelageral"/>
              <w:rPr>
                <w:rFonts w:cs="Arial"/>
                <w:szCs w:val="14"/>
              </w:rPr>
            </w:pPr>
            <w:r w:rsidRPr="004C5A7A">
              <w:rPr>
                <w:rFonts w:cs="Arial"/>
              </w:rPr>
              <w:t>(25,425)</w:t>
            </w:r>
          </w:p>
        </w:tc>
        <w:tc>
          <w:tcPr>
            <w:tcW w:w="789" w:type="pct"/>
            <w:tcBorders>
              <w:bottom w:val="single" w:sz="4" w:space="0" w:color="auto"/>
            </w:tcBorders>
            <w:shd w:val="clear" w:color="auto" w:fill="auto"/>
          </w:tcPr>
          <w:p w14:paraId="00FA9B5B" w14:textId="77777777" w:rsidR="009817AF" w:rsidRPr="004C5A7A" w:rsidRDefault="009817AF">
            <w:pPr>
              <w:pStyle w:val="08-Tabelageral"/>
              <w:rPr>
                <w:rFonts w:cs="Arial"/>
                <w:szCs w:val="14"/>
              </w:rPr>
            </w:pPr>
            <w:r w:rsidRPr="004C5A7A">
              <w:rPr>
                <w:rFonts w:cs="Arial"/>
              </w:rPr>
              <w:t>--</w:t>
            </w:r>
          </w:p>
        </w:tc>
        <w:tc>
          <w:tcPr>
            <w:tcW w:w="788" w:type="pct"/>
            <w:tcBorders>
              <w:bottom w:val="single" w:sz="4" w:space="0" w:color="auto"/>
            </w:tcBorders>
            <w:shd w:val="clear" w:color="auto" w:fill="auto"/>
          </w:tcPr>
          <w:p w14:paraId="2926AFCD" w14:textId="77777777" w:rsidR="009817AF" w:rsidRPr="004C5A7A" w:rsidRDefault="009817AF">
            <w:pPr>
              <w:pStyle w:val="08-Tabelageral"/>
              <w:rPr>
                <w:rFonts w:cs="Arial"/>
                <w:szCs w:val="14"/>
              </w:rPr>
            </w:pPr>
            <w:r w:rsidRPr="00BF2AAF">
              <w:rPr>
                <w:rFonts w:cs="Arial"/>
              </w:rPr>
              <w:t>(51</w:t>
            </w:r>
            <w:r>
              <w:rPr>
                <w:rFonts w:cs="Arial"/>
              </w:rPr>
              <w:t>,</w:t>
            </w:r>
            <w:r w:rsidRPr="00BF2AAF">
              <w:rPr>
                <w:rFonts w:cs="Arial"/>
              </w:rPr>
              <w:t>198)</w:t>
            </w:r>
          </w:p>
        </w:tc>
        <w:tc>
          <w:tcPr>
            <w:tcW w:w="791" w:type="pct"/>
            <w:tcBorders>
              <w:bottom w:val="single" w:sz="4" w:space="0" w:color="auto"/>
            </w:tcBorders>
            <w:shd w:val="clear" w:color="auto" w:fill="auto"/>
          </w:tcPr>
          <w:p w14:paraId="4C3318B9" w14:textId="77777777" w:rsidR="009817AF" w:rsidRPr="004C5A7A" w:rsidRDefault="009817AF">
            <w:pPr>
              <w:pStyle w:val="08-Tabelageral"/>
              <w:rPr>
                <w:rFonts w:cs="Arial"/>
                <w:szCs w:val="14"/>
              </w:rPr>
            </w:pPr>
            <w:r w:rsidRPr="00BF2AAF">
              <w:rPr>
                <w:rFonts w:cs="Arial"/>
              </w:rPr>
              <w:t>--</w:t>
            </w:r>
          </w:p>
        </w:tc>
      </w:tr>
    </w:tbl>
    <w:p w14:paraId="76BCA72A" w14:textId="77777777" w:rsidR="009817AF" w:rsidRPr="004C5A7A" w:rsidRDefault="009817AF" w:rsidP="00A76AF4">
      <w:pPr>
        <w:pStyle w:val="07-Legenda"/>
        <w:numPr>
          <w:ilvl w:val="0"/>
          <w:numId w:val="6"/>
        </w:numPr>
        <w:spacing w:before="0"/>
        <w:ind w:left="284" w:hanging="284"/>
        <w:rPr>
          <w:rFonts w:cs="Arial"/>
        </w:rPr>
      </w:pPr>
      <w:r w:rsidRPr="004C5A7A">
        <w:rPr>
          <w:rFonts w:cs="Arial"/>
        </w:rPr>
        <w:t xml:space="preserve">BB Seguros </w:t>
      </w:r>
      <w:proofErr w:type="spellStart"/>
      <w:r w:rsidRPr="004C5A7A">
        <w:rPr>
          <w:rFonts w:cs="Arial"/>
        </w:rPr>
        <w:t>and</w:t>
      </w:r>
      <w:proofErr w:type="spellEnd"/>
      <w:r w:rsidRPr="004C5A7A">
        <w:rPr>
          <w:rFonts w:cs="Arial"/>
        </w:rPr>
        <w:t xml:space="preserve"> BB Corretora.</w:t>
      </w:r>
    </w:p>
    <w:p w14:paraId="3E65E261" w14:textId="77777777" w:rsidR="009817AF" w:rsidRPr="004C5A7A" w:rsidRDefault="009817AF" w:rsidP="00A76AF4">
      <w:pPr>
        <w:pStyle w:val="07-Legenda"/>
        <w:numPr>
          <w:ilvl w:val="0"/>
          <w:numId w:val="6"/>
        </w:numPr>
        <w:spacing w:before="0"/>
        <w:ind w:left="284" w:hanging="284"/>
        <w:rPr>
          <w:rFonts w:cs="Arial"/>
          <w:lang w:val="en-US"/>
        </w:rPr>
      </w:pPr>
      <w:r w:rsidRPr="004C5A7A">
        <w:rPr>
          <w:rFonts w:cs="Arial"/>
          <w:lang w:val="en-US"/>
        </w:rPr>
        <w:t xml:space="preserve">Refers to expenses as sharing contract customer data, use of staff, distribution network and resource materials technological and administrative, between the Banco do </w:t>
      </w:r>
      <w:proofErr w:type="spellStart"/>
      <w:r w:rsidRPr="004C5A7A">
        <w:rPr>
          <w:rFonts w:cs="Arial"/>
          <w:lang w:val="en-US"/>
        </w:rPr>
        <w:t>Brasil</w:t>
      </w:r>
      <w:proofErr w:type="spellEnd"/>
      <w:r w:rsidRPr="004C5A7A">
        <w:rPr>
          <w:rFonts w:cs="Arial"/>
          <w:lang w:val="en-US"/>
        </w:rPr>
        <w:t xml:space="preserve">, BB </w:t>
      </w:r>
      <w:proofErr w:type="spellStart"/>
      <w:r w:rsidRPr="004C5A7A">
        <w:rPr>
          <w:rFonts w:cs="Arial"/>
          <w:lang w:val="en-US"/>
        </w:rPr>
        <w:t>Seguridade</w:t>
      </w:r>
      <w:proofErr w:type="spellEnd"/>
      <w:r w:rsidRPr="004C5A7A">
        <w:rPr>
          <w:rFonts w:cs="Arial"/>
          <w:lang w:val="en-US"/>
        </w:rPr>
        <w:t xml:space="preserve">, BB </w:t>
      </w:r>
      <w:proofErr w:type="spellStart"/>
      <w:r w:rsidRPr="004C5A7A">
        <w:rPr>
          <w:rFonts w:cs="Arial"/>
          <w:lang w:val="en-US"/>
        </w:rPr>
        <w:t>Corretora</w:t>
      </w:r>
      <w:proofErr w:type="spellEnd"/>
      <w:r w:rsidRPr="004C5A7A">
        <w:rPr>
          <w:rFonts w:cs="Arial"/>
          <w:lang w:val="en-US"/>
        </w:rPr>
        <w:t xml:space="preserve"> and BB </w:t>
      </w:r>
      <w:proofErr w:type="spellStart"/>
      <w:r w:rsidRPr="004C5A7A">
        <w:rPr>
          <w:rFonts w:cs="Arial"/>
          <w:lang w:val="en-US"/>
        </w:rPr>
        <w:t>Seguros</w:t>
      </w:r>
      <w:proofErr w:type="spellEnd"/>
      <w:r w:rsidRPr="004C5A7A">
        <w:rPr>
          <w:rFonts w:cs="Arial"/>
          <w:lang w:val="en-US"/>
        </w:rPr>
        <w:t>.</w:t>
      </w:r>
    </w:p>
    <w:p w14:paraId="65AA8145" w14:textId="77777777" w:rsidR="009817AF" w:rsidRPr="004C5A7A" w:rsidRDefault="009817AF" w:rsidP="009817AF">
      <w:pPr>
        <w:pStyle w:val="07-Legenda"/>
        <w:spacing w:before="0"/>
        <w:ind w:firstLine="0"/>
        <w:rPr>
          <w:rFonts w:cs="Arial"/>
          <w:lang w:val="en-US"/>
        </w:rPr>
      </w:pPr>
    </w:p>
    <w:p w14:paraId="592E32B2" w14:textId="77777777" w:rsidR="009817AF" w:rsidRPr="004C5A7A" w:rsidRDefault="009817AF" w:rsidP="00C6199C">
      <w:pPr>
        <w:pStyle w:val="03-SubttulodeNota"/>
        <w:pageBreakBefore/>
        <w:rPr>
          <w:rFonts w:cs="Arial"/>
          <w:color w:val="1F3864" w:themeColor="accent1" w:themeShade="80"/>
          <w:sz w:val="18"/>
          <w:szCs w:val="18"/>
        </w:rPr>
      </w:pPr>
      <w:r w:rsidRPr="004C5A7A">
        <w:rPr>
          <w:rFonts w:cs="Arial"/>
          <w:color w:val="1F3864" w:themeColor="accent1" w:themeShade="80"/>
          <w:sz w:val="18"/>
          <w:szCs w:val="18"/>
        </w:rPr>
        <w:lastRenderedPageBreak/>
        <w:t xml:space="preserve">BB Seguridade – </w:t>
      </w:r>
      <w:proofErr w:type="spellStart"/>
      <w:r w:rsidRPr="004C5A7A">
        <w:rPr>
          <w:rFonts w:cs="Arial"/>
          <w:color w:val="1F3864" w:themeColor="accent1" w:themeShade="80"/>
          <w:sz w:val="18"/>
          <w:szCs w:val="18"/>
        </w:rPr>
        <w:t>Consolidated</w:t>
      </w:r>
      <w:proofErr w:type="spellEnd"/>
    </w:p>
    <w:p w14:paraId="5C5BAF74" w14:textId="77777777" w:rsidR="009817AF" w:rsidRPr="004C5A7A" w:rsidRDefault="009817AF" w:rsidP="009163E1">
      <w:pPr>
        <w:pStyle w:val="01-TtulodeNota"/>
        <w:spacing w:before="0" w:after="0"/>
        <w:ind w:right="141" w:firstLine="708"/>
        <w:jc w:val="right"/>
        <w:rPr>
          <w:rFonts w:cs="Arial"/>
          <w:sz w:val="14"/>
          <w:szCs w:val="14"/>
        </w:rPr>
      </w:pPr>
      <w:r w:rsidRPr="004C5A7A">
        <w:rPr>
          <w:rFonts w:cs="Arial"/>
          <w:sz w:val="14"/>
          <w:szCs w:val="14"/>
        </w:rPr>
        <w:t xml:space="preserve">R$ </w:t>
      </w:r>
      <w:proofErr w:type="spellStart"/>
      <w:r w:rsidRPr="004C5A7A">
        <w:rPr>
          <w:rFonts w:cs="Arial"/>
          <w:sz w:val="14"/>
          <w:szCs w:val="14"/>
        </w:rPr>
        <w:t>thousand</w:t>
      </w:r>
      <w:proofErr w:type="spellEnd"/>
    </w:p>
    <w:tbl>
      <w:tblPr>
        <w:tblW w:w="4897"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7"/>
        <w:gridCol w:w="2831"/>
        <w:gridCol w:w="1372"/>
        <w:gridCol w:w="1512"/>
        <w:gridCol w:w="279"/>
        <w:gridCol w:w="41"/>
        <w:gridCol w:w="1331"/>
        <w:gridCol w:w="1649"/>
      </w:tblGrid>
      <w:tr w:rsidR="009817AF" w:rsidRPr="00D311AA" w14:paraId="741292AE" w14:textId="77777777">
        <w:trPr>
          <w:trHeight w:val="238"/>
          <w:jc w:val="center"/>
        </w:trPr>
        <w:tc>
          <w:tcPr>
            <w:tcW w:w="287" w:type="dxa"/>
            <w:tcBorders>
              <w:top w:val="single" w:sz="2" w:space="0" w:color="1F3864" w:themeColor="accent1" w:themeShade="80"/>
              <w:bottom w:val="nil"/>
            </w:tcBorders>
            <w:shd w:val="clear" w:color="auto" w:fill="auto"/>
            <w:vAlign w:val="center"/>
          </w:tcPr>
          <w:p w14:paraId="4466D859" w14:textId="77777777" w:rsidR="009817AF" w:rsidRPr="004C5A7A" w:rsidRDefault="009817AF">
            <w:pPr>
              <w:pStyle w:val="08-Tabelageral"/>
              <w:jc w:val="center"/>
              <w:rPr>
                <w:rFonts w:cs="Arial"/>
                <w:b/>
              </w:rPr>
            </w:pPr>
          </w:p>
        </w:tc>
        <w:tc>
          <w:tcPr>
            <w:tcW w:w="2981" w:type="dxa"/>
            <w:tcBorders>
              <w:top w:val="single" w:sz="2" w:space="0" w:color="1F3864" w:themeColor="accent1" w:themeShade="80"/>
              <w:bottom w:val="nil"/>
            </w:tcBorders>
            <w:shd w:val="clear" w:color="auto" w:fill="auto"/>
            <w:vAlign w:val="center"/>
          </w:tcPr>
          <w:p w14:paraId="388694B1" w14:textId="77777777" w:rsidR="009817AF" w:rsidRPr="004C5A7A" w:rsidRDefault="009817AF">
            <w:pPr>
              <w:pStyle w:val="08-Tabelageral"/>
              <w:jc w:val="center"/>
              <w:rPr>
                <w:rFonts w:cs="Arial"/>
                <w:b/>
              </w:rPr>
            </w:pPr>
          </w:p>
        </w:tc>
        <w:tc>
          <w:tcPr>
            <w:tcW w:w="2976" w:type="dxa"/>
            <w:gridSpan w:val="2"/>
            <w:tcBorders>
              <w:top w:val="single" w:sz="2" w:space="0" w:color="1F3864" w:themeColor="accent1" w:themeShade="80"/>
              <w:bottom w:val="single" w:sz="2" w:space="0" w:color="1F3864" w:themeColor="accent1" w:themeShade="80"/>
            </w:tcBorders>
            <w:shd w:val="clear" w:color="auto" w:fill="auto"/>
            <w:vAlign w:val="center"/>
          </w:tcPr>
          <w:p w14:paraId="1E031349" w14:textId="77777777" w:rsidR="009817AF" w:rsidRPr="004C5A7A" w:rsidRDefault="009817AF">
            <w:pPr>
              <w:pStyle w:val="08-Tabelageral"/>
              <w:jc w:val="center"/>
              <w:rPr>
                <w:rFonts w:cs="Arial"/>
                <w:b/>
              </w:rPr>
            </w:pPr>
            <w:proofErr w:type="spellStart"/>
            <w:r w:rsidRPr="004C5A7A">
              <w:rPr>
                <w:rFonts w:cs="Arial"/>
                <w:b/>
              </w:rPr>
              <w:t>Dec</w:t>
            </w:r>
            <w:proofErr w:type="spellEnd"/>
            <w:r w:rsidRPr="004C5A7A">
              <w:rPr>
                <w:rFonts w:cs="Arial"/>
                <w:b/>
              </w:rPr>
              <w:t xml:space="preserve"> 31, 2024</w:t>
            </w:r>
          </w:p>
        </w:tc>
        <w:tc>
          <w:tcPr>
            <w:tcW w:w="325" w:type="dxa"/>
            <w:gridSpan w:val="2"/>
            <w:tcBorders>
              <w:top w:val="single" w:sz="2" w:space="0" w:color="1F3864" w:themeColor="accent1" w:themeShade="80"/>
              <w:bottom w:val="single" w:sz="2" w:space="0" w:color="1F3864" w:themeColor="accent1" w:themeShade="80"/>
            </w:tcBorders>
            <w:shd w:val="clear" w:color="auto" w:fill="auto"/>
          </w:tcPr>
          <w:p w14:paraId="770787D8" w14:textId="77777777" w:rsidR="009817AF" w:rsidRPr="004C5A7A" w:rsidRDefault="009817AF">
            <w:pPr>
              <w:pStyle w:val="08-Tabelageral"/>
              <w:jc w:val="left"/>
              <w:rPr>
                <w:rFonts w:cs="Arial"/>
                <w:b/>
              </w:rPr>
            </w:pPr>
          </w:p>
        </w:tc>
        <w:tc>
          <w:tcPr>
            <w:tcW w:w="3082" w:type="dxa"/>
            <w:gridSpan w:val="2"/>
            <w:tcBorders>
              <w:top w:val="single" w:sz="2" w:space="0" w:color="1F3864" w:themeColor="accent1" w:themeShade="80"/>
              <w:bottom w:val="single" w:sz="2" w:space="0" w:color="1F3864" w:themeColor="accent1" w:themeShade="80"/>
            </w:tcBorders>
            <w:shd w:val="clear" w:color="auto" w:fill="auto"/>
            <w:vAlign w:val="center"/>
          </w:tcPr>
          <w:p w14:paraId="76F36FBD" w14:textId="77777777" w:rsidR="009817AF" w:rsidRPr="004C5A7A" w:rsidRDefault="009817AF">
            <w:pPr>
              <w:pStyle w:val="08-Tabelageral"/>
              <w:ind w:left="458" w:hanging="458"/>
              <w:jc w:val="center"/>
              <w:rPr>
                <w:rFonts w:cs="Arial"/>
                <w:b/>
              </w:rPr>
            </w:pPr>
            <w:proofErr w:type="spellStart"/>
            <w:r w:rsidRPr="004C5A7A">
              <w:rPr>
                <w:rFonts w:cs="Arial"/>
                <w:b/>
              </w:rPr>
              <w:t>Dec</w:t>
            </w:r>
            <w:proofErr w:type="spellEnd"/>
            <w:r w:rsidRPr="004C5A7A">
              <w:rPr>
                <w:rFonts w:cs="Arial"/>
                <w:b/>
              </w:rPr>
              <w:t xml:space="preserve"> 31, 2023</w:t>
            </w:r>
          </w:p>
        </w:tc>
      </w:tr>
      <w:tr w:rsidR="009817AF" w:rsidRPr="00D311AA" w14:paraId="27F51249" w14:textId="77777777">
        <w:trPr>
          <w:trHeight w:val="238"/>
          <w:jc w:val="center"/>
        </w:trPr>
        <w:tc>
          <w:tcPr>
            <w:tcW w:w="3268" w:type="dxa"/>
            <w:gridSpan w:val="2"/>
            <w:tcBorders>
              <w:top w:val="nil"/>
              <w:bottom w:val="single" w:sz="2" w:space="0" w:color="1F3864" w:themeColor="accent1" w:themeShade="80"/>
            </w:tcBorders>
            <w:shd w:val="clear" w:color="auto" w:fill="auto"/>
            <w:vAlign w:val="center"/>
          </w:tcPr>
          <w:p w14:paraId="07920225" w14:textId="77777777" w:rsidR="009817AF" w:rsidRPr="004C5A7A" w:rsidRDefault="009817AF">
            <w:pPr>
              <w:pStyle w:val="08-Tabelageral"/>
              <w:jc w:val="center"/>
              <w:rPr>
                <w:rFonts w:cs="Arial"/>
                <w:b/>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768EC55" w14:textId="77777777" w:rsidR="009817AF" w:rsidRPr="004C5A7A" w:rsidRDefault="009817AF">
            <w:pPr>
              <w:pStyle w:val="08-Tabelageral"/>
              <w:rPr>
                <w:rFonts w:cs="Arial"/>
                <w:b/>
                <w:szCs w:val="14"/>
              </w:rPr>
            </w:pPr>
            <w:r w:rsidRPr="004C5A7A">
              <w:rPr>
                <w:rFonts w:cs="Arial"/>
                <w:b/>
                <w:szCs w:val="14"/>
              </w:rPr>
              <w:t>Banco do Brasil</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5F3F36C5" w14:textId="77777777" w:rsidR="009817AF" w:rsidRPr="004C5A7A" w:rsidRDefault="009817AF">
            <w:pPr>
              <w:pStyle w:val="08-Tabelageral"/>
              <w:rPr>
                <w:rFonts w:cs="Arial"/>
                <w:b/>
                <w:szCs w:val="14"/>
              </w:rPr>
            </w:pPr>
            <w:r w:rsidRPr="004C5A7A">
              <w:rPr>
                <w:rFonts w:cs="Arial"/>
                <w:b/>
                <w:szCs w:val="14"/>
              </w:rPr>
              <w:t xml:space="preserve">Associates </w:t>
            </w:r>
            <w:proofErr w:type="spellStart"/>
            <w:r w:rsidRPr="004C5A7A">
              <w:rPr>
                <w:rFonts w:cs="Arial"/>
                <w:b/>
                <w:szCs w:val="14"/>
              </w:rPr>
              <w:t>and</w:t>
            </w:r>
            <w:proofErr w:type="spellEnd"/>
            <w:r w:rsidRPr="004C5A7A">
              <w:rPr>
                <w:rFonts w:cs="Arial"/>
                <w:b/>
                <w:szCs w:val="14"/>
              </w:rPr>
              <w:t xml:space="preserve"> joint ventures </w:t>
            </w:r>
            <w:r w:rsidRPr="004C5A7A">
              <w:rPr>
                <w:rFonts w:cs="Arial"/>
                <w:b/>
                <w:szCs w:val="14"/>
                <w:vertAlign w:val="superscript"/>
              </w:rPr>
              <w:t>(1)</w:t>
            </w:r>
          </w:p>
        </w:tc>
        <w:tc>
          <w:tcPr>
            <w:tcW w:w="284" w:type="dxa"/>
            <w:tcBorders>
              <w:top w:val="single" w:sz="2" w:space="0" w:color="9CC2E5" w:themeColor="accent5" w:themeTint="99"/>
              <w:bottom w:val="single" w:sz="2" w:space="0" w:color="1F3864" w:themeColor="accent1" w:themeShade="80"/>
            </w:tcBorders>
            <w:shd w:val="clear" w:color="auto" w:fill="auto"/>
            <w:vAlign w:val="center"/>
          </w:tcPr>
          <w:p w14:paraId="1724FEC2" w14:textId="77777777" w:rsidR="009817AF" w:rsidRPr="004C5A7A" w:rsidRDefault="009817AF">
            <w:pPr>
              <w:pStyle w:val="08-Tabelageral"/>
              <w:rPr>
                <w:rFonts w:cs="Arial"/>
                <w:b/>
                <w:szCs w:val="14"/>
              </w:rPr>
            </w:pPr>
          </w:p>
        </w:tc>
        <w:tc>
          <w:tcPr>
            <w:tcW w:w="1417" w:type="dxa"/>
            <w:gridSpan w:val="2"/>
            <w:tcBorders>
              <w:top w:val="single" w:sz="2" w:space="0" w:color="9CC2E5" w:themeColor="accent5" w:themeTint="99"/>
              <w:bottom w:val="single" w:sz="2" w:space="0" w:color="1F3864" w:themeColor="accent1" w:themeShade="80"/>
            </w:tcBorders>
            <w:shd w:val="clear" w:color="auto" w:fill="auto"/>
            <w:vAlign w:val="center"/>
          </w:tcPr>
          <w:p w14:paraId="014E0E21" w14:textId="77777777" w:rsidR="009817AF" w:rsidRPr="004C5A7A" w:rsidRDefault="009817AF">
            <w:pPr>
              <w:pStyle w:val="08-Tabelageral"/>
              <w:rPr>
                <w:rFonts w:cs="Arial"/>
                <w:b/>
                <w:szCs w:val="14"/>
              </w:rPr>
            </w:pPr>
            <w:r w:rsidRPr="004C5A7A">
              <w:rPr>
                <w:rFonts w:cs="Arial"/>
                <w:b/>
                <w:szCs w:val="14"/>
              </w:rPr>
              <w:t>Banco do Brasil</w:t>
            </w:r>
          </w:p>
        </w:tc>
        <w:tc>
          <w:tcPr>
            <w:tcW w:w="1706" w:type="dxa"/>
            <w:tcBorders>
              <w:top w:val="single" w:sz="2" w:space="0" w:color="9CC2E5" w:themeColor="accent5" w:themeTint="99"/>
              <w:bottom w:val="single" w:sz="2" w:space="0" w:color="1F3864" w:themeColor="accent1" w:themeShade="80"/>
            </w:tcBorders>
            <w:shd w:val="clear" w:color="auto" w:fill="auto"/>
            <w:vAlign w:val="center"/>
          </w:tcPr>
          <w:p w14:paraId="2A80BD90" w14:textId="77777777" w:rsidR="009817AF" w:rsidRPr="004C5A7A" w:rsidRDefault="009817AF">
            <w:pPr>
              <w:pStyle w:val="08-Tabelageral"/>
              <w:rPr>
                <w:rFonts w:cs="Arial"/>
                <w:b/>
                <w:szCs w:val="14"/>
              </w:rPr>
            </w:pPr>
            <w:r w:rsidRPr="004C5A7A">
              <w:rPr>
                <w:rFonts w:cs="Arial"/>
                <w:b/>
                <w:szCs w:val="14"/>
              </w:rPr>
              <w:t xml:space="preserve">Associates </w:t>
            </w:r>
            <w:proofErr w:type="spellStart"/>
            <w:r w:rsidRPr="004C5A7A">
              <w:rPr>
                <w:rFonts w:cs="Arial"/>
                <w:b/>
                <w:szCs w:val="14"/>
              </w:rPr>
              <w:t>and</w:t>
            </w:r>
            <w:proofErr w:type="spellEnd"/>
            <w:r w:rsidRPr="004C5A7A">
              <w:rPr>
                <w:rFonts w:cs="Arial"/>
                <w:b/>
                <w:szCs w:val="14"/>
              </w:rPr>
              <w:t xml:space="preserve"> joint ventures </w:t>
            </w:r>
            <w:r w:rsidRPr="004C5A7A">
              <w:rPr>
                <w:rFonts w:cs="Arial"/>
                <w:b/>
                <w:szCs w:val="14"/>
                <w:vertAlign w:val="superscript"/>
              </w:rPr>
              <w:t>(1)</w:t>
            </w:r>
          </w:p>
        </w:tc>
      </w:tr>
      <w:tr w:rsidR="009817AF" w:rsidRPr="00D311AA" w14:paraId="56F6D7FF" w14:textId="77777777">
        <w:trPr>
          <w:trHeight w:val="238"/>
          <w:jc w:val="center"/>
        </w:trPr>
        <w:tc>
          <w:tcPr>
            <w:tcW w:w="3268" w:type="dxa"/>
            <w:gridSpan w:val="2"/>
            <w:tcBorders>
              <w:top w:val="single" w:sz="2" w:space="0" w:color="1F3864" w:themeColor="accent1" w:themeShade="80"/>
            </w:tcBorders>
            <w:shd w:val="clear" w:color="auto" w:fill="auto"/>
          </w:tcPr>
          <w:p w14:paraId="7FCB38BE" w14:textId="77777777" w:rsidR="009817AF" w:rsidRPr="004C5A7A" w:rsidRDefault="009817AF">
            <w:pPr>
              <w:pStyle w:val="08-Tabelageral"/>
              <w:jc w:val="left"/>
              <w:rPr>
                <w:rFonts w:cs="Arial"/>
                <w:b/>
              </w:rPr>
            </w:pPr>
            <w:proofErr w:type="spellStart"/>
            <w:r w:rsidRPr="004C5A7A">
              <w:rPr>
                <w:rFonts w:cs="Arial"/>
                <w:b/>
              </w:rPr>
              <w:t>Assets</w:t>
            </w:r>
            <w:proofErr w:type="spellEnd"/>
          </w:p>
        </w:tc>
        <w:tc>
          <w:tcPr>
            <w:tcW w:w="1417" w:type="dxa"/>
            <w:tcBorders>
              <w:top w:val="single" w:sz="2" w:space="0" w:color="1F3864" w:themeColor="accent1" w:themeShade="80"/>
            </w:tcBorders>
            <w:shd w:val="clear" w:color="auto" w:fill="auto"/>
            <w:vAlign w:val="center"/>
          </w:tcPr>
          <w:p w14:paraId="324CDEC0" w14:textId="77777777" w:rsidR="009817AF" w:rsidRPr="004C5A7A" w:rsidRDefault="009817AF">
            <w:pPr>
              <w:pStyle w:val="08-Tabelageral"/>
              <w:rPr>
                <w:rFonts w:cs="Arial"/>
                <w:b/>
                <w:szCs w:val="14"/>
              </w:rPr>
            </w:pPr>
          </w:p>
        </w:tc>
        <w:tc>
          <w:tcPr>
            <w:tcW w:w="1559" w:type="dxa"/>
            <w:tcBorders>
              <w:top w:val="single" w:sz="2" w:space="0" w:color="1F3864" w:themeColor="accent1" w:themeShade="80"/>
            </w:tcBorders>
            <w:shd w:val="clear" w:color="auto" w:fill="auto"/>
            <w:vAlign w:val="center"/>
          </w:tcPr>
          <w:p w14:paraId="4A0A4870" w14:textId="77777777" w:rsidR="009817AF" w:rsidRPr="004C5A7A" w:rsidRDefault="009817AF">
            <w:pPr>
              <w:pStyle w:val="08-Tabelageral"/>
              <w:rPr>
                <w:rFonts w:cs="Arial"/>
                <w:b/>
                <w:szCs w:val="14"/>
              </w:rPr>
            </w:pPr>
          </w:p>
        </w:tc>
        <w:tc>
          <w:tcPr>
            <w:tcW w:w="284" w:type="dxa"/>
            <w:tcBorders>
              <w:top w:val="single" w:sz="2" w:space="0" w:color="1F3864" w:themeColor="accent1" w:themeShade="80"/>
            </w:tcBorders>
            <w:shd w:val="clear" w:color="auto" w:fill="auto"/>
            <w:vAlign w:val="center"/>
          </w:tcPr>
          <w:p w14:paraId="0789BE9E" w14:textId="77777777" w:rsidR="009817AF" w:rsidRPr="004C5A7A" w:rsidRDefault="009817AF">
            <w:pPr>
              <w:pStyle w:val="08-Tabelageral"/>
              <w:rPr>
                <w:rFonts w:cs="Arial"/>
                <w:b/>
              </w:rPr>
            </w:pPr>
          </w:p>
        </w:tc>
        <w:tc>
          <w:tcPr>
            <w:tcW w:w="1417" w:type="dxa"/>
            <w:gridSpan w:val="2"/>
            <w:tcBorders>
              <w:top w:val="single" w:sz="2" w:space="0" w:color="1F3864" w:themeColor="accent1" w:themeShade="80"/>
            </w:tcBorders>
            <w:shd w:val="clear" w:color="auto" w:fill="auto"/>
            <w:vAlign w:val="center"/>
          </w:tcPr>
          <w:p w14:paraId="4A626347" w14:textId="77777777" w:rsidR="009817AF" w:rsidRPr="004C5A7A" w:rsidRDefault="009817AF">
            <w:pPr>
              <w:pStyle w:val="08-Tabelageral"/>
              <w:rPr>
                <w:rFonts w:cs="Arial"/>
                <w:b/>
              </w:rPr>
            </w:pPr>
          </w:p>
        </w:tc>
        <w:tc>
          <w:tcPr>
            <w:tcW w:w="1706" w:type="dxa"/>
            <w:tcBorders>
              <w:top w:val="single" w:sz="2" w:space="0" w:color="1F3864" w:themeColor="accent1" w:themeShade="80"/>
            </w:tcBorders>
            <w:shd w:val="clear" w:color="auto" w:fill="auto"/>
            <w:vAlign w:val="center"/>
          </w:tcPr>
          <w:p w14:paraId="3B877741" w14:textId="77777777" w:rsidR="009817AF" w:rsidRPr="004C5A7A" w:rsidRDefault="009817AF">
            <w:pPr>
              <w:pStyle w:val="08-Tabelageral"/>
              <w:rPr>
                <w:rFonts w:cs="Arial"/>
                <w:b/>
              </w:rPr>
            </w:pPr>
          </w:p>
        </w:tc>
      </w:tr>
      <w:tr w:rsidR="009817AF" w:rsidRPr="00D311AA" w14:paraId="2E41D9A3" w14:textId="77777777">
        <w:trPr>
          <w:trHeight w:val="238"/>
          <w:jc w:val="center"/>
        </w:trPr>
        <w:tc>
          <w:tcPr>
            <w:tcW w:w="3268" w:type="dxa"/>
            <w:gridSpan w:val="2"/>
            <w:shd w:val="clear" w:color="auto" w:fill="auto"/>
          </w:tcPr>
          <w:p w14:paraId="56C9343E" w14:textId="77777777" w:rsidR="009817AF" w:rsidRPr="004C5A7A" w:rsidRDefault="009817AF">
            <w:pPr>
              <w:pStyle w:val="08-Tabelageral"/>
              <w:jc w:val="left"/>
              <w:rPr>
                <w:rFonts w:cs="Arial"/>
              </w:rPr>
            </w:pPr>
            <w:r w:rsidRPr="004C5A7A">
              <w:rPr>
                <w:rFonts w:cs="Arial"/>
              </w:rPr>
              <w:t xml:space="preserve">Cash </w:t>
            </w:r>
            <w:proofErr w:type="spellStart"/>
            <w:r w:rsidRPr="004C5A7A">
              <w:rPr>
                <w:rFonts w:cs="Arial"/>
              </w:rPr>
              <w:t>and</w:t>
            </w:r>
            <w:proofErr w:type="spellEnd"/>
            <w:r w:rsidRPr="004C5A7A">
              <w:rPr>
                <w:rFonts w:cs="Arial"/>
              </w:rPr>
              <w:t xml:space="preserve"> cash </w:t>
            </w:r>
            <w:proofErr w:type="spellStart"/>
            <w:r w:rsidRPr="004C5A7A">
              <w:rPr>
                <w:rFonts w:cs="Arial"/>
              </w:rPr>
              <w:t>equivalents</w:t>
            </w:r>
            <w:proofErr w:type="spellEnd"/>
          </w:p>
        </w:tc>
        <w:tc>
          <w:tcPr>
            <w:tcW w:w="1417" w:type="dxa"/>
            <w:tcBorders>
              <w:top w:val="nil"/>
            </w:tcBorders>
            <w:shd w:val="clear" w:color="auto" w:fill="auto"/>
            <w:vAlign w:val="center"/>
          </w:tcPr>
          <w:p w14:paraId="7FE609DC" w14:textId="77777777" w:rsidR="009817AF" w:rsidRPr="004C5A7A" w:rsidRDefault="009817AF">
            <w:pPr>
              <w:pStyle w:val="08-Tabelageral"/>
              <w:rPr>
                <w:rFonts w:cs="Arial"/>
              </w:rPr>
            </w:pPr>
            <w:r w:rsidRPr="004C5A7A">
              <w:rPr>
                <w:rFonts w:cs="Arial"/>
              </w:rPr>
              <w:t>7,789,875</w:t>
            </w:r>
          </w:p>
        </w:tc>
        <w:tc>
          <w:tcPr>
            <w:tcW w:w="1559" w:type="dxa"/>
            <w:tcBorders>
              <w:top w:val="nil"/>
            </w:tcBorders>
            <w:shd w:val="clear" w:color="auto" w:fill="auto"/>
            <w:vAlign w:val="center"/>
          </w:tcPr>
          <w:p w14:paraId="371526DF" w14:textId="77777777" w:rsidR="009817AF" w:rsidRPr="004C5A7A" w:rsidRDefault="009817AF">
            <w:pPr>
              <w:pStyle w:val="08-Tabelageral"/>
              <w:rPr>
                <w:rFonts w:cs="Arial"/>
              </w:rPr>
            </w:pPr>
            <w:r w:rsidRPr="004C5A7A">
              <w:rPr>
                <w:rFonts w:cs="Arial"/>
              </w:rPr>
              <w:t>--</w:t>
            </w:r>
          </w:p>
        </w:tc>
        <w:tc>
          <w:tcPr>
            <w:tcW w:w="284" w:type="dxa"/>
            <w:tcBorders>
              <w:top w:val="nil"/>
            </w:tcBorders>
            <w:shd w:val="clear" w:color="auto" w:fill="auto"/>
            <w:vAlign w:val="center"/>
          </w:tcPr>
          <w:p w14:paraId="41810CDB" w14:textId="77777777" w:rsidR="009817AF" w:rsidRPr="004C5A7A" w:rsidRDefault="009817AF">
            <w:pPr>
              <w:pStyle w:val="08-Tabelageral"/>
              <w:rPr>
                <w:rFonts w:cs="Arial"/>
                <w:lang w:eastAsia="en-US"/>
              </w:rPr>
            </w:pPr>
          </w:p>
        </w:tc>
        <w:tc>
          <w:tcPr>
            <w:tcW w:w="1417" w:type="dxa"/>
            <w:gridSpan w:val="2"/>
            <w:tcBorders>
              <w:top w:val="nil"/>
            </w:tcBorders>
            <w:shd w:val="clear" w:color="auto" w:fill="auto"/>
            <w:vAlign w:val="center"/>
          </w:tcPr>
          <w:p w14:paraId="0ED71137" w14:textId="77777777" w:rsidR="009817AF" w:rsidRPr="004C5A7A" w:rsidRDefault="009817AF">
            <w:pPr>
              <w:pStyle w:val="08-Tabelageral"/>
              <w:rPr>
                <w:rFonts w:cs="Arial"/>
              </w:rPr>
            </w:pPr>
            <w:r w:rsidRPr="004C5A7A">
              <w:rPr>
                <w:rFonts w:cs="Arial"/>
              </w:rPr>
              <w:t>4,752,742</w:t>
            </w:r>
          </w:p>
        </w:tc>
        <w:tc>
          <w:tcPr>
            <w:tcW w:w="1706" w:type="dxa"/>
            <w:tcBorders>
              <w:top w:val="nil"/>
            </w:tcBorders>
            <w:shd w:val="clear" w:color="auto" w:fill="auto"/>
            <w:vAlign w:val="center"/>
          </w:tcPr>
          <w:p w14:paraId="6BBC34C8" w14:textId="77777777" w:rsidR="009817AF" w:rsidRPr="004C5A7A" w:rsidRDefault="009817AF">
            <w:pPr>
              <w:pStyle w:val="08-Tabelageral"/>
              <w:rPr>
                <w:rFonts w:cs="Arial"/>
              </w:rPr>
            </w:pPr>
            <w:r w:rsidRPr="004C5A7A">
              <w:rPr>
                <w:rFonts w:cs="Arial"/>
              </w:rPr>
              <w:t>--</w:t>
            </w:r>
          </w:p>
        </w:tc>
      </w:tr>
      <w:tr w:rsidR="009817AF" w:rsidRPr="00D311AA" w14:paraId="06E003A2" w14:textId="77777777">
        <w:trPr>
          <w:trHeight w:val="238"/>
          <w:jc w:val="center"/>
        </w:trPr>
        <w:tc>
          <w:tcPr>
            <w:tcW w:w="3268" w:type="dxa"/>
            <w:gridSpan w:val="2"/>
            <w:shd w:val="clear" w:color="auto" w:fill="auto"/>
          </w:tcPr>
          <w:p w14:paraId="2F471B28" w14:textId="77777777" w:rsidR="009817AF" w:rsidRPr="004C5A7A" w:rsidRDefault="009817AF">
            <w:pPr>
              <w:pStyle w:val="08-Tabelageral"/>
              <w:jc w:val="left"/>
              <w:rPr>
                <w:rFonts w:cs="Arial"/>
                <w:lang w:val="en-US"/>
              </w:rPr>
            </w:pPr>
            <w:r w:rsidRPr="004C5A7A">
              <w:rPr>
                <w:rFonts w:cs="Arial"/>
                <w:lang w:val="en-US"/>
              </w:rPr>
              <w:t>Dividends/interest on equity receivable</w:t>
            </w:r>
          </w:p>
        </w:tc>
        <w:tc>
          <w:tcPr>
            <w:tcW w:w="1417" w:type="dxa"/>
            <w:shd w:val="clear" w:color="auto" w:fill="auto"/>
            <w:vAlign w:val="center"/>
          </w:tcPr>
          <w:p w14:paraId="55E9984F" w14:textId="77777777" w:rsidR="009817AF" w:rsidRPr="004C5A7A" w:rsidRDefault="009817AF">
            <w:pPr>
              <w:pStyle w:val="08-Tabelageral"/>
              <w:rPr>
                <w:rFonts w:cs="Arial"/>
              </w:rPr>
            </w:pPr>
            <w:r w:rsidRPr="004C5A7A">
              <w:rPr>
                <w:rFonts w:cs="Arial"/>
              </w:rPr>
              <w:t>--</w:t>
            </w:r>
          </w:p>
        </w:tc>
        <w:tc>
          <w:tcPr>
            <w:tcW w:w="1559" w:type="dxa"/>
            <w:shd w:val="clear" w:color="auto" w:fill="auto"/>
            <w:vAlign w:val="center"/>
          </w:tcPr>
          <w:p w14:paraId="7D84F32D" w14:textId="77777777" w:rsidR="009817AF" w:rsidRPr="004C5A7A" w:rsidRDefault="009817AF">
            <w:pPr>
              <w:pStyle w:val="08-Tabelageral"/>
              <w:rPr>
                <w:rFonts w:cs="Arial"/>
              </w:rPr>
            </w:pPr>
            <w:r w:rsidRPr="004C5A7A">
              <w:rPr>
                <w:rFonts w:cs="Arial"/>
              </w:rPr>
              <w:t>97,446</w:t>
            </w:r>
          </w:p>
        </w:tc>
        <w:tc>
          <w:tcPr>
            <w:tcW w:w="284" w:type="dxa"/>
            <w:shd w:val="clear" w:color="auto" w:fill="auto"/>
            <w:vAlign w:val="center"/>
          </w:tcPr>
          <w:p w14:paraId="7071F570" w14:textId="77777777" w:rsidR="009817AF" w:rsidRPr="004C5A7A" w:rsidRDefault="009817AF">
            <w:pPr>
              <w:pStyle w:val="08-Tabelageral"/>
              <w:rPr>
                <w:rFonts w:cs="Arial"/>
                <w:lang w:eastAsia="en-US"/>
              </w:rPr>
            </w:pPr>
          </w:p>
        </w:tc>
        <w:tc>
          <w:tcPr>
            <w:tcW w:w="1417" w:type="dxa"/>
            <w:gridSpan w:val="2"/>
            <w:shd w:val="clear" w:color="auto" w:fill="auto"/>
            <w:vAlign w:val="center"/>
          </w:tcPr>
          <w:p w14:paraId="5EE1BFB3" w14:textId="77777777" w:rsidR="009817AF" w:rsidRPr="004C5A7A" w:rsidRDefault="009817AF">
            <w:pPr>
              <w:pStyle w:val="08-Tabelageral"/>
              <w:rPr>
                <w:rFonts w:cs="Arial"/>
              </w:rPr>
            </w:pPr>
            <w:r w:rsidRPr="004C5A7A">
              <w:rPr>
                <w:rFonts w:cs="Arial"/>
              </w:rPr>
              <w:t>--</w:t>
            </w:r>
          </w:p>
        </w:tc>
        <w:tc>
          <w:tcPr>
            <w:tcW w:w="1706" w:type="dxa"/>
            <w:shd w:val="clear" w:color="auto" w:fill="auto"/>
            <w:vAlign w:val="center"/>
          </w:tcPr>
          <w:p w14:paraId="1584132B" w14:textId="77777777" w:rsidR="009817AF" w:rsidRPr="004C5A7A" w:rsidRDefault="009817AF">
            <w:pPr>
              <w:pStyle w:val="08-Tabelageral"/>
              <w:rPr>
                <w:rFonts w:cs="Arial"/>
              </w:rPr>
            </w:pPr>
            <w:r w:rsidRPr="004C5A7A">
              <w:rPr>
                <w:rFonts w:cs="Arial"/>
              </w:rPr>
              <w:t>444</w:t>
            </w:r>
          </w:p>
        </w:tc>
      </w:tr>
      <w:tr w:rsidR="009817AF" w:rsidRPr="00D311AA" w14:paraId="7CEDDE58" w14:textId="77777777">
        <w:trPr>
          <w:trHeight w:val="238"/>
          <w:jc w:val="center"/>
        </w:trPr>
        <w:tc>
          <w:tcPr>
            <w:tcW w:w="3268" w:type="dxa"/>
            <w:gridSpan w:val="2"/>
            <w:shd w:val="clear" w:color="auto" w:fill="auto"/>
          </w:tcPr>
          <w:p w14:paraId="5AF81B5E" w14:textId="77777777" w:rsidR="009817AF" w:rsidRPr="004C5A7A" w:rsidRDefault="009817AF">
            <w:pPr>
              <w:pStyle w:val="08-Tabelageral"/>
              <w:jc w:val="left"/>
              <w:rPr>
                <w:rFonts w:cs="Arial"/>
              </w:rPr>
            </w:pPr>
            <w:proofErr w:type="spellStart"/>
            <w:r w:rsidRPr="004C5A7A">
              <w:rPr>
                <w:rFonts w:cs="Arial"/>
              </w:rPr>
              <w:t>Commissions</w:t>
            </w:r>
            <w:proofErr w:type="spellEnd"/>
            <w:r w:rsidRPr="004C5A7A">
              <w:rPr>
                <w:rFonts w:cs="Arial"/>
              </w:rPr>
              <w:t xml:space="preserve"> </w:t>
            </w:r>
            <w:proofErr w:type="spellStart"/>
            <w:r w:rsidRPr="004C5A7A">
              <w:rPr>
                <w:rFonts w:cs="Arial"/>
              </w:rPr>
              <w:t>to</w:t>
            </w:r>
            <w:proofErr w:type="spellEnd"/>
            <w:r w:rsidRPr="004C5A7A">
              <w:rPr>
                <w:rFonts w:cs="Arial"/>
              </w:rPr>
              <w:t xml:space="preserve"> </w:t>
            </w:r>
            <w:proofErr w:type="spellStart"/>
            <w:r w:rsidRPr="004C5A7A">
              <w:rPr>
                <w:rFonts w:cs="Arial"/>
              </w:rPr>
              <w:t>be</w:t>
            </w:r>
            <w:proofErr w:type="spellEnd"/>
            <w:r w:rsidRPr="004C5A7A">
              <w:rPr>
                <w:rFonts w:cs="Arial"/>
              </w:rPr>
              <w:t xml:space="preserve"> </w:t>
            </w:r>
            <w:proofErr w:type="spellStart"/>
            <w:r w:rsidRPr="004C5A7A">
              <w:rPr>
                <w:rFonts w:cs="Arial"/>
              </w:rPr>
              <w:t>received</w:t>
            </w:r>
            <w:proofErr w:type="spellEnd"/>
          </w:p>
        </w:tc>
        <w:tc>
          <w:tcPr>
            <w:tcW w:w="1417" w:type="dxa"/>
            <w:shd w:val="clear" w:color="auto" w:fill="auto"/>
            <w:vAlign w:val="center"/>
          </w:tcPr>
          <w:p w14:paraId="7B3EC3DB" w14:textId="77777777" w:rsidR="009817AF" w:rsidRPr="004C5A7A" w:rsidRDefault="009817AF">
            <w:pPr>
              <w:pStyle w:val="08-Tabelageral"/>
              <w:rPr>
                <w:rFonts w:cs="Arial"/>
              </w:rPr>
            </w:pPr>
            <w:r w:rsidRPr="004C5A7A">
              <w:rPr>
                <w:rFonts w:cs="Arial"/>
              </w:rPr>
              <w:t>--</w:t>
            </w:r>
          </w:p>
        </w:tc>
        <w:tc>
          <w:tcPr>
            <w:tcW w:w="1559" w:type="dxa"/>
            <w:shd w:val="clear" w:color="auto" w:fill="auto"/>
            <w:vAlign w:val="center"/>
          </w:tcPr>
          <w:p w14:paraId="31EC992D" w14:textId="77777777" w:rsidR="009817AF" w:rsidRPr="004C5A7A" w:rsidRDefault="009817AF">
            <w:pPr>
              <w:pStyle w:val="08-Tabelageral"/>
              <w:rPr>
                <w:rFonts w:cs="Arial"/>
              </w:rPr>
            </w:pPr>
            <w:r w:rsidRPr="004C5A7A">
              <w:rPr>
                <w:rFonts w:cs="Arial"/>
              </w:rPr>
              <w:t>2,591,329</w:t>
            </w:r>
          </w:p>
        </w:tc>
        <w:tc>
          <w:tcPr>
            <w:tcW w:w="284" w:type="dxa"/>
            <w:shd w:val="clear" w:color="auto" w:fill="auto"/>
            <w:vAlign w:val="center"/>
          </w:tcPr>
          <w:p w14:paraId="5CBD2D7C" w14:textId="77777777" w:rsidR="009817AF" w:rsidRPr="004C5A7A" w:rsidRDefault="009817AF">
            <w:pPr>
              <w:pStyle w:val="08-Tabelageral"/>
              <w:rPr>
                <w:rFonts w:cs="Arial"/>
                <w:lang w:eastAsia="en-US"/>
              </w:rPr>
            </w:pPr>
          </w:p>
        </w:tc>
        <w:tc>
          <w:tcPr>
            <w:tcW w:w="1417" w:type="dxa"/>
            <w:gridSpan w:val="2"/>
            <w:shd w:val="clear" w:color="auto" w:fill="auto"/>
            <w:vAlign w:val="center"/>
          </w:tcPr>
          <w:p w14:paraId="6086DB97" w14:textId="77777777" w:rsidR="009817AF" w:rsidRPr="004C5A7A" w:rsidRDefault="009817AF">
            <w:pPr>
              <w:pStyle w:val="08-Tabelageral"/>
              <w:rPr>
                <w:rFonts w:cs="Arial"/>
              </w:rPr>
            </w:pPr>
            <w:r w:rsidRPr="004C5A7A">
              <w:rPr>
                <w:rFonts w:cs="Arial"/>
              </w:rPr>
              <w:t>--</w:t>
            </w:r>
          </w:p>
        </w:tc>
        <w:tc>
          <w:tcPr>
            <w:tcW w:w="1706" w:type="dxa"/>
            <w:shd w:val="clear" w:color="auto" w:fill="auto"/>
            <w:vAlign w:val="center"/>
          </w:tcPr>
          <w:p w14:paraId="30A31F20" w14:textId="77777777" w:rsidR="009817AF" w:rsidRPr="004C5A7A" w:rsidRDefault="009817AF">
            <w:pPr>
              <w:pStyle w:val="08-Tabelageral"/>
              <w:rPr>
                <w:rFonts w:cs="Arial"/>
              </w:rPr>
            </w:pPr>
            <w:r w:rsidRPr="004C5A7A">
              <w:rPr>
                <w:rFonts w:cs="Arial"/>
              </w:rPr>
              <w:t>2,097,779</w:t>
            </w:r>
          </w:p>
        </w:tc>
      </w:tr>
      <w:tr w:rsidR="009817AF" w:rsidRPr="00D863D5" w14:paraId="01D30A76" w14:textId="77777777">
        <w:trPr>
          <w:trHeight w:val="238"/>
          <w:jc w:val="center"/>
        </w:trPr>
        <w:tc>
          <w:tcPr>
            <w:tcW w:w="3268" w:type="dxa"/>
            <w:gridSpan w:val="2"/>
            <w:shd w:val="clear" w:color="auto" w:fill="auto"/>
          </w:tcPr>
          <w:p w14:paraId="4C77E05C" w14:textId="77777777" w:rsidR="009817AF" w:rsidRPr="004C5A7A" w:rsidRDefault="009817AF">
            <w:pPr>
              <w:pStyle w:val="08-Tabelageral"/>
              <w:jc w:val="left"/>
              <w:rPr>
                <w:rFonts w:cs="Arial"/>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1417" w:type="dxa"/>
            <w:shd w:val="clear" w:color="auto" w:fill="auto"/>
            <w:vAlign w:val="center"/>
          </w:tcPr>
          <w:p w14:paraId="2DE71625" w14:textId="77777777" w:rsidR="009817AF" w:rsidRPr="004C5A7A" w:rsidRDefault="009817AF">
            <w:pPr>
              <w:pStyle w:val="08-Tabelageral"/>
              <w:rPr>
                <w:rFonts w:cs="Arial"/>
              </w:rPr>
            </w:pPr>
            <w:r w:rsidRPr="004C5A7A">
              <w:rPr>
                <w:rFonts w:cs="Arial"/>
              </w:rPr>
              <w:t>--</w:t>
            </w:r>
          </w:p>
        </w:tc>
        <w:tc>
          <w:tcPr>
            <w:tcW w:w="1559" w:type="dxa"/>
            <w:shd w:val="clear" w:color="auto" w:fill="auto"/>
            <w:vAlign w:val="center"/>
          </w:tcPr>
          <w:p w14:paraId="1549526D" w14:textId="77777777" w:rsidR="009817AF" w:rsidRPr="004C5A7A" w:rsidRDefault="009817AF">
            <w:pPr>
              <w:pStyle w:val="08-Tabelageral"/>
              <w:rPr>
                <w:rFonts w:cs="Arial"/>
              </w:rPr>
            </w:pPr>
            <w:r w:rsidRPr="004C5A7A">
              <w:rPr>
                <w:rFonts w:cs="Arial"/>
              </w:rPr>
              <w:t>2,993</w:t>
            </w:r>
          </w:p>
        </w:tc>
        <w:tc>
          <w:tcPr>
            <w:tcW w:w="284" w:type="dxa"/>
            <w:shd w:val="clear" w:color="auto" w:fill="auto"/>
            <w:vAlign w:val="center"/>
          </w:tcPr>
          <w:p w14:paraId="38EBCFED" w14:textId="77777777" w:rsidR="009817AF" w:rsidRPr="004C5A7A" w:rsidRDefault="009817AF">
            <w:pPr>
              <w:pStyle w:val="08-Tabelageral"/>
              <w:rPr>
                <w:rFonts w:cs="Arial"/>
              </w:rPr>
            </w:pPr>
          </w:p>
        </w:tc>
        <w:tc>
          <w:tcPr>
            <w:tcW w:w="1417" w:type="dxa"/>
            <w:gridSpan w:val="2"/>
            <w:shd w:val="clear" w:color="auto" w:fill="auto"/>
            <w:vAlign w:val="center"/>
          </w:tcPr>
          <w:p w14:paraId="49949701" w14:textId="77777777" w:rsidR="009817AF" w:rsidRPr="004C5A7A" w:rsidRDefault="009817AF">
            <w:pPr>
              <w:pStyle w:val="08-Tabelageral"/>
              <w:rPr>
                <w:rFonts w:cs="Arial"/>
              </w:rPr>
            </w:pPr>
            <w:r w:rsidRPr="004C5A7A">
              <w:rPr>
                <w:rFonts w:cs="Arial"/>
              </w:rPr>
              <w:t>--</w:t>
            </w:r>
          </w:p>
        </w:tc>
        <w:tc>
          <w:tcPr>
            <w:tcW w:w="1706" w:type="dxa"/>
            <w:shd w:val="clear" w:color="auto" w:fill="auto"/>
            <w:vAlign w:val="center"/>
          </w:tcPr>
          <w:p w14:paraId="6471EE62" w14:textId="77777777" w:rsidR="009817AF" w:rsidRPr="004C5A7A" w:rsidRDefault="009817AF">
            <w:pPr>
              <w:pStyle w:val="08-Tabelageral"/>
              <w:rPr>
                <w:rFonts w:cs="Arial"/>
              </w:rPr>
            </w:pPr>
            <w:r w:rsidRPr="004C5A7A">
              <w:rPr>
                <w:rFonts w:cs="Arial"/>
              </w:rPr>
              <w:t>--</w:t>
            </w:r>
          </w:p>
        </w:tc>
      </w:tr>
      <w:tr w:rsidR="009817AF" w:rsidRPr="00D311AA" w14:paraId="69BBFC8B" w14:textId="77777777">
        <w:trPr>
          <w:trHeight w:val="238"/>
          <w:jc w:val="center"/>
        </w:trPr>
        <w:tc>
          <w:tcPr>
            <w:tcW w:w="3268" w:type="dxa"/>
            <w:gridSpan w:val="2"/>
            <w:shd w:val="clear" w:color="auto" w:fill="auto"/>
          </w:tcPr>
          <w:p w14:paraId="1844F0B7" w14:textId="77777777" w:rsidR="009817AF" w:rsidRPr="004C5A7A" w:rsidRDefault="009817AF">
            <w:pPr>
              <w:pStyle w:val="08-Tabelageral"/>
              <w:jc w:val="left"/>
              <w:rPr>
                <w:rFonts w:cs="Arial"/>
                <w:b/>
              </w:rPr>
            </w:pPr>
            <w:proofErr w:type="spellStart"/>
            <w:r w:rsidRPr="004C5A7A">
              <w:rPr>
                <w:rFonts w:cs="Arial"/>
                <w:b/>
              </w:rPr>
              <w:t>Liabilities</w:t>
            </w:r>
            <w:proofErr w:type="spellEnd"/>
          </w:p>
        </w:tc>
        <w:tc>
          <w:tcPr>
            <w:tcW w:w="1417" w:type="dxa"/>
            <w:shd w:val="clear" w:color="auto" w:fill="auto"/>
            <w:vAlign w:val="center"/>
          </w:tcPr>
          <w:p w14:paraId="27D35787" w14:textId="77777777" w:rsidR="009817AF" w:rsidRPr="004C5A7A" w:rsidRDefault="009817AF">
            <w:pPr>
              <w:pStyle w:val="08-Tabelageral"/>
              <w:rPr>
                <w:rFonts w:cs="Arial"/>
                <w:b/>
              </w:rPr>
            </w:pPr>
          </w:p>
        </w:tc>
        <w:tc>
          <w:tcPr>
            <w:tcW w:w="1559" w:type="dxa"/>
            <w:shd w:val="clear" w:color="auto" w:fill="auto"/>
            <w:vAlign w:val="center"/>
          </w:tcPr>
          <w:p w14:paraId="71D1A59D" w14:textId="77777777" w:rsidR="009817AF" w:rsidRPr="004C5A7A" w:rsidRDefault="009817AF">
            <w:pPr>
              <w:pStyle w:val="08-Tabelageral"/>
              <w:rPr>
                <w:rFonts w:cs="Arial"/>
                <w:b/>
              </w:rPr>
            </w:pPr>
          </w:p>
        </w:tc>
        <w:tc>
          <w:tcPr>
            <w:tcW w:w="284" w:type="dxa"/>
            <w:shd w:val="clear" w:color="auto" w:fill="auto"/>
            <w:vAlign w:val="center"/>
          </w:tcPr>
          <w:p w14:paraId="12CB747E" w14:textId="77777777" w:rsidR="009817AF" w:rsidRPr="004C5A7A" w:rsidRDefault="009817AF">
            <w:pPr>
              <w:pStyle w:val="08-Tabelageral"/>
              <w:rPr>
                <w:rFonts w:cs="Arial"/>
                <w:b/>
              </w:rPr>
            </w:pPr>
          </w:p>
        </w:tc>
        <w:tc>
          <w:tcPr>
            <w:tcW w:w="1417" w:type="dxa"/>
            <w:gridSpan w:val="2"/>
            <w:shd w:val="clear" w:color="auto" w:fill="auto"/>
            <w:vAlign w:val="center"/>
          </w:tcPr>
          <w:p w14:paraId="2240D460" w14:textId="77777777" w:rsidR="009817AF" w:rsidRPr="004C5A7A" w:rsidRDefault="009817AF">
            <w:pPr>
              <w:pStyle w:val="08-Tabelageral"/>
              <w:rPr>
                <w:rFonts w:cs="Arial"/>
                <w:b/>
              </w:rPr>
            </w:pPr>
          </w:p>
        </w:tc>
        <w:tc>
          <w:tcPr>
            <w:tcW w:w="1706" w:type="dxa"/>
            <w:shd w:val="clear" w:color="auto" w:fill="auto"/>
            <w:vAlign w:val="center"/>
          </w:tcPr>
          <w:p w14:paraId="2C202F1B" w14:textId="77777777" w:rsidR="009817AF" w:rsidRPr="004C5A7A" w:rsidRDefault="009817AF">
            <w:pPr>
              <w:pStyle w:val="08-Tabelageral"/>
              <w:rPr>
                <w:rFonts w:cs="Arial"/>
                <w:b/>
              </w:rPr>
            </w:pPr>
          </w:p>
        </w:tc>
      </w:tr>
      <w:tr w:rsidR="009817AF" w:rsidRPr="00D311AA" w14:paraId="36E6C465" w14:textId="77777777">
        <w:trPr>
          <w:trHeight w:val="238"/>
          <w:jc w:val="center"/>
        </w:trPr>
        <w:tc>
          <w:tcPr>
            <w:tcW w:w="3268" w:type="dxa"/>
            <w:gridSpan w:val="2"/>
            <w:shd w:val="clear" w:color="auto" w:fill="auto"/>
          </w:tcPr>
          <w:p w14:paraId="6BD44340" w14:textId="77777777" w:rsidR="009817AF" w:rsidRPr="004C5A7A" w:rsidRDefault="009817AF">
            <w:pPr>
              <w:pStyle w:val="08-Tabelageral"/>
              <w:jc w:val="left"/>
              <w:rPr>
                <w:rFonts w:cs="Arial"/>
              </w:rPr>
            </w:pPr>
            <w:r w:rsidRPr="004C5A7A">
              <w:rPr>
                <w:rFonts w:cs="Arial"/>
              </w:rPr>
              <w:t xml:space="preserve">Social </w:t>
            </w:r>
            <w:proofErr w:type="spellStart"/>
            <w:r w:rsidRPr="004C5A7A">
              <w:rPr>
                <w:rFonts w:cs="Arial"/>
              </w:rPr>
              <w:t>and</w:t>
            </w:r>
            <w:proofErr w:type="spellEnd"/>
            <w:r w:rsidRPr="004C5A7A">
              <w:rPr>
                <w:rFonts w:cs="Arial"/>
              </w:rPr>
              <w:t xml:space="preserve"> </w:t>
            </w:r>
            <w:proofErr w:type="spellStart"/>
            <w:r w:rsidRPr="004C5A7A">
              <w:rPr>
                <w:rFonts w:cs="Arial"/>
              </w:rPr>
              <w:t>statutory</w:t>
            </w:r>
            <w:proofErr w:type="spellEnd"/>
            <w:r w:rsidRPr="004C5A7A">
              <w:rPr>
                <w:rFonts w:cs="Arial"/>
              </w:rPr>
              <w:t xml:space="preserve"> </w:t>
            </w:r>
            <w:proofErr w:type="spellStart"/>
            <w:r w:rsidRPr="004C5A7A">
              <w:rPr>
                <w:rFonts w:cs="Arial"/>
              </w:rPr>
              <w:t>obligations</w:t>
            </w:r>
            <w:proofErr w:type="spellEnd"/>
          </w:p>
        </w:tc>
        <w:tc>
          <w:tcPr>
            <w:tcW w:w="1417" w:type="dxa"/>
            <w:shd w:val="clear" w:color="auto" w:fill="auto"/>
            <w:vAlign w:val="center"/>
          </w:tcPr>
          <w:p w14:paraId="4924D786" w14:textId="77777777" w:rsidR="009817AF" w:rsidRPr="004C5A7A" w:rsidRDefault="009817AF">
            <w:pPr>
              <w:pStyle w:val="08-Tabelageral"/>
              <w:rPr>
                <w:rFonts w:cs="Arial"/>
              </w:rPr>
            </w:pPr>
            <w:r w:rsidRPr="004C5A7A">
              <w:rPr>
                <w:rFonts w:cs="Arial"/>
              </w:rPr>
              <w:t>2,922,517</w:t>
            </w:r>
          </w:p>
        </w:tc>
        <w:tc>
          <w:tcPr>
            <w:tcW w:w="1559" w:type="dxa"/>
            <w:shd w:val="clear" w:color="auto" w:fill="auto"/>
            <w:vAlign w:val="center"/>
          </w:tcPr>
          <w:p w14:paraId="256D1177" w14:textId="77777777" w:rsidR="009817AF" w:rsidRPr="004C5A7A" w:rsidRDefault="009817AF">
            <w:pPr>
              <w:pStyle w:val="08-Tabelageral"/>
              <w:rPr>
                <w:rFonts w:cs="Arial"/>
              </w:rPr>
            </w:pPr>
            <w:r w:rsidRPr="004C5A7A">
              <w:rPr>
                <w:rFonts w:cs="Arial"/>
              </w:rPr>
              <w:t>--</w:t>
            </w:r>
          </w:p>
        </w:tc>
        <w:tc>
          <w:tcPr>
            <w:tcW w:w="284" w:type="dxa"/>
            <w:shd w:val="clear" w:color="auto" w:fill="auto"/>
            <w:vAlign w:val="center"/>
          </w:tcPr>
          <w:p w14:paraId="6443B747" w14:textId="77777777" w:rsidR="009817AF" w:rsidRPr="004C5A7A" w:rsidRDefault="009817AF">
            <w:pPr>
              <w:pStyle w:val="08-Tabelageral"/>
              <w:rPr>
                <w:rFonts w:cs="Arial"/>
                <w:lang w:eastAsia="en-US"/>
              </w:rPr>
            </w:pPr>
          </w:p>
        </w:tc>
        <w:tc>
          <w:tcPr>
            <w:tcW w:w="1417" w:type="dxa"/>
            <w:gridSpan w:val="2"/>
            <w:shd w:val="clear" w:color="auto" w:fill="auto"/>
            <w:vAlign w:val="center"/>
          </w:tcPr>
          <w:p w14:paraId="14DB0FB6" w14:textId="77777777" w:rsidR="009817AF" w:rsidRPr="004C5A7A" w:rsidRDefault="009817AF">
            <w:pPr>
              <w:pStyle w:val="08-Tabelageral"/>
              <w:rPr>
                <w:rFonts w:cs="Arial"/>
              </w:rPr>
            </w:pPr>
            <w:r w:rsidRPr="004C5A7A">
              <w:rPr>
                <w:rFonts w:cs="Arial"/>
              </w:rPr>
              <w:t>1,626,642</w:t>
            </w:r>
          </w:p>
        </w:tc>
        <w:tc>
          <w:tcPr>
            <w:tcW w:w="1706" w:type="dxa"/>
            <w:shd w:val="clear" w:color="auto" w:fill="auto"/>
            <w:vAlign w:val="center"/>
          </w:tcPr>
          <w:p w14:paraId="32F688B1" w14:textId="77777777" w:rsidR="009817AF" w:rsidRPr="004C5A7A" w:rsidRDefault="009817AF">
            <w:pPr>
              <w:pStyle w:val="08-Tabelageral"/>
              <w:rPr>
                <w:rFonts w:cs="Arial"/>
              </w:rPr>
            </w:pPr>
            <w:r w:rsidRPr="004C5A7A">
              <w:rPr>
                <w:rFonts w:cs="Arial"/>
              </w:rPr>
              <w:t>--</w:t>
            </w:r>
          </w:p>
        </w:tc>
      </w:tr>
      <w:tr w:rsidR="009817AF" w:rsidRPr="00D311AA" w14:paraId="3F91EE34" w14:textId="77777777">
        <w:trPr>
          <w:trHeight w:val="238"/>
          <w:jc w:val="center"/>
        </w:trPr>
        <w:tc>
          <w:tcPr>
            <w:tcW w:w="3268" w:type="dxa"/>
            <w:gridSpan w:val="2"/>
            <w:tcBorders>
              <w:bottom w:val="nil"/>
            </w:tcBorders>
            <w:shd w:val="clear" w:color="auto" w:fill="auto"/>
          </w:tcPr>
          <w:p w14:paraId="4E092537" w14:textId="77777777" w:rsidR="009817AF" w:rsidRPr="004C5A7A" w:rsidRDefault="009817AF">
            <w:pPr>
              <w:pStyle w:val="08-Tabelageral"/>
              <w:jc w:val="left"/>
              <w:rPr>
                <w:rFonts w:cs="Arial"/>
              </w:rPr>
            </w:pPr>
            <w:proofErr w:type="spellStart"/>
            <w:r w:rsidRPr="004C5A7A">
              <w:rPr>
                <w:rFonts w:cs="Arial"/>
              </w:rPr>
              <w:t>Obligations</w:t>
            </w:r>
            <w:proofErr w:type="spellEnd"/>
            <w:r w:rsidRPr="004C5A7A">
              <w:rPr>
                <w:rFonts w:cs="Arial"/>
              </w:rPr>
              <w:t xml:space="preserve"> </w:t>
            </w:r>
            <w:proofErr w:type="spellStart"/>
            <w:r w:rsidRPr="004C5A7A">
              <w:rPr>
                <w:rFonts w:cs="Arial"/>
              </w:rPr>
              <w:t>with</w:t>
            </w:r>
            <w:proofErr w:type="spellEnd"/>
            <w:r w:rsidRPr="004C5A7A">
              <w:rPr>
                <w:rFonts w:cs="Arial"/>
              </w:rPr>
              <w:t xml:space="preserve"> </w:t>
            </w:r>
            <w:proofErr w:type="spellStart"/>
            <w:r w:rsidRPr="004C5A7A">
              <w:rPr>
                <w:rFonts w:cs="Arial"/>
              </w:rPr>
              <w:t>related</w:t>
            </w:r>
            <w:proofErr w:type="spellEnd"/>
            <w:r w:rsidRPr="004C5A7A">
              <w:rPr>
                <w:rFonts w:cs="Arial"/>
              </w:rPr>
              <w:t xml:space="preserve"> </w:t>
            </w:r>
            <w:proofErr w:type="spellStart"/>
            <w:r w:rsidRPr="004C5A7A">
              <w:rPr>
                <w:rFonts w:cs="Arial"/>
              </w:rPr>
              <w:t>parties</w:t>
            </w:r>
            <w:proofErr w:type="spellEnd"/>
            <w:r w:rsidRPr="004C5A7A">
              <w:rPr>
                <w:rFonts w:cs="Arial"/>
              </w:rPr>
              <w:t xml:space="preserve"> </w:t>
            </w:r>
            <w:r w:rsidRPr="004C5A7A">
              <w:rPr>
                <w:rFonts w:cs="Arial"/>
                <w:vertAlign w:val="superscript"/>
              </w:rPr>
              <w:t>(2)</w:t>
            </w:r>
          </w:p>
        </w:tc>
        <w:tc>
          <w:tcPr>
            <w:tcW w:w="1417" w:type="dxa"/>
            <w:tcBorders>
              <w:bottom w:val="nil"/>
            </w:tcBorders>
            <w:shd w:val="clear" w:color="auto" w:fill="auto"/>
            <w:vAlign w:val="center"/>
          </w:tcPr>
          <w:p w14:paraId="4FE5969B" w14:textId="77777777" w:rsidR="009817AF" w:rsidRPr="004C5A7A" w:rsidRDefault="009817AF">
            <w:pPr>
              <w:pStyle w:val="08-Tabelageral"/>
              <w:rPr>
                <w:rFonts w:cs="Arial"/>
              </w:rPr>
            </w:pPr>
            <w:r w:rsidRPr="004C5A7A">
              <w:rPr>
                <w:rFonts w:cs="Arial"/>
              </w:rPr>
              <w:t>22,968</w:t>
            </w:r>
          </w:p>
        </w:tc>
        <w:tc>
          <w:tcPr>
            <w:tcW w:w="1559" w:type="dxa"/>
            <w:tcBorders>
              <w:bottom w:val="nil"/>
            </w:tcBorders>
            <w:shd w:val="clear" w:color="auto" w:fill="auto"/>
            <w:vAlign w:val="center"/>
          </w:tcPr>
          <w:p w14:paraId="35CF9A2A" w14:textId="77777777" w:rsidR="009817AF" w:rsidRPr="004C5A7A" w:rsidRDefault="009817AF">
            <w:pPr>
              <w:pStyle w:val="08-Tabelageral"/>
              <w:rPr>
                <w:rFonts w:cs="Arial"/>
              </w:rPr>
            </w:pPr>
            <w:r w:rsidRPr="004C5A7A">
              <w:rPr>
                <w:rFonts w:cs="Arial"/>
              </w:rPr>
              <w:t>36,079</w:t>
            </w:r>
          </w:p>
        </w:tc>
        <w:tc>
          <w:tcPr>
            <w:tcW w:w="284" w:type="dxa"/>
            <w:tcBorders>
              <w:bottom w:val="nil"/>
            </w:tcBorders>
            <w:shd w:val="clear" w:color="auto" w:fill="auto"/>
            <w:vAlign w:val="center"/>
          </w:tcPr>
          <w:p w14:paraId="785A1FA3" w14:textId="77777777" w:rsidR="009817AF" w:rsidRPr="004C5A7A" w:rsidRDefault="009817AF">
            <w:pPr>
              <w:pStyle w:val="08-Tabelageral"/>
              <w:rPr>
                <w:rFonts w:cs="Arial"/>
                <w:lang w:eastAsia="en-US"/>
              </w:rPr>
            </w:pPr>
          </w:p>
        </w:tc>
        <w:tc>
          <w:tcPr>
            <w:tcW w:w="1417" w:type="dxa"/>
            <w:gridSpan w:val="2"/>
            <w:tcBorders>
              <w:bottom w:val="nil"/>
            </w:tcBorders>
            <w:shd w:val="clear" w:color="auto" w:fill="auto"/>
            <w:vAlign w:val="center"/>
          </w:tcPr>
          <w:p w14:paraId="347C9D03" w14:textId="77777777" w:rsidR="009817AF" w:rsidRPr="004C5A7A" w:rsidRDefault="009817AF">
            <w:pPr>
              <w:pStyle w:val="08-Tabelageral"/>
              <w:rPr>
                <w:rFonts w:cs="Arial"/>
              </w:rPr>
            </w:pPr>
            <w:r w:rsidRPr="004C5A7A">
              <w:rPr>
                <w:rFonts w:cs="Arial"/>
              </w:rPr>
              <w:t>29,430</w:t>
            </w:r>
          </w:p>
        </w:tc>
        <w:tc>
          <w:tcPr>
            <w:tcW w:w="1706" w:type="dxa"/>
            <w:tcBorders>
              <w:bottom w:val="nil"/>
            </w:tcBorders>
            <w:shd w:val="clear" w:color="auto" w:fill="auto"/>
            <w:vAlign w:val="center"/>
          </w:tcPr>
          <w:p w14:paraId="2BA04C0A" w14:textId="77777777" w:rsidR="009817AF" w:rsidRPr="004C5A7A" w:rsidRDefault="009817AF">
            <w:pPr>
              <w:pStyle w:val="08-Tabelageral"/>
              <w:rPr>
                <w:rFonts w:cs="Arial"/>
              </w:rPr>
            </w:pPr>
            <w:r w:rsidRPr="004C5A7A">
              <w:rPr>
                <w:rFonts w:cs="Arial"/>
              </w:rPr>
              <w:t>58,792</w:t>
            </w:r>
          </w:p>
        </w:tc>
      </w:tr>
      <w:tr w:rsidR="009817AF" w:rsidRPr="00D311AA" w14:paraId="48392D4B" w14:textId="77777777">
        <w:trPr>
          <w:trHeight w:val="238"/>
          <w:jc w:val="center"/>
        </w:trPr>
        <w:tc>
          <w:tcPr>
            <w:tcW w:w="3268" w:type="dxa"/>
            <w:gridSpan w:val="2"/>
            <w:tcBorders>
              <w:top w:val="nil"/>
              <w:bottom w:val="single" w:sz="2" w:space="0" w:color="1F3864" w:themeColor="accent1" w:themeShade="80"/>
            </w:tcBorders>
            <w:shd w:val="clear" w:color="auto" w:fill="auto"/>
          </w:tcPr>
          <w:p w14:paraId="5C6C212C" w14:textId="77777777" w:rsidR="009817AF" w:rsidRPr="004C5A7A" w:rsidRDefault="009817AF">
            <w:pPr>
              <w:pStyle w:val="08-Tabelageral"/>
              <w:jc w:val="left"/>
              <w:rPr>
                <w:rFonts w:cs="Arial"/>
              </w:rPr>
            </w:pPr>
            <w:proofErr w:type="spellStart"/>
            <w:r w:rsidRPr="004C5A7A">
              <w:rPr>
                <w:rFonts w:cs="Arial"/>
              </w:rPr>
              <w:t>Unearned</w:t>
            </w:r>
            <w:proofErr w:type="spellEnd"/>
            <w:r w:rsidRPr="004C5A7A">
              <w:rPr>
                <w:rFonts w:cs="Arial"/>
              </w:rPr>
              <w:t xml:space="preserve"> </w:t>
            </w:r>
            <w:proofErr w:type="spellStart"/>
            <w:r w:rsidRPr="004C5A7A">
              <w:rPr>
                <w:rFonts w:cs="Arial"/>
              </w:rPr>
              <w:t>Commissions</w:t>
            </w:r>
            <w:proofErr w:type="spellEnd"/>
          </w:p>
        </w:tc>
        <w:tc>
          <w:tcPr>
            <w:tcW w:w="1417" w:type="dxa"/>
            <w:tcBorders>
              <w:top w:val="nil"/>
              <w:bottom w:val="single" w:sz="2" w:space="0" w:color="1F3864" w:themeColor="accent1" w:themeShade="80"/>
            </w:tcBorders>
            <w:shd w:val="clear" w:color="auto" w:fill="auto"/>
            <w:vAlign w:val="center"/>
          </w:tcPr>
          <w:p w14:paraId="3B417E7C" w14:textId="77777777" w:rsidR="009817AF" w:rsidRPr="004C5A7A" w:rsidRDefault="009817AF">
            <w:pPr>
              <w:pStyle w:val="08-Tabelageral"/>
              <w:rPr>
                <w:rFonts w:cs="Arial"/>
              </w:rPr>
            </w:pPr>
            <w:r w:rsidRPr="004C5A7A">
              <w:rPr>
                <w:rFonts w:cs="Arial"/>
              </w:rPr>
              <w:t>--</w:t>
            </w:r>
          </w:p>
        </w:tc>
        <w:tc>
          <w:tcPr>
            <w:tcW w:w="1559" w:type="dxa"/>
            <w:tcBorders>
              <w:top w:val="nil"/>
              <w:bottom w:val="single" w:sz="2" w:space="0" w:color="1F3864" w:themeColor="accent1" w:themeShade="80"/>
            </w:tcBorders>
            <w:shd w:val="clear" w:color="auto" w:fill="auto"/>
            <w:vAlign w:val="center"/>
          </w:tcPr>
          <w:p w14:paraId="5A9E2B4B" w14:textId="77777777" w:rsidR="009817AF" w:rsidRPr="004C5A7A" w:rsidRDefault="009817AF">
            <w:pPr>
              <w:pStyle w:val="08-Tabelageral"/>
              <w:rPr>
                <w:rFonts w:cs="Arial"/>
              </w:rPr>
            </w:pPr>
            <w:r w:rsidRPr="004C5A7A">
              <w:rPr>
                <w:rFonts w:cs="Arial"/>
              </w:rPr>
              <w:t>5,897,562</w:t>
            </w:r>
          </w:p>
        </w:tc>
        <w:tc>
          <w:tcPr>
            <w:tcW w:w="284" w:type="dxa"/>
            <w:tcBorders>
              <w:top w:val="nil"/>
              <w:bottom w:val="single" w:sz="2" w:space="0" w:color="1F3864" w:themeColor="accent1" w:themeShade="80"/>
            </w:tcBorders>
            <w:shd w:val="clear" w:color="auto" w:fill="auto"/>
            <w:vAlign w:val="center"/>
          </w:tcPr>
          <w:p w14:paraId="00EFCAB2" w14:textId="77777777" w:rsidR="009817AF" w:rsidRPr="004C5A7A" w:rsidRDefault="009817AF">
            <w:pPr>
              <w:pStyle w:val="08-Tabelageral"/>
              <w:rPr>
                <w:rFonts w:cs="Arial"/>
                <w:lang w:eastAsia="en-US"/>
              </w:rPr>
            </w:pPr>
          </w:p>
        </w:tc>
        <w:tc>
          <w:tcPr>
            <w:tcW w:w="1417" w:type="dxa"/>
            <w:gridSpan w:val="2"/>
            <w:tcBorders>
              <w:top w:val="nil"/>
              <w:bottom w:val="single" w:sz="2" w:space="0" w:color="1F3864" w:themeColor="accent1" w:themeShade="80"/>
            </w:tcBorders>
            <w:shd w:val="clear" w:color="auto" w:fill="auto"/>
            <w:vAlign w:val="center"/>
          </w:tcPr>
          <w:p w14:paraId="0A3FB81A" w14:textId="77777777" w:rsidR="009817AF" w:rsidRPr="004C5A7A" w:rsidRDefault="009817AF">
            <w:pPr>
              <w:pStyle w:val="08-Tabelageral"/>
              <w:rPr>
                <w:rFonts w:cs="Arial"/>
              </w:rPr>
            </w:pPr>
            <w:r w:rsidRPr="004C5A7A">
              <w:rPr>
                <w:rFonts w:cs="Arial"/>
              </w:rPr>
              <w:t>--</w:t>
            </w:r>
          </w:p>
        </w:tc>
        <w:tc>
          <w:tcPr>
            <w:tcW w:w="1706" w:type="dxa"/>
            <w:tcBorders>
              <w:top w:val="nil"/>
              <w:bottom w:val="single" w:sz="2" w:space="0" w:color="1F3864" w:themeColor="accent1" w:themeShade="80"/>
            </w:tcBorders>
            <w:shd w:val="clear" w:color="auto" w:fill="auto"/>
            <w:vAlign w:val="center"/>
          </w:tcPr>
          <w:p w14:paraId="49868215" w14:textId="77777777" w:rsidR="009817AF" w:rsidRPr="004C5A7A" w:rsidRDefault="009817AF">
            <w:pPr>
              <w:pStyle w:val="08-Tabelageral"/>
              <w:rPr>
                <w:rFonts w:cs="Arial"/>
              </w:rPr>
            </w:pPr>
            <w:r w:rsidRPr="004C5A7A">
              <w:rPr>
                <w:rFonts w:cs="Arial"/>
              </w:rPr>
              <w:t>4,571,572</w:t>
            </w:r>
          </w:p>
        </w:tc>
      </w:tr>
    </w:tbl>
    <w:p w14:paraId="548B6751" w14:textId="77777777" w:rsidR="009817AF" w:rsidRPr="004C5A7A" w:rsidRDefault="009817AF" w:rsidP="009817AF">
      <w:pPr>
        <w:pStyle w:val="01-TtulodeNota"/>
        <w:keepNext/>
        <w:spacing w:before="0" w:after="0"/>
        <w:jc w:val="right"/>
        <w:rPr>
          <w:rFonts w:cs="Arial"/>
          <w:sz w:val="14"/>
          <w:szCs w:val="14"/>
        </w:rPr>
      </w:pPr>
    </w:p>
    <w:p w14:paraId="03077CCD" w14:textId="77777777" w:rsidR="009817AF" w:rsidRPr="004C5A7A" w:rsidRDefault="009817AF" w:rsidP="009817AF">
      <w:pPr>
        <w:pStyle w:val="01-TtulodeNota"/>
        <w:keepNext/>
        <w:spacing w:before="0" w:after="0"/>
        <w:jc w:val="right"/>
        <w:rPr>
          <w:rFonts w:cs="Arial"/>
          <w:sz w:val="14"/>
          <w:szCs w:val="14"/>
        </w:rPr>
      </w:pPr>
    </w:p>
    <w:p w14:paraId="514B66F0" w14:textId="77777777" w:rsidR="009817AF" w:rsidRPr="004C5A7A" w:rsidRDefault="009817AF" w:rsidP="009163E1">
      <w:pPr>
        <w:pStyle w:val="01-TtulodeNota"/>
        <w:keepNext/>
        <w:spacing w:before="0" w:after="0"/>
        <w:ind w:right="141"/>
        <w:jc w:val="right"/>
        <w:rPr>
          <w:rFonts w:cs="Arial"/>
          <w:sz w:val="14"/>
          <w:szCs w:val="14"/>
        </w:rPr>
      </w:pPr>
      <w:r w:rsidRPr="004C5A7A">
        <w:rPr>
          <w:rFonts w:cs="Arial"/>
          <w:sz w:val="14"/>
          <w:szCs w:val="14"/>
        </w:rPr>
        <w:t xml:space="preserve">R$ </w:t>
      </w:r>
      <w:proofErr w:type="spellStart"/>
      <w:r w:rsidRPr="004C5A7A">
        <w:rPr>
          <w:rFonts w:cs="Arial"/>
          <w:sz w:val="14"/>
          <w:szCs w:val="14"/>
        </w:rPr>
        <w:t>thousand</w:t>
      </w:r>
      <w:proofErr w:type="spellEnd"/>
    </w:p>
    <w:tbl>
      <w:tblPr>
        <w:tblW w:w="4945"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24"/>
        <w:gridCol w:w="2303"/>
        <w:gridCol w:w="1241"/>
        <w:gridCol w:w="1513"/>
        <w:gridCol w:w="227"/>
        <w:gridCol w:w="52"/>
        <w:gridCol w:w="1322"/>
        <w:gridCol w:w="1513"/>
        <w:gridCol w:w="99"/>
      </w:tblGrid>
      <w:tr w:rsidR="009817AF" w:rsidRPr="00A260C6" w14:paraId="08514F76" w14:textId="77777777" w:rsidTr="009B48E0">
        <w:trPr>
          <w:trHeight w:val="238"/>
          <w:jc w:val="center"/>
        </w:trPr>
        <w:tc>
          <w:tcPr>
            <w:tcW w:w="1140" w:type="dxa"/>
            <w:tcBorders>
              <w:top w:val="single" w:sz="4" w:space="0" w:color="1F3864" w:themeColor="accent1" w:themeShade="80"/>
              <w:bottom w:val="nil"/>
            </w:tcBorders>
            <w:shd w:val="clear" w:color="auto" w:fill="auto"/>
          </w:tcPr>
          <w:p w14:paraId="54B8F44F" w14:textId="77777777" w:rsidR="009817AF" w:rsidRPr="004C5A7A" w:rsidRDefault="009817AF">
            <w:pPr>
              <w:pStyle w:val="08-Tabelageral"/>
              <w:rPr>
                <w:rFonts w:cs="Arial"/>
                <w:b/>
                <w:szCs w:val="14"/>
              </w:rPr>
            </w:pPr>
          </w:p>
        </w:tc>
        <w:tc>
          <w:tcPr>
            <w:tcW w:w="2355" w:type="dxa"/>
            <w:tcBorders>
              <w:top w:val="single" w:sz="4" w:space="0" w:color="1F3864" w:themeColor="accent1" w:themeShade="80"/>
              <w:bottom w:val="nil"/>
            </w:tcBorders>
            <w:shd w:val="clear" w:color="auto" w:fill="auto"/>
          </w:tcPr>
          <w:p w14:paraId="5681537D" w14:textId="77777777" w:rsidR="009817AF" w:rsidRPr="004C5A7A" w:rsidRDefault="009817AF">
            <w:pPr>
              <w:pStyle w:val="08-Tabelageral"/>
              <w:rPr>
                <w:rFonts w:cs="Arial"/>
                <w:b/>
                <w:szCs w:val="14"/>
              </w:rPr>
            </w:pPr>
          </w:p>
        </w:tc>
        <w:tc>
          <w:tcPr>
            <w:tcW w:w="3014" w:type="dxa"/>
            <w:gridSpan w:val="3"/>
            <w:tcBorders>
              <w:top w:val="single" w:sz="4" w:space="0" w:color="1F3864" w:themeColor="accent1" w:themeShade="80"/>
              <w:bottom w:val="single" w:sz="4" w:space="0" w:color="1F3864" w:themeColor="accent1" w:themeShade="80"/>
            </w:tcBorders>
            <w:shd w:val="clear" w:color="auto" w:fill="auto"/>
          </w:tcPr>
          <w:p w14:paraId="3A6CC59E" w14:textId="77777777" w:rsidR="009817AF" w:rsidRPr="004C5A7A" w:rsidRDefault="009817AF">
            <w:pPr>
              <w:pStyle w:val="08-Tabelageral"/>
              <w:jc w:val="center"/>
              <w:rPr>
                <w:rFonts w:cs="Arial"/>
                <w:b/>
                <w:szCs w:val="14"/>
              </w:rPr>
            </w:pPr>
            <w:r w:rsidRPr="004C5A7A">
              <w:rPr>
                <w:rFonts w:cs="Arial"/>
                <w:b/>
                <w:szCs w:val="14"/>
              </w:rPr>
              <w:t>2024</w:t>
            </w:r>
          </w:p>
        </w:tc>
        <w:tc>
          <w:tcPr>
            <w:tcW w:w="3024" w:type="dxa"/>
            <w:gridSpan w:val="4"/>
            <w:tcBorders>
              <w:top w:val="single" w:sz="4" w:space="0" w:color="1F3864" w:themeColor="accent1" w:themeShade="80"/>
              <w:bottom w:val="single" w:sz="4" w:space="0" w:color="1F3864" w:themeColor="accent1" w:themeShade="80"/>
            </w:tcBorders>
            <w:shd w:val="clear" w:color="auto" w:fill="auto"/>
          </w:tcPr>
          <w:p w14:paraId="79E604C1" w14:textId="77777777" w:rsidR="009817AF" w:rsidRPr="004C5A7A" w:rsidRDefault="009817AF">
            <w:pPr>
              <w:pStyle w:val="08-Tabelageral"/>
              <w:jc w:val="center"/>
              <w:rPr>
                <w:rFonts w:cs="Arial"/>
                <w:b/>
                <w:szCs w:val="14"/>
              </w:rPr>
            </w:pPr>
            <w:r w:rsidRPr="004C5A7A">
              <w:rPr>
                <w:rFonts w:cs="Arial"/>
                <w:b/>
                <w:szCs w:val="14"/>
              </w:rPr>
              <w:t>2023</w:t>
            </w:r>
          </w:p>
        </w:tc>
      </w:tr>
      <w:tr w:rsidR="009817AF" w:rsidRPr="00D311AA" w14:paraId="4784E7DD" w14:textId="77777777" w:rsidTr="009B48E0">
        <w:trPr>
          <w:gridAfter w:val="1"/>
          <w:wAfter w:w="102" w:type="dxa"/>
          <w:trHeight w:val="238"/>
          <w:jc w:val="center"/>
        </w:trPr>
        <w:tc>
          <w:tcPr>
            <w:tcW w:w="3495" w:type="dxa"/>
            <w:gridSpan w:val="2"/>
            <w:tcBorders>
              <w:top w:val="nil"/>
              <w:bottom w:val="single" w:sz="2" w:space="0" w:color="1F3864" w:themeColor="accent1" w:themeShade="80"/>
            </w:tcBorders>
            <w:shd w:val="clear" w:color="auto" w:fill="auto"/>
            <w:vAlign w:val="center"/>
          </w:tcPr>
          <w:p w14:paraId="32621259" w14:textId="77777777" w:rsidR="009817AF" w:rsidRPr="004C5A7A" w:rsidRDefault="009817AF">
            <w:pPr>
              <w:pStyle w:val="08-Tabelageral"/>
              <w:rPr>
                <w:rFonts w:cs="Arial"/>
                <w:b/>
                <w:szCs w:val="14"/>
              </w:rPr>
            </w:pPr>
          </w:p>
        </w:tc>
        <w:tc>
          <w:tcPr>
            <w:tcW w:w="1255" w:type="dxa"/>
            <w:tcBorders>
              <w:top w:val="single" w:sz="2" w:space="0" w:color="1F3864" w:themeColor="accent1" w:themeShade="80"/>
              <w:bottom w:val="single" w:sz="2" w:space="0" w:color="1F3864" w:themeColor="accent1" w:themeShade="80"/>
            </w:tcBorders>
            <w:shd w:val="clear" w:color="auto" w:fill="auto"/>
            <w:vAlign w:val="center"/>
          </w:tcPr>
          <w:p w14:paraId="7766A7D0" w14:textId="77777777" w:rsidR="009817AF" w:rsidRPr="004C5A7A" w:rsidRDefault="009817AF">
            <w:pPr>
              <w:pStyle w:val="08-Tabelageral"/>
              <w:rPr>
                <w:rFonts w:cs="Arial"/>
                <w:b/>
                <w:szCs w:val="14"/>
              </w:rPr>
            </w:pPr>
            <w:r w:rsidRPr="004C5A7A">
              <w:rPr>
                <w:rFonts w:cs="Arial"/>
                <w:b/>
                <w:szCs w:val="14"/>
              </w:rPr>
              <w:t>Banco do Brasil</w:t>
            </w:r>
          </w:p>
        </w:tc>
        <w:tc>
          <w:tcPr>
            <w:tcW w:w="1531" w:type="dxa"/>
            <w:tcBorders>
              <w:top w:val="single" w:sz="2" w:space="0" w:color="9CC2E5" w:themeColor="accent5" w:themeTint="99"/>
              <w:bottom w:val="single" w:sz="2" w:space="0" w:color="1F3864" w:themeColor="accent1" w:themeShade="80"/>
            </w:tcBorders>
            <w:shd w:val="clear" w:color="auto" w:fill="auto"/>
            <w:vAlign w:val="center"/>
          </w:tcPr>
          <w:p w14:paraId="3840BB58" w14:textId="77777777" w:rsidR="009817AF" w:rsidRPr="004C5A7A" w:rsidRDefault="009817AF">
            <w:pPr>
              <w:pStyle w:val="08-Tabelageral"/>
              <w:rPr>
                <w:rFonts w:cs="Arial"/>
                <w:b/>
                <w:szCs w:val="14"/>
              </w:rPr>
            </w:pPr>
            <w:r w:rsidRPr="004C5A7A">
              <w:rPr>
                <w:rFonts w:cs="Arial"/>
                <w:b/>
                <w:szCs w:val="14"/>
              </w:rPr>
              <w:t xml:space="preserve">Associates </w:t>
            </w:r>
            <w:proofErr w:type="spellStart"/>
            <w:r w:rsidRPr="004C5A7A">
              <w:rPr>
                <w:rFonts w:cs="Arial"/>
                <w:b/>
                <w:szCs w:val="14"/>
              </w:rPr>
              <w:t>and</w:t>
            </w:r>
            <w:proofErr w:type="spellEnd"/>
            <w:r w:rsidRPr="004C5A7A">
              <w:rPr>
                <w:rFonts w:cs="Arial"/>
                <w:b/>
                <w:szCs w:val="14"/>
              </w:rPr>
              <w:t xml:space="preserve"> joint ventures </w:t>
            </w:r>
            <w:r w:rsidRPr="004C5A7A">
              <w:rPr>
                <w:rFonts w:cs="Arial"/>
                <w:b/>
                <w:szCs w:val="14"/>
                <w:vertAlign w:val="superscript"/>
              </w:rPr>
              <w:t>(1)</w:t>
            </w:r>
          </w:p>
        </w:tc>
        <w:tc>
          <w:tcPr>
            <w:tcW w:w="281" w:type="dxa"/>
            <w:gridSpan w:val="2"/>
            <w:tcBorders>
              <w:top w:val="single" w:sz="2" w:space="0" w:color="9CC2E5" w:themeColor="accent5" w:themeTint="99"/>
              <w:bottom w:val="single" w:sz="2" w:space="0" w:color="1F3864" w:themeColor="accent1" w:themeShade="80"/>
            </w:tcBorders>
            <w:shd w:val="clear" w:color="auto" w:fill="auto"/>
            <w:vAlign w:val="center"/>
          </w:tcPr>
          <w:p w14:paraId="265FDE49" w14:textId="77777777" w:rsidR="009817AF" w:rsidRPr="004C5A7A" w:rsidRDefault="009817AF">
            <w:pPr>
              <w:pStyle w:val="08-Tabelageral"/>
              <w:rPr>
                <w:rFonts w:cs="Arial"/>
                <w:b/>
                <w:szCs w:val="14"/>
              </w:rPr>
            </w:pPr>
          </w:p>
        </w:tc>
        <w:tc>
          <w:tcPr>
            <w:tcW w:w="1338" w:type="dxa"/>
            <w:tcBorders>
              <w:top w:val="single" w:sz="2" w:space="0" w:color="9CC2E5" w:themeColor="accent5" w:themeTint="99"/>
              <w:bottom w:val="single" w:sz="2" w:space="0" w:color="1F3864" w:themeColor="accent1" w:themeShade="80"/>
            </w:tcBorders>
            <w:shd w:val="clear" w:color="auto" w:fill="auto"/>
            <w:vAlign w:val="center"/>
          </w:tcPr>
          <w:p w14:paraId="46DF5CA7" w14:textId="77777777" w:rsidR="009817AF" w:rsidRPr="004C5A7A" w:rsidRDefault="009817AF">
            <w:pPr>
              <w:pStyle w:val="08-Tabelageral"/>
              <w:rPr>
                <w:rFonts w:cs="Arial"/>
                <w:b/>
                <w:szCs w:val="14"/>
              </w:rPr>
            </w:pPr>
            <w:r w:rsidRPr="004C5A7A">
              <w:rPr>
                <w:rFonts w:cs="Arial"/>
                <w:b/>
                <w:szCs w:val="14"/>
              </w:rPr>
              <w:t>Banco do Brasil</w:t>
            </w:r>
          </w:p>
        </w:tc>
        <w:tc>
          <w:tcPr>
            <w:tcW w:w="1531" w:type="dxa"/>
            <w:tcBorders>
              <w:top w:val="single" w:sz="2" w:space="0" w:color="9CC2E5" w:themeColor="accent5" w:themeTint="99"/>
              <w:bottom w:val="single" w:sz="2" w:space="0" w:color="1F3864" w:themeColor="accent1" w:themeShade="80"/>
            </w:tcBorders>
            <w:shd w:val="clear" w:color="auto" w:fill="auto"/>
            <w:vAlign w:val="center"/>
          </w:tcPr>
          <w:p w14:paraId="01F24D1C" w14:textId="77777777" w:rsidR="009817AF" w:rsidRPr="004C5A7A" w:rsidRDefault="009817AF">
            <w:pPr>
              <w:pStyle w:val="08-Tabelageral"/>
              <w:rPr>
                <w:rFonts w:cs="Arial"/>
                <w:b/>
                <w:szCs w:val="14"/>
              </w:rPr>
            </w:pPr>
            <w:r w:rsidRPr="004C5A7A">
              <w:rPr>
                <w:rFonts w:cs="Arial"/>
                <w:b/>
                <w:szCs w:val="14"/>
              </w:rPr>
              <w:t xml:space="preserve">Associates </w:t>
            </w:r>
            <w:proofErr w:type="spellStart"/>
            <w:r w:rsidRPr="004C5A7A">
              <w:rPr>
                <w:rFonts w:cs="Arial"/>
                <w:b/>
                <w:szCs w:val="14"/>
              </w:rPr>
              <w:t>and</w:t>
            </w:r>
            <w:proofErr w:type="spellEnd"/>
            <w:r w:rsidRPr="004C5A7A">
              <w:rPr>
                <w:rFonts w:cs="Arial"/>
                <w:b/>
                <w:szCs w:val="14"/>
              </w:rPr>
              <w:t xml:space="preserve"> joint ventures </w:t>
            </w:r>
            <w:r w:rsidRPr="004C5A7A">
              <w:rPr>
                <w:rFonts w:cs="Arial"/>
                <w:b/>
                <w:szCs w:val="14"/>
                <w:vertAlign w:val="superscript"/>
              </w:rPr>
              <w:t>(1)</w:t>
            </w:r>
          </w:p>
        </w:tc>
      </w:tr>
      <w:tr w:rsidR="009817AF" w:rsidRPr="00D311AA" w14:paraId="79950723" w14:textId="77777777" w:rsidTr="009B48E0">
        <w:trPr>
          <w:gridAfter w:val="1"/>
          <w:wAfter w:w="102" w:type="dxa"/>
          <w:trHeight w:val="238"/>
          <w:jc w:val="center"/>
        </w:trPr>
        <w:tc>
          <w:tcPr>
            <w:tcW w:w="3495" w:type="dxa"/>
            <w:gridSpan w:val="2"/>
            <w:tcBorders>
              <w:top w:val="single" w:sz="2" w:space="0" w:color="1F3864" w:themeColor="accent1" w:themeShade="80"/>
            </w:tcBorders>
            <w:shd w:val="clear" w:color="auto" w:fill="auto"/>
          </w:tcPr>
          <w:p w14:paraId="50BFE812" w14:textId="77777777" w:rsidR="009817AF" w:rsidRPr="004C5A7A" w:rsidRDefault="009817AF">
            <w:pPr>
              <w:pStyle w:val="08-Tabelageral"/>
              <w:jc w:val="left"/>
              <w:rPr>
                <w:rFonts w:cs="Arial"/>
                <w:b/>
              </w:rPr>
            </w:pPr>
            <w:r w:rsidRPr="004C5A7A">
              <w:rPr>
                <w:rFonts w:cs="Arial"/>
                <w:b/>
              </w:rPr>
              <w:t>Income</w:t>
            </w:r>
          </w:p>
        </w:tc>
        <w:tc>
          <w:tcPr>
            <w:tcW w:w="1255" w:type="dxa"/>
            <w:tcBorders>
              <w:top w:val="single" w:sz="2" w:space="0" w:color="1F3864" w:themeColor="accent1" w:themeShade="80"/>
            </w:tcBorders>
            <w:shd w:val="clear" w:color="auto" w:fill="auto"/>
            <w:vAlign w:val="center"/>
          </w:tcPr>
          <w:p w14:paraId="6D36E2C3" w14:textId="77777777" w:rsidR="009817AF" w:rsidRPr="004C5A7A" w:rsidRDefault="009817AF">
            <w:pPr>
              <w:pStyle w:val="08-Tabelageral"/>
              <w:rPr>
                <w:rFonts w:cs="Arial"/>
                <w:b/>
                <w:szCs w:val="14"/>
              </w:rPr>
            </w:pPr>
          </w:p>
        </w:tc>
        <w:tc>
          <w:tcPr>
            <w:tcW w:w="1531" w:type="dxa"/>
            <w:tcBorders>
              <w:top w:val="single" w:sz="2" w:space="0" w:color="1F3864" w:themeColor="accent1" w:themeShade="80"/>
            </w:tcBorders>
            <w:shd w:val="clear" w:color="auto" w:fill="auto"/>
            <w:vAlign w:val="center"/>
          </w:tcPr>
          <w:p w14:paraId="6DA64614" w14:textId="77777777" w:rsidR="009817AF" w:rsidRPr="004C5A7A" w:rsidRDefault="009817AF">
            <w:pPr>
              <w:pStyle w:val="08-Tabelageral"/>
              <w:rPr>
                <w:rFonts w:cs="Arial"/>
                <w:b/>
                <w:szCs w:val="14"/>
              </w:rPr>
            </w:pPr>
          </w:p>
        </w:tc>
        <w:tc>
          <w:tcPr>
            <w:tcW w:w="281" w:type="dxa"/>
            <w:gridSpan w:val="2"/>
            <w:tcBorders>
              <w:top w:val="single" w:sz="2" w:space="0" w:color="1F3864" w:themeColor="accent1" w:themeShade="80"/>
            </w:tcBorders>
            <w:shd w:val="clear" w:color="auto" w:fill="auto"/>
          </w:tcPr>
          <w:p w14:paraId="1EDB5532" w14:textId="77777777" w:rsidR="009817AF" w:rsidRPr="004C5A7A" w:rsidRDefault="009817AF">
            <w:pPr>
              <w:pStyle w:val="08-Tabelageral"/>
              <w:rPr>
                <w:rFonts w:cs="Arial"/>
                <w:b/>
              </w:rPr>
            </w:pPr>
          </w:p>
        </w:tc>
        <w:tc>
          <w:tcPr>
            <w:tcW w:w="1338" w:type="dxa"/>
            <w:tcBorders>
              <w:top w:val="single" w:sz="2" w:space="0" w:color="1F3864" w:themeColor="accent1" w:themeShade="80"/>
            </w:tcBorders>
            <w:shd w:val="clear" w:color="auto" w:fill="auto"/>
            <w:vAlign w:val="center"/>
          </w:tcPr>
          <w:p w14:paraId="5F60103E" w14:textId="77777777" w:rsidR="009817AF" w:rsidRPr="004C5A7A" w:rsidRDefault="009817AF">
            <w:pPr>
              <w:pStyle w:val="08-Tabelageral"/>
              <w:rPr>
                <w:rFonts w:cs="Arial"/>
                <w:b/>
              </w:rPr>
            </w:pPr>
          </w:p>
        </w:tc>
        <w:tc>
          <w:tcPr>
            <w:tcW w:w="1531" w:type="dxa"/>
            <w:tcBorders>
              <w:top w:val="single" w:sz="2" w:space="0" w:color="1F3864" w:themeColor="accent1" w:themeShade="80"/>
            </w:tcBorders>
            <w:shd w:val="clear" w:color="auto" w:fill="auto"/>
            <w:vAlign w:val="center"/>
          </w:tcPr>
          <w:p w14:paraId="035BF364" w14:textId="77777777" w:rsidR="009817AF" w:rsidRPr="004C5A7A" w:rsidRDefault="009817AF">
            <w:pPr>
              <w:pStyle w:val="08-Tabelageral"/>
              <w:rPr>
                <w:rFonts w:cs="Arial"/>
                <w:b/>
              </w:rPr>
            </w:pPr>
          </w:p>
        </w:tc>
      </w:tr>
      <w:tr w:rsidR="009817AF" w:rsidRPr="00D311AA" w14:paraId="09F1A96F" w14:textId="77777777" w:rsidTr="009B48E0">
        <w:trPr>
          <w:gridAfter w:val="1"/>
          <w:wAfter w:w="102" w:type="dxa"/>
          <w:trHeight w:val="238"/>
          <w:jc w:val="center"/>
        </w:trPr>
        <w:tc>
          <w:tcPr>
            <w:tcW w:w="3495" w:type="dxa"/>
            <w:gridSpan w:val="2"/>
            <w:shd w:val="clear" w:color="auto" w:fill="auto"/>
          </w:tcPr>
          <w:p w14:paraId="653FB250" w14:textId="77777777" w:rsidR="009817AF" w:rsidRPr="004C5A7A" w:rsidRDefault="009817AF">
            <w:pPr>
              <w:pStyle w:val="08-Tabelageral"/>
              <w:ind w:left="113"/>
              <w:jc w:val="left"/>
              <w:rPr>
                <w:rFonts w:cs="Arial"/>
                <w:lang w:val="en-US"/>
              </w:rPr>
            </w:pPr>
            <w:r w:rsidRPr="004C5A7A">
              <w:rPr>
                <w:rFonts w:cs="Arial"/>
                <w:lang w:val="en-US"/>
              </w:rPr>
              <w:t>Interest earnings of financial instruments</w:t>
            </w:r>
          </w:p>
        </w:tc>
        <w:tc>
          <w:tcPr>
            <w:tcW w:w="1255" w:type="dxa"/>
            <w:tcBorders>
              <w:top w:val="nil"/>
            </w:tcBorders>
            <w:shd w:val="clear" w:color="auto" w:fill="auto"/>
            <w:vAlign w:val="center"/>
          </w:tcPr>
          <w:p w14:paraId="57A896C8" w14:textId="77777777" w:rsidR="009817AF" w:rsidRPr="004C5A7A" w:rsidRDefault="009817AF">
            <w:pPr>
              <w:pStyle w:val="08-Tabelageral"/>
              <w:rPr>
                <w:rFonts w:cs="Arial"/>
              </w:rPr>
            </w:pPr>
            <w:r w:rsidRPr="004C5A7A">
              <w:rPr>
                <w:rFonts w:cs="Arial"/>
              </w:rPr>
              <w:t>496,090</w:t>
            </w:r>
          </w:p>
        </w:tc>
        <w:tc>
          <w:tcPr>
            <w:tcW w:w="1531" w:type="dxa"/>
            <w:tcBorders>
              <w:top w:val="nil"/>
            </w:tcBorders>
            <w:shd w:val="clear" w:color="auto" w:fill="auto"/>
            <w:vAlign w:val="center"/>
          </w:tcPr>
          <w:p w14:paraId="79AD49D3" w14:textId="77777777" w:rsidR="009817AF" w:rsidRPr="004C5A7A" w:rsidRDefault="009817AF">
            <w:pPr>
              <w:pStyle w:val="08-Tabelageral"/>
              <w:rPr>
                <w:rFonts w:cs="Arial"/>
              </w:rPr>
            </w:pPr>
            <w:r w:rsidRPr="004C5A7A">
              <w:rPr>
                <w:rFonts w:cs="Arial"/>
              </w:rPr>
              <w:t>--</w:t>
            </w:r>
          </w:p>
        </w:tc>
        <w:tc>
          <w:tcPr>
            <w:tcW w:w="281" w:type="dxa"/>
            <w:gridSpan w:val="2"/>
            <w:tcBorders>
              <w:top w:val="nil"/>
            </w:tcBorders>
            <w:shd w:val="clear" w:color="auto" w:fill="auto"/>
            <w:vAlign w:val="center"/>
          </w:tcPr>
          <w:p w14:paraId="07F61553" w14:textId="77777777" w:rsidR="009817AF" w:rsidRPr="004C5A7A" w:rsidRDefault="009817AF">
            <w:pPr>
              <w:pStyle w:val="08-Tabelageral"/>
              <w:rPr>
                <w:rFonts w:cs="Arial"/>
              </w:rPr>
            </w:pPr>
          </w:p>
        </w:tc>
        <w:tc>
          <w:tcPr>
            <w:tcW w:w="1338" w:type="dxa"/>
            <w:tcBorders>
              <w:top w:val="nil"/>
            </w:tcBorders>
            <w:shd w:val="clear" w:color="auto" w:fill="auto"/>
            <w:vAlign w:val="center"/>
          </w:tcPr>
          <w:p w14:paraId="069CB366" w14:textId="77777777" w:rsidR="009817AF" w:rsidRPr="00D311AA" w:rsidRDefault="009817AF">
            <w:pPr>
              <w:pStyle w:val="08-Tabelageral"/>
              <w:rPr>
                <w:rFonts w:cs="Arial"/>
                <w:szCs w:val="14"/>
              </w:rPr>
            </w:pPr>
            <w:r w:rsidRPr="00BF2AAF">
              <w:rPr>
                <w:rFonts w:cs="Arial"/>
              </w:rPr>
              <w:t>495</w:t>
            </w:r>
            <w:r>
              <w:rPr>
                <w:rFonts w:cs="Arial"/>
              </w:rPr>
              <w:t>,</w:t>
            </w:r>
            <w:r w:rsidRPr="00BF2AAF">
              <w:rPr>
                <w:rFonts w:cs="Arial"/>
              </w:rPr>
              <w:t>609</w:t>
            </w:r>
          </w:p>
        </w:tc>
        <w:tc>
          <w:tcPr>
            <w:tcW w:w="1531" w:type="dxa"/>
            <w:tcBorders>
              <w:top w:val="nil"/>
            </w:tcBorders>
            <w:shd w:val="clear" w:color="auto" w:fill="auto"/>
            <w:vAlign w:val="center"/>
          </w:tcPr>
          <w:p w14:paraId="449B03E8" w14:textId="77777777" w:rsidR="009817AF" w:rsidRPr="00D311AA" w:rsidRDefault="009817AF">
            <w:pPr>
              <w:pStyle w:val="08-Tabelageral"/>
              <w:rPr>
                <w:rFonts w:cs="Arial"/>
                <w:szCs w:val="14"/>
              </w:rPr>
            </w:pPr>
            <w:r w:rsidRPr="00BF2AAF">
              <w:rPr>
                <w:rFonts w:cs="Arial"/>
              </w:rPr>
              <w:t>--</w:t>
            </w:r>
          </w:p>
        </w:tc>
      </w:tr>
      <w:tr w:rsidR="009817AF" w:rsidRPr="00D311AA" w14:paraId="0A9B3A06" w14:textId="77777777" w:rsidTr="009B48E0">
        <w:trPr>
          <w:gridAfter w:val="1"/>
          <w:wAfter w:w="102" w:type="dxa"/>
          <w:trHeight w:val="238"/>
          <w:jc w:val="center"/>
        </w:trPr>
        <w:tc>
          <w:tcPr>
            <w:tcW w:w="3495" w:type="dxa"/>
            <w:gridSpan w:val="2"/>
            <w:shd w:val="clear" w:color="auto" w:fill="auto"/>
            <w:vAlign w:val="center"/>
          </w:tcPr>
          <w:p w14:paraId="16FDCC1C" w14:textId="77777777" w:rsidR="009817AF" w:rsidRPr="004C5A7A" w:rsidRDefault="009817AF">
            <w:pPr>
              <w:pStyle w:val="08-Tabelageral"/>
              <w:ind w:left="113"/>
              <w:jc w:val="left"/>
              <w:rPr>
                <w:rFonts w:cs="Arial"/>
              </w:rPr>
            </w:pPr>
            <w:r w:rsidRPr="004C5A7A">
              <w:rPr>
                <w:rFonts w:cs="Arial"/>
              </w:rPr>
              <w:t xml:space="preserve">Income </w:t>
            </w:r>
            <w:proofErr w:type="spellStart"/>
            <w:r w:rsidRPr="004C5A7A">
              <w:rPr>
                <w:rFonts w:cs="Arial"/>
              </w:rPr>
              <w:t>from</w:t>
            </w:r>
            <w:proofErr w:type="spellEnd"/>
            <w:r w:rsidRPr="004C5A7A">
              <w:rPr>
                <w:rFonts w:cs="Arial"/>
              </w:rPr>
              <w:t xml:space="preserve"> Commission</w:t>
            </w:r>
          </w:p>
        </w:tc>
        <w:tc>
          <w:tcPr>
            <w:tcW w:w="1255" w:type="dxa"/>
            <w:shd w:val="clear" w:color="auto" w:fill="auto"/>
            <w:vAlign w:val="center"/>
          </w:tcPr>
          <w:p w14:paraId="218C1E46" w14:textId="77777777" w:rsidR="009817AF" w:rsidRPr="004C5A7A" w:rsidRDefault="009817AF">
            <w:pPr>
              <w:pStyle w:val="08-Tabelageral"/>
              <w:rPr>
                <w:rFonts w:cs="Arial"/>
              </w:rPr>
            </w:pPr>
            <w:r w:rsidRPr="004C5A7A">
              <w:rPr>
                <w:rFonts w:cs="Arial"/>
              </w:rPr>
              <w:t>--</w:t>
            </w:r>
          </w:p>
        </w:tc>
        <w:tc>
          <w:tcPr>
            <w:tcW w:w="1531" w:type="dxa"/>
            <w:shd w:val="clear" w:color="auto" w:fill="auto"/>
            <w:vAlign w:val="center"/>
          </w:tcPr>
          <w:p w14:paraId="17721D94" w14:textId="77777777" w:rsidR="009817AF" w:rsidRPr="004C5A7A" w:rsidRDefault="009817AF">
            <w:pPr>
              <w:pStyle w:val="08-Tabelageral"/>
              <w:rPr>
                <w:rFonts w:cs="Arial"/>
              </w:rPr>
            </w:pPr>
            <w:r w:rsidRPr="004C5A7A">
              <w:rPr>
                <w:rFonts w:cs="Arial"/>
              </w:rPr>
              <w:t>5,370,715</w:t>
            </w:r>
          </w:p>
        </w:tc>
        <w:tc>
          <w:tcPr>
            <w:tcW w:w="281" w:type="dxa"/>
            <w:gridSpan w:val="2"/>
            <w:shd w:val="clear" w:color="auto" w:fill="auto"/>
            <w:vAlign w:val="center"/>
          </w:tcPr>
          <w:p w14:paraId="0FE56872" w14:textId="77777777" w:rsidR="009817AF" w:rsidRPr="004C5A7A" w:rsidRDefault="009817AF">
            <w:pPr>
              <w:pStyle w:val="08-Tabelageral"/>
              <w:rPr>
                <w:rFonts w:cs="Arial"/>
              </w:rPr>
            </w:pPr>
          </w:p>
        </w:tc>
        <w:tc>
          <w:tcPr>
            <w:tcW w:w="1338" w:type="dxa"/>
            <w:shd w:val="clear" w:color="auto" w:fill="auto"/>
            <w:vAlign w:val="center"/>
          </w:tcPr>
          <w:p w14:paraId="6EE4A14C" w14:textId="77777777" w:rsidR="009817AF" w:rsidRPr="00D311AA" w:rsidRDefault="009817AF">
            <w:pPr>
              <w:pStyle w:val="08-Tabelageral"/>
              <w:rPr>
                <w:rFonts w:cs="Arial"/>
                <w:szCs w:val="14"/>
              </w:rPr>
            </w:pPr>
            <w:r w:rsidRPr="00BF2AAF">
              <w:rPr>
                <w:rFonts w:cs="Arial"/>
              </w:rPr>
              <w:t>--</w:t>
            </w:r>
          </w:p>
        </w:tc>
        <w:tc>
          <w:tcPr>
            <w:tcW w:w="1531" w:type="dxa"/>
            <w:shd w:val="clear" w:color="auto" w:fill="auto"/>
            <w:vAlign w:val="center"/>
          </w:tcPr>
          <w:p w14:paraId="540CD02D" w14:textId="77777777" w:rsidR="009817AF" w:rsidRPr="00D311AA" w:rsidRDefault="009817AF">
            <w:pPr>
              <w:pStyle w:val="08-Tabelageral"/>
              <w:rPr>
                <w:rFonts w:cs="Arial"/>
                <w:szCs w:val="14"/>
              </w:rPr>
            </w:pPr>
            <w:r w:rsidRPr="00BF2AAF">
              <w:rPr>
                <w:rFonts w:cs="Arial"/>
              </w:rPr>
              <w:t>4</w:t>
            </w:r>
            <w:r>
              <w:rPr>
                <w:rFonts w:cs="Arial"/>
              </w:rPr>
              <w:t>,</w:t>
            </w:r>
            <w:r w:rsidRPr="00BF2AAF">
              <w:rPr>
                <w:rFonts w:cs="Arial"/>
              </w:rPr>
              <w:t>837</w:t>
            </w:r>
            <w:r>
              <w:rPr>
                <w:rFonts w:cs="Arial"/>
              </w:rPr>
              <w:t>,</w:t>
            </w:r>
            <w:r w:rsidRPr="00BF2AAF">
              <w:rPr>
                <w:rFonts w:cs="Arial"/>
              </w:rPr>
              <w:t>790</w:t>
            </w:r>
          </w:p>
        </w:tc>
      </w:tr>
      <w:tr w:rsidR="009817AF" w:rsidRPr="00D311AA" w14:paraId="02EAD1C4" w14:textId="77777777" w:rsidTr="009B48E0">
        <w:trPr>
          <w:gridAfter w:val="1"/>
          <w:wAfter w:w="102" w:type="dxa"/>
          <w:trHeight w:val="238"/>
          <w:jc w:val="center"/>
        </w:trPr>
        <w:tc>
          <w:tcPr>
            <w:tcW w:w="3495" w:type="dxa"/>
            <w:gridSpan w:val="2"/>
            <w:tcBorders>
              <w:bottom w:val="nil"/>
            </w:tcBorders>
            <w:shd w:val="clear" w:color="auto" w:fill="auto"/>
            <w:vAlign w:val="center"/>
          </w:tcPr>
          <w:p w14:paraId="000DAC56" w14:textId="77777777" w:rsidR="009817AF" w:rsidRPr="004C5A7A" w:rsidRDefault="009817AF">
            <w:pPr>
              <w:pStyle w:val="08-Tabelageral"/>
              <w:ind w:left="113"/>
              <w:jc w:val="left"/>
              <w:rPr>
                <w:rFonts w:cs="Arial"/>
              </w:rPr>
            </w:pPr>
            <w:proofErr w:type="spellStart"/>
            <w:r w:rsidRPr="004C5A7A">
              <w:rPr>
                <w:rFonts w:cs="Arial"/>
              </w:rPr>
              <w:t>Personnel</w:t>
            </w:r>
            <w:proofErr w:type="spellEnd"/>
            <w:r w:rsidRPr="004C5A7A">
              <w:rPr>
                <w:rFonts w:cs="Arial"/>
              </w:rPr>
              <w:t xml:space="preserve"> </w:t>
            </w:r>
            <w:proofErr w:type="spellStart"/>
            <w:r w:rsidRPr="004C5A7A">
              <w:rPr>
                <w:rFonts w:cs="Arial"/>
              </w:rPr>
              <w:t>expenses</w:t>
            </w:r>
            <w:proofErr w:type="spellEnd"/>
          </w:p>
        </w:tc>
        <w:tc>
          <w:tcPr>
            <w:tcW w:w="1255" w:type="dxa"/>
            <w:shd w:val="clear" w:color="auto" w:fill="auto"/>
            <w:vAlign w:val="center"/>
          </w:tcPr>
          <w:p w14:paraId="2798FC8A" w14:textId="77777777" w:rsidR="009817AF" w:rsidRPr="004C5A7A" w:rsidRDefault="009817AF">
            <w:pPr>
              <w:pStyle w:val="08-Tabelageral"/>
              <w:rPr>
                <w:rFonts w:cs="Arial"/>
              </w:rPr>
            </w:pPr>
            <w:r w:rsidRPr="004C5A7A">
              <w:rPr>
                <w:rFonts w:cs="Arial"/>
              </w:rPr>
              <w:t>(89,665)</w:t>
            </w:r>
          </w:p>
        </w:tc>
        <w:tc>
          <w:tcPr>
            <w:tcW w:w="1531" w:type="dxa"/>
            <w:shd w:val="clear" w:color="auto" w:fill="auto"/>
            <w:vAlign w:val="center"/>
          </w:tcPr>
          <w:p w14:paraId="331D14CC" w14:textId="77777777" w:rsidR="009817AF" w:rsidRPr="004C5A7A" w:rsidRDefault="009817AF">
            <w:pPr>
              <w:pStyle w:val="08-Tabelageral"/>
              <w:rPr>
                <w:rFonts w:cs="Arial"/>
              </w:rPr>
            </w:pPr>
            <w:r w:rsidRPr="004C5A7A">
              <w:rPr>
                <w:rFonts w:cs="Arial"/>
              </w:rPr>
              <w:t>--</w:t>
            </w:r>
          </w:p>
        </w:tc>
        <w:tc>
          <w:tcPr>
            <w:tcW w:w="281" w:type="dxa"/>
            <w:gridSpan w:val="2"/>
            <w:shd w:val="clear" w:color="auto" w:fill="auto"/>
            <w:vAlign w:val="center"/>
          </w:tcPr>
          <w:p w14:paraId="7DB3B557" w14:textId="77777777" w:rsidR="009817AF" w:rsidRPr="004C5A7A" w:rsidRDefault="009817AF">
            <w:pPr>
              <w:pStyle w:val="08-Tabelageral"/>
              <w:rPr>
                <w:rFonts w:cs="Arial"/>
              </w:rPr>
            </w:pPr>
          </w:p>
        </w:tc>
        <w:tc>
          <w:tcPr>
            <w:tcW w:w="1338" w:type="dxa"/>
            <w:shd w:val="clear" w:color="auto" w:fill="auto"/>
            <w:vAlign w:val="center"/>
          </w:tcPr>
          <w:p w14:paraId="7240C5A3" w14:textId="77777777" w:rsidR="009817AF" w:rsidRPr="00D311AA" w:rsidRDefault="009817AF">
            <w:pPr>
              <w:pStyle w:val="08-Tabelageral"/>
              <w:rPr>
                <w:rFonts w:cs="Arial"/>
                <w:szCs w:val="14"/>
              </w:rPr>
            </w:pPr>
            <w:r w:rsidRPr="00BF2AAF">
              <w:rPr>
                <w:rFonts w:cs="Arial"/>
              </w:rPr>
              <w:t>(86</w:t>
            </w:r>
            <w:r>
              <w:rPr>
                <w:rFonts w:cs="Arial"/>
              </w:rPr>
              <w:t>,</w:t>
            </w:r>
            <w:r w:rsidRPr="00BF2AAF">
              <w:rPr>
                <w:rFonts w:cs="Arial"/>
              </w:rPr>
              <w:t>122)</w:t>
            </w:r>
          </w:p>
        </w:tc>
        <w:tc>
          <w:tcPr>
            <w:tcW w:w="1531" w:type="dxa"/>
            <w:shd w:val="clear" w:color="auto" w:fill="auto"/>
            <w:vAlign w:val="center"/>
          </w:tcPr>
          <w:p w14:paraId="39EAE1F2" w14:textId="77777777" w:rsidR="009817AF" w:rsidRPr="00D311AA" w:rsidRDefault="009817AF">
            <w:pPr>
              <w:pStyle w:val="08-Tabelageral"/>
              <w:rPr>
                <w:rFonts w:cs="Arial"/>
                <w:szCs w:val="14"/>
              </w:rPr>
            </w:pPr>
            <w:r w:rsidRPr="00BF2AAF">
              <w:rPr>
                <w:rFonts w:cs="Arial"/>
              </w:rPr>
              <w:t>--</w:t>
            </w:r>
          </w:p>
        </w:tc>
      </w:tr>
      <w:tr w:rsidR="009817AF" w:rsidRPr="00D311AA" w14:paraId="4BAE2CC0" w14:textId="77777777" w:rsidTr="009B48E0">
        <w:trPr>
          <w:gridAfter w:val="1"/>
          <w:wAfter w:w="102" w:type="dxa"/>
          <w:trHeight w:val="238"/>
          <w:jc w:val="center"/>
        </w:trPr>
        <w:tc>
          <w:tcPr>
            <w:tcW w:w="3495" w:type="dxa"/>
            <w:gridSpan w:val="2"/>
            <w:tcBorders>
              <w:top w:val="nil"/>
              <w:bottom w:val="nil"/>
            </w:tcBorders>
            <w:shd w:val="clear" w:color="auto" w:fill="auto"/>
            <w:vAlign w:val="center"/>
          </w:tcPr>
          <w:p w14:paraId="057DFF4F" w14:textId="77777777" w:rsidR="009817AF" w:rsidRPr="004C5A7A" w:rsidRDefault="009817AF">
            <w:pPr>
              <w:pStyle w:val="08-Tabelageral"/>
              <w:ind w:left="113"/>
              <w:jc w:val="left"/>
              <w:rPr>
                <w:rFonts w:cs="Arial"/>
                <w:lang w:val="en-US"/>
              </w:rPr>
            </w:pPr>
            <w:r w:rsidRPr="004C5A7A">
              <w:rPr>
                <w:rFonts w:cs="Arial"/>
                <w:lang w:val="en-US"/>
              </w:rPr>
              <w:t xml:space="preserve">Administrative expenses/costs of services provided </w:t>
            </w:r>
            <w:r w:rsidRPr="004C5A7A">
              <w:rPr>
                <w:rFonts w:cs="Arial"/>
                <w:vertAlign w:val="superscript"/>
                <w:lang w:val="en-US"/>
              </w:rPr>
              <w:t>(2)</w:t>
            </w:r>
          </w:p>
        </w:tc>
        <w:tc>
          <w:tcPr>
            <w:tcW w:w="1255" w:type="dxa"/>
            <w:tcBorders>
              <w:bottom w:val="nil"/>
            </w:tcBorders>
            <w:shd w:val="clear" w:color="auto" w:fill="auto"/>
            <w:vAlign w:val="center"/>
          </w:tcPr>
          <w:p w14:paraId="4DB82888" w14:textId="77777777" w:rsidR="009817AF" w:rsidRPr="004C5A7A" w:rsidRDefault="009817AF">
            <w:pPr>
              <w:pStyle w:val="08-Tabelageral"/>
              <w:rPr>
                <w:rFonts w:cs="Arial"/>
              </w:rPr>
            </w:pPr>
            <w:r w:rsidRPr="004C5A7A">
              <w:rPr>
                <w:rFonts w:cs="Arial"/>
              </w:rPr>
              <w:t>(202,556)</w:t>
            </w:r>
          </w:p>
        </w:tc>
        <w:tc>
          <w:tcPr>
            <w:tcW w:w="1531" w:type="dxa"/>
            <w:tcBorders>
              <w:bottom w:val="nil"/>
            </w:tcBorders>
            <w:shd w:val="clear" w:color="auto" w:fill="auto"/>
            <w:vAlign w:val="center"/>
          </w:tcPr>
          <w:p w14:paraId="2CF7C808" w14:textId="77777777" w:rsidR="009817AF" w:rsidRPr="004C5A7A" w:rsidRDefault="009817AF">
            <w:pPr>
              <w:pStyle w:val="08-Tabelageral"/>
              <w:rPr>
                <w:rFonts w:cs="Arial"/>
              </w:rPr>
            </w:pPr>
            <w:r w:rsidRPr="004C5A7A">
              <w:rPr>
                <w:rFonts w:cs="Arial"/>
              </w:rPr>
              <w:t>--</w:t>
            </w:r>
          </w:p>
        </w:tc>
        <w:tc>
          <w:tcPr>
            <w:tcW w:w="281" w:type="dxa"/>
            <w:gridSpan w:val="2"/>
            <w:tcBorders>
              <w:bottom w:val="nil"/>
            </w:tcBorders>
            <w:shd w:val="clear" w:color="auto" w:fill="auto"/>
            <w:vAlign w:val="center"/>
          </w:tcPr>
          <w:p w14:paraId="38C1B545" w14:textId="77777777" w:rsidR="009817AF" w:rsidRPr="004C5A7A" w:rsidRDefault="009817AF">
            <w:pPr>
              <w:pStyle w:val="08-Tabelageral"/>
              <w:rPr>
                <w:rFonts w:cs="Arial"/>
              </w:rPr>
            </w:pPr>
          </w:p>
        </w:tc>
        <w:tc>
          <w:tcPr>
            <w:tcW w:w="1338" w:type="dxa"/>
            <w:tcBorders>
              <w:bottom w:val="nil"/>
            </w:tcBorders>
            <w:shd w:val="clear" w:color="auto" w:fill="auto"/>
            <w:vAlign w:val="center"/>
          </w:tcPr>
          <w:p w14:paraId="7A53F426" w14:textId="77777777" w:rsidR="009817AF" w:rsidRPr="00D311AA" w:rsidRDefault="009817AF">
            <w:pPr>
              <w:pStyle w:val="08-Tabelageral"/>
              <w:rPr>
                <w:rFonts w:cs="Arial"/>
                <w:szCs w:val="14"/>
              </w:rPr>
            </w:pPr>
            <w:r w:rsidRPr="00BF2AAF">
              <w:rPr>
                <w:rFonts w:cs="Arial"/>
              </w:rPr>
              <w:t>(215</w:t>
            </w:r>
            <w:r>
              <w:rPr>
                <w:rFonts w:cs="Arial"/>
              </w:rPr>
              <w:t>,</w:t>
            </w:r>
            <w:r w:rsidRPr="00BF2AAF">
              <w:rPr>
                <w:rFonts w:cs="Arial"/>
              </w:rPr>
              <w:t>368)</w:t>
            </w:r>
          </w:p>
        </w:tc>
        <w:tc>
          <w:tcPr>
            <w:tcW w:w="1531" w:type="dxa"/>
            <w:tcBorders>
              <w:bottom w:val="nil"/>
            </w:tcBorders>
            <w:shd w:val="clear" w:color="auto" w:fill="auto"/>
            <w:vAlign w:val="center"/>
          </w:tcPr>
          <w:p w14:paraId="01CA5F14" w14:textId="77777777" w:rsidR="009817AF" w:rsidRPr="00D311AA" w:rsidRDefault="009817AF">
            <w:pPr>
              <w:pStyle w:val="08-Tabelageral"/>
              <w:rPr>
                <w:rFonts w:cs="Arial"/>
                <w:szCs w:val="14"/>
              </w:rPr>
            </w:pPr>
            <w:r w:rsidRPr="00BF2AAF">
              <w:rPr>
                <w:rFonts w:cs="Arial"/>
              </w:rPr>
              <w:t>--</w:t>
            </w:r>
          </w:p>
        </w:tc>
      </w:tr>
      <w:tr w:rsidR="009817AF" w:rsidRPr="00D311AA" w14:paraId="4565B5B3" w14:textId="77777777" w:rsidTr="009B48E0">
        <w:trPr>
          <w:gridAfter w:val="1"/>
          <w:wAfter w:w="102" w:type="dxa"/>
          <w:trHeight w:val="238"/>
          <w:jc w:val="center"/>
        </w:trPr>
        <w:tc>
          <w:tcPr>
            <w:tcW w:w="3495" w:type="dxa"/>
            <w:gridSpan w:val="2"/>
            <w:tcBorders>
              <w:top w:val="nil"/>
              <w:bottom w:val="single" w:sz="4" w:space="0" w:color="222A35" w:themeColor="text2" w:themeShade="80"/>
            </w:tcBorders>
            <w:shd w:val="clear" w:color="auto" w:fill="auto"/>
            <w:vAlign w:val="center"/>
          </w:tcPr>
          <w:p w14:paraId="73F79B37" w14:textId="77777777" w:rsidR="009817AF" w:rsidRPr="004C5A7A" w:rsidRDefault="009817AF">
            <w:pPr>
              <w:pStyle w:val="08-Tabelageral"/>
              <w:ind w:left="113"/>
              <w:jc w:val="left"/>
              <w:rPr>
                <w:rFonts w:cs="Arial"/>
              </w:rPr>
            </w:pPr>
            <w:proofErr w:type="spellStart"/>
            <w:r w:rsidRPr="004C5A7A">
              <w:rPr>
                <w:rFonts w:cs="Arial"/>
              </w:rPr>
              <w:t>Monetary</w:t>
            </w:r>
            <w:proofErr w:type="spellEnd"/>
            <w:r w:rsidRPr="004C5A7A">
              <w:rPr>
                <w:rFonts w:cs="Arial"/>
              </w:rPr>
              <w:t xml:space="preserve"> </w:t>
            </w:r>
            <w:proofErr w:type="spellStart"/>
            <w:r w:rsidRPr="004C5A7A">
              <w:rPr>
                <w:rFonts w:cs="Arial"/>
              </w:rPr>
              <w:t>liabilities</w:t>
            </w:r>
            <w:proofErr w:type="spellEnd"/>
            <w:r w:rsidRPr="004C5A7A">
              <w:rPr>
                <w:rFonts w:cs="Arial"/>
              </w:rPr>
              <w:t xml:space="preserve"> </w:t>
            </w:r>
            <w:proofErr w:type="spellStart"/>
            <w:r w:rsidRPr="004C5A7A">
              <w:rPr>
                <w:rFonts w:cs="Arial"/>
              </w:rPr>
              <w:t>changes</w:t>
            </w:r>
            <w:proofErr w:type="spellEnd"/>
          </w:p>
        </w:tc>
        <w:tc>
          <w:tcPr>
            <w:tcW w:w="1255" w:type="dxa"/>
            <w:tcBorders>
              <w:top w:val="nil"/>
              <w:bottom w:val="single" w:sz="4" w:space="0" w:color="222A35" w:themeColor="text2" w:themeShade="80"/>
            </w:tcBorders>
            <w:shd w:val="clear" w:color="auto" w:fill="auto"/>
            <w:vAlign w:val="center"/>
          </w:tcPr>
          <w:p w14:paraId="7D0A792C" w14:textId="77777777" w:rsidR="009817AF" w:rsidRPr="004C5A7A" w:rsidRDefault="009817AF">
            <w:pPr>
              <w:pStyle w:val="08-Tabelageral"/>
              <w:rPr>
                <w:rFonts w:cs="Arial"/>
              </w:rPr>
            </w:pPr>
            <w:r w:rsidRPr="004C5A7A">
              <w:rPr>
                <w:rFonts w:cs="Arial"/>
              </w:rPr>
              <w:t>(25,425)</w:t>
            </w:r>
          </w:p>
        </w:tc>
        <w:tc>
          <w:tcPr>
            <w:tcW w:w="1531" w:type="dxa"/>
            <w:tcBorders>
              <w:top w:val="nil"/>
              <w:bottom w:val="single" w:sz="4" w:space="0" w:color="222A35" w:themeColor="text2" w:themeShade="80"/>
            </w:tcBorders>
            <w:shd w:val="clear" w:color="auto" w:fill="auto"/>
            <w:vAlign w:val="center"/>
          </w:tcPr>
          <w:p w14:paraId="15D79847" w14:textId="77777777" w:rsidR="009817AF" w:rsidRPr="004C5A7A" w:rsidRDefault="009817AF">
            <w:pPr>
              <w:pStyle w:val="08-Tabelageral"/>
              <w:rPr>
                <w:rFonts w:cs="Arial"/>
              </w:rPr>
            </w:pPr>
            <w:r w:rsidRPr="004C5A7A">
              <w:rPr>
                <w:rFonts w:cs="Arial"/>
              </w:rPr>
              <w:t>--</w:t>
            </w:r>
          </w:p>
        </w:tc>
        <w:tc>
          <w:tcPr>
            <w:tcW w:w="281" w:type="dxa"/>
            <w:gridSpan w:val="2"/>
            <w:tcBorders>
              <w:top w:val="nil"/>
              <w:bottom w:val="single" w:sz="4" w:space="0" w:color="222A35" w:themeColor="text2" w:themeShade="80"/>
            </w:tcBorders>
            <w:shd w:val="clear" w:color="auto" w:fill="auto"/>
            <w:vAlign w:val="center"/>
          </w:tcPr>
          <w:p w14:paraId="0AF9A90C" w14:textId="77777777" w:rsidR="009817AF" w:rsidRPr="004C5A7A" w:rsidRDefault="009817AF">
            <w:pPr>
              <w:pStyle w:val="08-Tabelageral"/>
              <w:rPr>
                <w:rFonts w:cs="Arial"/>
              </w:rPr>
            </w:pPr>
          </w:p>
        </w:tc>
        <w:tc>
          <w:tcPr>
            <w:tcW w:w="1338" w:type="dxa"/>
            <w:tcBorders>
              <w:top w:val="nil"/>
              <w:bottom w:val="single" w:sz="4" w:space="0" w:color="222A35" w:themeColor="text2" w:themeShade="80"/>
            </w:tcBorders>
            <w:shd w:val="clear" w:color="auto" w:fill="auto"/>
            <w:vAlign w:val="center"/>
          </w:tcPr>
          <w:p w14:paraId="26D6EF41" w14:textId="77777777" w:rsidR="009817AF" w:rsidRPr="004C5A7A" w:rsidRDefault="009817AF">
            <w:pPr>
              <w:pStyle w:val="08-Tabelageral"/>
              <w:rPr>
                <w:rFonts w:cs="Arial"/>
              </w:rPr>
            </w:pPr>
            <w:r w:rsidRPr="00BF2AAF">
              <w:rPr>
                <w:rFonts w:cs="Arial"/>
              </w:rPr>
              <w:t>(51</w:t>
            </w:r>
            <w:r>
              <w:rPr>
                <w:rFonts w:cs="Arial"/>
              </w:rPr>
              <w:t>,</w:t>
            </w:r>
            <w:r w:rsidRPr="00BF2AAF">
              <w:rPr>
                <w:rFonts w:cs="Arial"/>
              </w:rPr>
              <w:t>198)</w:t>
            </w:r>
          </w:p>
        </w:tc>
        <w:tc>
          <w:tcPr>
            <w:tcW w:w="1531" w:type="dxa"/>
            <w:tcBorders>
              <w:top w:val="nil"/>
              <w:bottom w:val="single" w:sz="4" w:space="0" w:color="222A35" w:themeColor="text2" w:themeShade="80"/>
            </w:tcBorders>
            <w:shd w:val="clear" w:color="auto" w:fill="auto"/>
            <w:vAlign w:val="center"/>
          </w:tcPr>
          <w:p w14:paraId="1EA54571" w14:textId="77777777" w:rsidR="009817AF" w:rsidRPr="004C5A7A" w:rsidRDefault="009817AF">
            <w:pPr>
              <w:pStyle w:val="08-Tabelageral"/>
              <w:rPr>
                <w:rFonts w:cs="Arial"/>
              </w:rPr>
            </w:pPr>
            <w:r w:rsidRPr="00BF2AAF">
              <w:rPr>
                <w:rFonts w:cs="Arial"/>
              </w:rPr>
              <w:t>--</w:t>
            </w:r>
          </w:p>
        </w:tc>
      </w:tr>
    </w:tbl>
    <w:p w14:paraId="69F86FF6" w14:textId="77777777" w:rsidR="009817AF" w:rsidRPr="004C5A7A" w:rsidRDefault="009817AF" w:rsidP="00A76AF4">
      <w:pPr>
        <w:pStyle w:val="07-Legenda"/>
        <w:numPr>
          <w:ilvl w:val="0"/>
          <w:numId w:val="26"/>
        </w:numPr>
        <w:tabs>
          <w:tab w:val="clear" w:pos="284"/>
          <w:tab w:val="left" w:pos="851"/>
        </w:tabs>
        <w:ind w:left="284" w:hanging="284"/>
        <w:rPr>
          <w:rFonts w:cs="Arial"/>
        </w:rPr>
      </w:pPr>
      <w:proofErr w:type="spellStart"/>
      <w:r w:rsidRPr="004C5A7A">
        <w:rPr>
          <w:rFonts w:cs="Arial"/>
        </w:rPr>
        <w:t>Related</w:t>
      </w:r>
      <w:proofErr w:type="spellEnd"/>
      <w:r w:rsidRPr="004C5A7A">
        <w:rPr>
          <w:rFonts w:cs="Arial"/>
        </w:rPr>
        <w:t xml:space="preserve"> </w:t>
      </w:r>
      <w:proofErr w:type="spellStart"/>
      <w:r w:rsidRPr="004C5A7A">
        <w:rPr>
          <w:rFonts w:cs="Arial"/>
        </w:rPr>
        <w:t>companies</w:t>
      </w:r>
      <w:proofErr w:type="spellEnd"/>
      <w:r w:rsidRPr="004C5A7A">
        <w:rPr>
          <w:rFonts w:cs="Arial"/>
        </w:rPr>
        <w:t xml:space="preserve"> BB MAPFRE Participações S.A. </w:t>
      </w:r>
      <w:proofErr w:type="spellStart"/>
      <w:r w:rsidRPr="004C5A7A">
        <w:rPr>
          <w:rFonts w:cs="Arial"/>
        </w:rPr>
        <w:t>and</w:t>
      </w:r>
      <w:proofErr w:type="spellEnd"/>
      <w:r w:rsidRPr="004C5A7A">
        <w:rPr>
          <w:rFonts w:cs="Arial"/>
        </w:rPr>
        <w:t xml:space="preserve"> its </w:t>
      </w:r>
      <w:proofErr w:type="spellStart"/>
      <w:r w:rsidRPr="004C5A7A">
        <w:rPr>
          <w:rFonts w:cs="Arial"/>
        </w:rPr>
        <w:t>subsidiaries</w:t>
      </w:r>
      <w:proofErr w:type="spellEnd"/>
      <w:r w:rsidRPr="004C5A7A">
        <w:rPr>
          <w:rFonts w:cs="Arial"/>
        </w:rPr>
        <w:t xml:space="preserve">, Brasilprev Seguros e Previdência S.A. </w:t>
      </w:r>
      <w:proofErr w:type="spellStart"/>
      <w:r w:rsidRPr="004C5A7A">
        <w:rPr>
          <w:rFonts w:cs="Arial"/>
        </w:rPr>
        <w:t>Brasilcap</w:t>
      </w:r>
      <w:proofErr w:type="spellEnd"/>
      <w:r w:rsidRPr="004C5A7A">
        <w:rPr>
          <w:rFonts w:cs="Arial"/>
        </w:rPr>
        <w:t xml:space="preserve"> Capitalização S.A. </w:t>
      </w:r>
      <w:proofErr w:type="spellStart"/>
      <w:r w:rsidRPr="004C5A7A">
        <w:rPr>
          <w:rFonts w:cs="Arial"/>
        </w:rPr>
        <w:t>and</w:t>
      </w:r>
      <w:proofErr w:type="spellEnd"/>
      <w:r w:rsidRPr="004C5A7A">
        <w:rPr>
          <w:rFonts w:cs="Arial"/>
        </w:rPr>
        <w:t xml:space="preserve"> </w:t>
      </w:r>
      <w:proofErr w:type="spellStart"/>
      <w:r w:rsidRPr="004C5A7A">
        <w:rPr>
          <w:rFonts w:cs="Arial"/>
        </w:rPr>
        <w:t>Brasildental</w:t>
      </w:r>
      <w:proofErr w:type="spellEnd"/>
      <w:r w:rsidRPr="004C5A7A">
        <w:rPr>
          <w:rFonts w:cs="Arial"/>
        </w:rPr>
        <w:t xml:space="preserve"> S.A.</w:t>
      </w:r>
    </w:p>
    <w:p w14:paraId="7AEC2BB2" w14:textId="77777777" w:rsidR="009817AF" w:rsidRPr="004C5A7A" w:rsidRDefault="009817AF" w:rsidP="00A76AF4">
      <w:pPr>
        <w:pStyle w:val="07-Legenda"/>
        <w:numPr>
          <w:ilvl w:val="0"/>
          <w:numId w:val="26"/>
        </w:numPr>
        <w:tabs>
          <w:tab w:val="clear" w:pos="284"/>
          <w:tab w:val="left" w:pos="851"/>
        </w:tabs>
        <w:ind w:left="284" w:hanging="284"/>
        <w:rPr>
          <w:rFonts w:cs="Arial"/>
          <w:lang w:val="en-US"/>
        </w:rPr>
      </w:pPr>
      <w:r w:rsidRPr="004C5A7A">
        <w:rPr>
          <w:rFonts w:cs="Arial"/>
          <w:lang w:val="en-US"/>
        </w:rPr>
        <w:t xml:space="preserve">Refers to expenses as sharing contract customer data, use of staff, distribution network and resource materials technological and administrative, between the Banco do </w:t>
      </w:r>
      <w:proofErr w:type="spellStart"/>
      <w:r w:rsidRPr="004C5A7A">
        <w:rPr>
          <w:rFonts w:cs="Arial"/>
          <w:lang w:val="en-US"/>
        </w:rPr>
        <w:t>Brasil</w:t>
      </w:r>
      <w:proofErr w:type="spellEnd"/>
      <w:r w:rsidRPr="004C5A7A">
        <w:rPr>
          <w:rFonts w:cs="Arial"/>
          <w:lang w:val="en-US"/>
        </w:rPr>
        <w:t xml:space="preserve">, BB </w:t>
      </w:r>
      <w:proofErr w:type="spellStart"/>
      <w:r w:rsidRPr="004C5A7A">
        <w:rPr>
          <w:rFonts w:cs="Arial"/>
          <w:lang w:val="en-US"/>
        </w:rPr>
        <w:t>Seguridade</w:t>
      </w:r>
      <w:proofErr w:type="spellEnd"/>
      <w:r w:rsidRPr="004C5A7A">
        <w:rPr>
          <w:rFonts w:cs="Arial"/>
          <w:lang w:val="en-US"/>
        </w:rPr>
        <w:t xml:space="preserve">, BB </w:t>
      </w:r>
      <w:proofErr w:type="spellStart"/>
      <w:r w:rsidRPr="004C5A7A">
        <w:rPr>
          <w:rFonts w:cs="Arial"/>
          <w:lang w:val="en-US"/>
        </w:rPr>
        <w:t>Corretora</w:t>
      </w:r>
      <w:proofErr w:type="spellEnd"/>
      <w:r w:rsidRPr="004C5A7A">
        <w:rPr>
          <w:rFonts w:cs="Arial"/>
          <w:lang w:val="en-US"/>
        </w:rPr>
        <w:t xml:space="preserve"> and BB </w:t>
      </w:r>
      <w:proofErr w:type="spellStart"/>
      <w:r w:rsidRPr="004C5A7A">
        <w:rPr>
          <w:rFonts w:cs="Arial"/>
          <w:lang w:val="en-US"/>
        </w:rPr>
        <w:t>Seguros</w:t>
      </w:r>
      <w:proofErr w:type="spellEnd"/>
      <w:r w:rsidRPr="004C5A7A">
        <w:rPr>
          <w:rFonts w:cs="Arial"/>
          <w:lang w:val="en-US"/>
        </w:rPr>
        <w:t>.</w:t>
      </w:r>
    </w:p>
    <w:p w14:paraId="51554B1E" w14:textId="77777777" w:rsidR="009817AF" w:rsidRPr="004C5A7A" w:rsidRDefault="009817AF" w:rsidP="009817AF">
      <w:pPr>
        <w:pStyle w:val="07-Legenda"/>
        <w:tabs>
          <w:tab w:val="clear" w:pos="284"/>
          <w:tab w:val="left" w:pos="851"/>
        </w:tabs>
        <w:rPr>
          <w:rFonts w:cs="Arial"/>
          <w:lang w:val="en-US"/>
        </w:rPr>
      </w:pPr>
    </w:p>
    <w:p w14:paraId="502F96B0" w14:textId="77777777" w:rsidR="009817AF" w:rsidRPr="004C5A7A" w:rsidRDefault="009817AF" w:rsidP="00A76AF4">
      <w:pPr>
        <w:pStyle w:val="03-SubttulodeNota"/>
        <w:numPr>
          <w:ilvl w:val="0"/>
          <w:numId w:val="2"/>
        </w:numPr>
        <w:ind w:left="284" w:hanging="284"/>
        <w:rPr>
          <w:rFonts w:cs="Arial"/>
          <w:color w:val="1F3864" w:themeColor="accent1" w:themeShade="80"/>
          <w:sz w:val="18"/>
          <w:szCs w:val="18"/>
          <w:lang w:val="en-US"/>
        </w:rPr>
      </w:pPr>
      <w:r w:rsidRPr="004C5A7A">
        <w:rPr>
          <w:rFonts w:cs="Arial"/>
          <w:color w:val="1F3864" w:themeColor="accent1" w:themeShade="80"/>
          <w:sz w:val="18"/>
          <w:szCs w:val="18"/>
          <w:lang w:val="en-US"/>
        </w:rPr>
        <w:t>Compensation Paid to Employees and Directors</w:t>
      </w:r>
    </w:p>
    <w:p w14:paraId="4CB4C124" w14:textId="77777777" w:rsidR="009817AF" w:rsidRPr="004C5A7A" w:rsidRDefault="009817AF" w:rsidP="009817AF">
      <w:pPr>
        <w:pStyle w:val="05-Textonormal"/>
        <w:rPr>
          <w:rFonts w:cs="Arial"/>
          <w:lang w:val="en-US"/>
        </w:rPr>
      </w:pPr>
      <w:r w:rsidRPr="004C5A7A">
        <w:rPr>
          <w:rFonts w:cs="Arial"/>
          <w:lang w:val="en-US"/>
        </w:rPr>
        <w:t xml:space="preserve">On April 15, 2021, and May 27, 2021, an agreement of assignment new version of employees of Banco </w:t>
      </w:r>
      <w:proofErr w:type="gramStart"/>
      <w:r w:rsidRPr="004C5A7A">
        <w:rPr>
          <w:rFonts w:cs="Arial"/>
          <w:lang w:val="en-US"/>
        </w:rPr>
        <w:t>do</w:t>
      </w:r>
      <w:proofErr w:type="gramEnd"/>
      <w:r w:rsidRPr="004C5A7A">
        <w:rPr>
          <w:rFonts w:cs="Arial"/>
          <w:lang w:val="en-US"/>
        </w:rPr>
        <w:t xml:space="preserve"> </w:t>
      </w:r>
      <w:proofErr w:type="spellStart"/>
      <w:r w:rsidRPr="004C5A7A">
        <w:rPr>
          <w:rFonts w:cs="Arial"/>
          <w:lang w:val="en-US"/>
        </w:rPr>
        <w:t>Brasil</w:t>
      </w:r>
      <w:proofErr w:type="spellEnd"/>
      <w:r w:rsidRPr="004C5A7A">
        <w:rPr>
          <w:rFonts w:cs="Arial"/>
          <w:lang w:val="en-US"/>
        </w:rPr>
        <w:t xml:space="preserve"> S.A, to BB </w:t>
      </w:r>
      <w:proofErr w:type="spellStart"/>
      <w:r w:rsidRPr="004C5A7A">
        <w:rPr>
          <w:rFonts w:cs="Arial"/>
          <w:lang w:val="en-US"/>
        </w:rPr>
        <w:t>Seguridade</w:t>
      </w:r>
      <w:proofErr w:type="spellEnd"/>
      <w:r w:rsidRPr="004C5A7A">
        <w:rPr>
          <w:rFonts w:cs="Arial"/>
          <w:lang w:val="en-US"/>
        </w:rPr>
        <w:t xml:space="preserve">, for the office of Director levels, Management and other positions of trust was signed. The Banco do </w:t>
      </w:r>
      <w:proofErr w:type="spellStart"/>
      <w:r w:rsidRPr="004C5A7A">
        <w:rPr>
          <w:rFonts w:cs="Arial"/>
          <w:lang w:val="en-US"/>
        </w:rPr>
        <w:t>Brasil</w:t>
      </w:r>
      <w:proofErr w:type="spellEnd"/>
      <w:r w:rsidRPr="004C5A7A">
        <w:rPr>
          <w:rFonts w:cs="Arial"/>
          <w:lang w:val="en-US"/>
        </w:rPr>
        <w:t xml:space="preserve"> S.A. continues to process the payroll of the transferred employees, receiving a monthly repayment of all current costs from BB </w:t>
      </w:r>
      <w:proofErr w:type="spellStart"/>
      <w:r w:rsidRPr="004C5A7A">
        <w:rPr>
          <w:rFonts w:cs="Arial"/>
          <w:lang w:val="en-US"/>
        </w:rPr>
        <w:t>Seguridade</w:t>
      </w:r>
      <w:proofErr w:type="spellEnd"/>
      <w:r w:rsidRPr="004C5A7A">
        <w:rPr>
          <w:rFonts w:cs="Arial"/>
          <w:lang w:val="en-US"/>
        </w:rPr>
        <w:t>. On December 31, 2024, there were 188 employees assigned (190 on December 31, 2023), considering those occupying non-statutory and statutory functions (Executive Board).</w:t>
      </w:r>
    </w:p>
    <w:p w14:paraId="4D626ECC" w14:textId="77777777" w:rsidR="009817AF" w:rsidRPr="004C5A7A" w:rsidRDefault="009817AF" w:rsidP="009163E1">
      <w:pPr>
        <w:pStyle w:val="03-SubttulodeNota"/>
        <w:keepNext/>
        <w:numPr>
          <w:ilvl w:val="0"/>
          <w:numId w:val="2"/>
        </w:numPr>
        <w:ind w:left="284" w:hanging="284"/>
        <w:rPr>
          <w:rFonts w:cs="Arial"/>
          <w:color w:val="1F3864" w:themeColor="accent1" w:themeShade="80"/>
          <w:sz w:val="18"/>
          <w:szCs w:val="18"/>
        </w:rPr>
      </w:pPr>
      <w:proofErr w:type="spellStart"/>
      <w:r w:rsidRPr="004C5A7A">
        <w:rPr>
          <w:rFonts w:cs="Arial"/>
          <w:color w:val="1F3864" w:themeColor="accent1" w:themeShade="80"/>
          <w:sz w:val="18"/>
          <w:szCs w:val="18"/>
        </w:rPr>
        <w:t>Remuneration</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of</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employees</w:t>
      </w:r>
      <w:proofErr w:type="spellEnd"/>
      <w:r w:rsidRPr="004C5A7A">
        <w:rPr>
          <w:rFonts w:cs="Arial"/>
          <w:color w:val="1F3864" w:themeColor="accent1" w:themeShade="80"/>
          <w:sz w:val="18"/>
          <w:szCs w:val="18"/>
        </w:rPr>
        <w:t xml:space="preserve"> </w:t>
      </w:r>
      <w:proofErr w:type="spellStart"/>
      <w:r w:rsidRPr="004C5A7A">
        <w:rPr>
          <w:rFonts w:cs="Arial"/>
          <w:color w:val="1F3864" w:themeColor="accent1" w:themeShade="80"/>
          <w:sz w:val="18"/>
          <w:szCs w:val="18"/>
        </w:rPr>
        <w:t>and</w:t>
      </w:r>
      <w:proofErr w:type="spellEnd"/>
      <w:r w:rsidRPr="004C5A7A">
        <w:rPr>
          <w:rFonts w:cs="Arial"/>
          <w:color w:val="1F3864" w:themeColor="accent1" w:themeShade="80"/>
          <w:sz w:val="18"/>
          <w:szCs w:val="18"/>
        </w:rPr>
        <w:t xml:space="preserve"> managers</w:t>
      </w:r>
    </w:p>
    <w:p w14:paraId="54417774" w14:textId="77777777" w:rsidR="009817AF" w:rsidRPr="004C5A7A" w:rsidRDefault="009817AF" w:rsidP="009163E1">
      <w:pPr>
        <w:pStyle w:val="05-Textonormal"/>
        <w:keepNext/>
        <w:rPr>
          <w:rFonts w:cs="Arial"/>
          <w:lang w:val="en-US"/>
        </w:rPr>
      </w:pPr>
      <w:r w:rsidRPr="004C5A7A">
        <w:rPr>
          <w:rFonts w:cs="Arial"/>
          <w:lang w:val="en-US"/>
        </w:rPr>
        <w:t xml:space="preserve">Monthly wages paid to employees and Directors of the BB </w:t>
      </w:r>
      <w:proofErr w:type="spellStart"/>
      <w:r w:rsidRPr="004C5A7A">
        <w:rPr>
          <w:rFonts w:cs="Arial"/>
          <w:lang w:val="en-US"/>
        </w:rPr>
        <w:t>Seguridade</w:t>
      </w:r>
      <w:proofErr w:type="spellEnd"/>
      <w:r w:rsidRPr="004C5A7A">
        <w:rPr>
          <w:rFonts w:cs="Arial"/>
          <w:lang w:val="en-US"/>
        </w:rPr>
        <w:t xml:space="preserve"> S.A.</w:t>
      </w:r>
    </w:p>
    <w:p w14:paraId="6E9073D5" w14:textId="77777777" w:rsidR="009817AF" w:rsidRPr="00D311AA" w:rsidRDefault="009817AF" w:rsidP="009163E1">
      <w:pPr>
        <w:pStyle w:val="05-Textonormal"/>
        <w:keepNext/>
        <w:spacing w:before="0" w:after="0" w:line="240" w:lineRule="auto"/>
        <w:jc w:val="right"/>
        <w:rPr>
          <w:rFonts w:cs="Arial"/>
          <w:b/>
          <w:sz w:val="14"/>
          <w:szCs w:val="14"/>
          <w:lang w:eastAsia="zh-CN"/>
        </w:rPr>
      </w:pPr>
      <w:r w:rsidRPr="009817AF">
        <w:rPr>
          <w:rFonts w:cs="Arial"/>
          <w:b/>
          <w:sz w:val="14"/>
          <w:szCs w:val="14"/>
          <w:lang w:val="en-US" w:eastAsia="zh-CN"/>
        </w:rPr>
        <w:tab/>
      </w:r>
      <w:r w:rsidRPr="009817AF">
        <w:rPr>
          <w:rFonts w:cs="Arial"/>
          <w:b/>
          <w:sz w:val="14"/>
          <w:szCs w:val="14"/>
          <w:lang w:val="en-US" w:eastAsia="zh-CN"/>
        </w:rPr>
        <w:tab/>
      </w:r>
      <w:r w:rsidRPr="00D311AA">
        <w:rPr>
          <w:rFonts w:cs="Arial"/>
          <w:b/>
          <w:sz w:val="14"/>
          <w:szCs w:val="14"/>
          <w:lang w:eastAsia="zh-CN"/>
        </w:rPr>
        <w:t>In Reais</w:t>
      </w:r>
    </w:p>
    <w:tbl>
      <w:tblPr>
        <w:tblW w:w="9747"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526"/>
      </w:tblGrid>
      <w:tr w:rsidR="009817AF" w:rsidRPr="00530549" w14:paraId="094D754F" w14:textId="77777777">
        <w:trPr>
          <w:trHeight w:val="227"/>
        </w:trPr>
        <w:tc>
          <w:tcPr>
            <w:tcW w:w="6521" w:type="dxa"/>
            <w:gridSpan w:val="4"/>
            <w:tcBorders>
              <w:top w:val="single" w:sz="2" w:space="0" w:color="1F3864" w:themeColor="accent1" w:themeShade="80"/>
              <w:bottom w:val="single" w:sz="2" w:space="0" w:color="1F3864" w:themeColor="accent1" w:themeShade="80"/>
            </w:tcBorders>
          </w:tcPr>
          <w:p w14:paraId="36B8924A" w14:textId="77777777" w:rsidR="009817AF" w:rsidRPr="00530549" w:rsidRDefault="009817AF">
            <w:pPr>
              <w:keepNext/>
              <w:keepLines/>
              <w:spacing w:before="40" w:after="40"/>
              <w:jc w:val="right"/>
              <w:rPr>
                <w:rFonts w:ascii="Arial" w:hAnsi="Arial" w:cs="Arial"/>
                <w:b/>
                <w:bCs/>
                <w:spacing w:val="-2"/>
                <w:sz w:val="14"/>
                <w:szCs w:val="18"/>
              </w:rPr>
            </w:pPr>
          </w:p>
        </w:tc>
        <w:tc>
          <w:tcPr>
            <w:tcW w:w="283" w:type="dxa"/>
            <w:tcBorders>
              <w:top w:val="single" w:sz="2" w:space="0" w:color="1F3864" w:themeColor="accent1" w:themeShade="80"/>
              <w:bottom w:val="single" w:sz="2" w:space="0" w:color="1F3864" w:themeColor="accent1" w:themeShade="80"/>
            </w:tcBorders>
          </w:tcPr>
          <w:p w14:paraId="61D0E78A" w14:textId="77777777" w:rsidR="009817AF" w:rsidRPr="00530549" w:rsidRDefault="009817AF">
            <w:pPr>
              <w:keepNext/>
              <w:keepLines/>
              <w:spacing w:before="40" w:after="40"/>
              <w:jc w:val="right"/>
              <w:rPr>
                <w:rFonts w:ascii="Arial" w:hAnsi="Arial" w:cs="Arial"/>
                <w:b/>
                <w:bCs/>
                <w:spacing w:val="-2"/>
                <w:sz w:val="14"/>
                <w:szCs w:val="18"/>
              </w:rPr>
            </w:pPr>
          </w:p>
        </w:tc>
        <w:tc>
          <w:tcPr>
            <w:tcW w:w="1417" w:type="dxa"/>
            <w:tcBorders>
              <w:top w:val="single" w:sz="2" w:space="0" w:color="1F3864" w:themeColor="accent1" w:themeShade="80"/>
              <w:bottom w:val="single" w:sz="2" w:space="0" w:color="1F3864" w:themeColor="accent1" w:themeShade="80"/>
            </w:tcBorders>
          </w:tcPr>
          <w:p w14:paraId="264F7DFD" w14:textId="77777777" w:rsidR="009817AF" w:rsidRPr="00530549" w:rsidRDefault="009817AF">
            <w:pPr>
              <w:keepNext/>
              <w:keepLines/>
              <w:spacing w:before="40" w:after="40"/>
              <w:jc w:val="right"/>
              <w:rPr>
                <w:rFonts w:ascii="Arial" w:hAnsi="Arial" w:cs="Arial"/>
                <w:b/>
                <w:bCs/>
                <w:spacing w:val="-2"/>
                <w:sz w:val="14"/>
                <w:szCs w:val="18"/>
              </w:rPr>
            </w:pPr>
            <w:r w:rsidRPr="00530549">
              <w:rPr>
                <w:rFonts w:ascii="Arial" w:hAnsi="Arial" w:cs="Arial"/>
                <w:b/>
                <w:bCs/>
                <w:spacing w:val="-2"/>
                <w:sz w:val="14"/>
                <w:szCs w:val="18"/>
              </w:rPr>
              <w:t>202</w:t>
            </w:r>
            <w:r>
              <w:rPr>
                <w:rFonts w:ascii="Arial" w:hAnsi="Arial" w:cs="Arial"/>
                <w:b/>
                <w:bCs/>
                <w:spacing w:val="-2"/>
                <w:sz w:val="14"/>
                <w:szCs w:val="18"/>
              </w:rPr>
              <w:t>4</w:t>
            </w:r>
          </w:p>
        </w:tc>
        <w:tc>
          <w:tcPr>
            <w:tcW w:w="1526" w:type="dxa"/>
            <w:tcBorders>
              <w:top w:val="single" w:sz="2" w:space="0" w:color="1F3864" w:themeColor="accent1" w:themeShade="80"/>
              <w:bottom w:val="single" w:sz="2" w:space="0" w:color="1F3864" w:themeColor="accent1" w:themeShade="80"/>
            </w:tcBorders>
          </w:tcPr>
          <w:p w14:paraId="52A1191E" w14:textId="77777777" w:rsidR="009817AF" w:rsidRPr="00530549" w:rsidRDefault="009817AF">
            <w:pPr>
              <w:keepNext/>
              <w:keepLines/>
              <w:spacing w:before="40" w:after="40"/>
              <w:jc w:val="right"/>
              <w:rPr>
                <w:rFonts w:ascii="Arial" w:hAnsi="Arial" w:cs="Arial"/>
                <w:b/>
                <w:bCs/>
                <w:spacing w:val="-2"/>
                <w:sz w:val="14"/>
                <w:szCs w:val="18"/>
              </w:rPr>
            </w:pPr>
            <w:r w:rsidRPr="00530549">
              <w:rPr>
                <w:rFonts w:ascii="Arial" w:hAnsi="Arial" w:cs="Arial"/>
                <w:b/>
                <w:bCs/>
                <w:spacing w:val="-2"/>
                <w:sz w:val="14"/>
                <w:szCs w:val="18"/>
              </w:rPr>
              <w:t>202</w:t>
            </w:r>
            <w:r>
              <w:rPr>
                <w:rFonts w:ascii="Arial" w:hAnsi="Arial" w:cs="Arial"/>
                <w:b/>
                <w:bCs/>
                <w:spacing w:val="-2"/>
                <w:sz w:val="14"/>
                <w:szCs w:val="18"/>
              </w:rPr>
              <w:t>3</w:t>
            </w:r>
          </w:p>
        </w:tc>
      </w:tr>
      <w:tr w:rsidR="009817AF" w:rsidRPr="00530549" w14:paraId="537C6FAE" w14:textId="77777777">
        <w:trPr>
          <w:trHeight w:val="227"/>
        </w:trPr>
        <w:tc>
          <w:tcPr>
            <w:tcW w:w="3094" w:type="dxa"/>
          </w:tcPr>
          <w:p w14:paraId="7B9A1044" w14:textId="77777777" w:rsidR="009817AF" w:rsidRPr="004C5A7A" w:rsidRDefault="009817AF">
            <w:pPr>
              <w:pStyle w:val="08-Tabelageral"/>
              <w:jc w:val="left"/>
              <w:rPr>
                <w:rFonts w:cs="Arial"/>
                <w:b/>
              </w:rPr>
            </w:pPr>
            <w:r w:rsidRPr="004C5A7A">
              <w:rPr>
                <w:rFonts w:cs="Arial"/>
                <w:b/>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606F0639" w14:textId="77777777" w:rsidR="009817AF" w:rsidRPr="004C5A7A" w:rsidRDefault="009817AF">
            <w:pPr>
              <w:pStyle w:val="08-Tabelageral"/>
              <w:rPr>
                <w:rFonts w:cs="Arial"/>
                <w:b/>
              </w:rPr>
            </w:pPr>
          </w:p>
        </w:tc>
        <w:tc>
          <w:tcPr>
            <w:tcW w:w="1411" w:type="dxa"/>
          </w:tcPr>
          <w:p w14:paraId="1E4EACEC" w14:textId="77777777" w:rsidR="009817AF" w:rsidRPr="004C5A7A" w:rsidRDefault="009817AF">
            <w:pPr>
              <w:pStyle w:val="08-Tabelageral"/>
              <w:rPr>
                <w:rFonts w:cs="Arial"/>
                <w:b/>
              </w:rPr>
            </w:pPr>
          </w:p>
        </w:tc>
        <w:tc>
          <w:tcPr>
            <w:tcW w:w="1412" w:type="dxa"/>
          </w:tcPr>
          <w:p w14:paraId="4B4CA902" w14:textId="77777777" w:rsidR="009817AF" w:rsidRPr="004C5A7A" w:rsidRDefault="009817AF">
            <w:pPr>
              <w:pStyle w:val="08-Tabelageral"/>
              <w:rPr>
                <w:rFonts w:cs="Arial"/>
                <w:b/>
              </w:rPr>
            </w:pPr>
          </w:p>
        </w:tc>
        <w:tc>
          <w:tcPr>
            <w:tcW w:w="283" w:type="dxa"/>
          </w:tcPr>
          <w:p w14:paraId="56FC924F" w14:textId="77777777" w:rsidR="009817AF" w:rsidRPr="004C5A7A" w:rsidRDefault="009817AF">
            <w:pPr>
              <w:pStyle w:val="08-Tabelageral"/>
              <w:rPr>
                <w:rFonts w:cs="Arial"/>
                <w:b/>
              </w:rPr>
            </w:pPr>
          </w:p>
        </w:tc>
        <w:tc>
          <w:tcPr>
            <w:tcW w:w="1417" w:type="dxa"/>
            <w:vAlign w:val="center"/>
          </w:tcPr>
          <w:p w14:paraId="3285BFB6" w14:textId="77777777" w:rsidR="009817AF" w:rsidRPr="004C5A7A" w:rsidRDefault="009817AF">
            <w:pPr>
              <w:pStyle w:val="08-Tabelageral"/>
              <w:rPr>
                <w:rFonts w:cs="Arial"/>
                <w:b/>
              </w:rPr>
            </w:pPr>
          </w:p>
        </w:tc>
        <w:tc>
          <w:tcPr>
            <w:tcW w:w="1526" w:type="dxa"/>
            <w:vAlign w:val="center"/>
          </w:tcPr>
          <w:p w14:paraId="501868E1" w14:textId="77777777" w:rsidR="009817AF" w:rsidRPr="004C5A7A" w:rsidRDefault="009817AF">
            <w:pPr>
              <w:pStyle w:val="08-Tabelageral"/>
              <w:rPr>
                <w:rFonts w:cs="Arial"/>
                <w:b/>
              </w:rPr>
            </w:pPr>
            <w:r>
              <w:rPr>
                <w:rStyle w:val="eop"/>
                <w:rFonts w:cs="Arial"/>
                <w:szCs w:val="14"/>
              </w:rPr>
              <w:t> </w:t>
            </w:r>
          </w:p>
        </w:tc>
      </w:tr>
      <w:tr w:rsidR="009817AF" w:rsidRPr="00D311AA" w14:paraId="04F5A03C" w14:textId="77777777">
        <w:trPr>
          <w:trHeight w:val="227"/>
        </w:trPr>
        <w:tc>
          <w:tcPr>
            <w:tcW w:w="3094" w:type="dxa"/>
          </w:tcPr>
          <w:p w14:paraId="67D54E49" w14:textId="77777777" w:rsidR="009817AF" w:rsidRPr="004C5A7A" w:rsidRDefault="009817AF">
            <w:pPr>
              <w:pStyle w:val="08-Tabelageral"/>
              <w:jc w:val="left"/>
              <w:rPr>
                <w:rFonts w:cs="Arial"/>
                <w:b/>
              </w:rPr>
            </w:pPr>
            <w:proofErr w:type="spellStart"/>
            <w:r w:rsidRPr="004C5A7A">
              <w:rPr>
                <w:rFonts w:cs="Arial"/>
              </w:rPr>
              <w:t>Director-President</w:t>
            </w:r>
            <w:proofErr w:type="spellEnd"/>
          </w:p>
        </w:tc>
        <w:tc>
          <w:tcPr>
            <w:tcW w:w="604" w:type="dxa"/>
          </w:tcPr>
          <w:p w14:paraId="7D292BD2" w14:textId="77777777" w:rsidR="009817AF" w:rsidRPr="004C5A7A" w:rsidRDefault="009817AF">
            <w:pPr>
              <w:pStyle w:val="08-Tabelageral"/>
              <w:rPr>
                <w:rFonts w:cs="Arial"/>
              </w:rPr>
            </w:pPr>
          </w:p>
        </w:tc>
        <w:tc>
          <w:tcPr>
            <w:tcW w:w="1411" w:type="dxa"/>
          </w:tcPr>
          <w:p w14:paraId="2F83074F" w14:textId="77777777" w:rsidR="009817AF" w:rsidRPr="004C5A7A" w:rsidRDefault="009817AF">
            <w:pPr>
              <w:pStyle w:val="08-Tabelageral"/>
              <w:rPr>
                <w:rFonts w:cs="Arial"/>
              </w:rPr>
            </w:pPr>
          </w:p>
        </w:tc>
        <w:tc>
          <w:tcPr>
            <w:tcW w:w="1412" w:type="dxa"/>
          </w:tcPr>
          <w:p w14:paraId="50BC2A74" w14:textId="77777777" w:rsidR="009817AF" w:rsidRPr="004C5A7A" w:rsidRDefault="009817AF">
            <w:pPr>
              <w:pStyle w:val="08-Tabelageral"/>
              <w:rPr>
                <w:rFonts w:cs="Arial"/>
              </w:rPr>
            </w:pPr>
          </w:p>
        </w:tc>
        <w:tc>
          <w:tcPr>
            <w:tcW w:w="283" w:type="dxa"/>
          </w:tcPr>
          <w:p w14:paraId="5DB58C4A" w14:textId="77777777" w:rsidR="009817AF" w:rsidRPr="004C5A7A" w:rsidRDefault="009817AF">
            <w:pPr>
              <w:pStyle w:val="08-Tabelageral"/>
              <w:rPr>
                <w:rFonts w:cs="Arial"/>
              </w:rPr>
            </w:pPr>
          </w:p>
        </w:tc>
        <w:tc>
          <w:tcPr>
            <w:tcW w:w="1417" w:type="dxa"/>
            <w:tcBorders>
              <w:top w:val="nil"/>
            </w:tcBorders>
            <w:shd w:val="clear" w:color="auto" w:fill="auto"/>
          </w:tcPr>
          <w:p w14:paraId="18D3DF28" w14:textId="77777777" w:rsidR="009817AF" w:rsidRPr="004C5A7A" w:rsidRDefault="009817AF">
            <w:pPr>
              <w:pStyle w:val="08-Tabelageral"/>
              <w:rPr>
                <w:rFonts w:cs="Arial"/>
              </w:rPr>
            </w:pPr>
            <w:r w:rsidRPr="004C5A7A">
              <w:rPr>
                <w:rFonts w:cs="Arial"/>
              </w:rPr>
              <w:t>70,205.95</w:t>
            </w:r>
          </w:p>
        </w:tc>
        <w:tc>
          <w:tcPr>
            <w:tcW w:w="1526" w:type="dxa"/>
            <w:tcBorders>
              <w:top w:val="nil"/>
            </w:tcBorders>
            <w:shd w:val="clear" w:color="auto" w:fill="auto"/>
          </w:tcPr>
          <w:p w14:paraId="1324C711" w14:textId="77777777" w:rsidR="009817AF" w:rsidRPr="004C5A7A" w:rsidRDefault="009817AF">
            <w:pPr>
              <w:pStyle w:val="08-Tabelageral"/>
              <w:rPr>
                <w:rFonts w:cs="Arial"/>
              </w:rPr>
            </w:pPr>
            <w:r w:rsidRPr="00BF2AAF">
              <w:rPr>
                <w:rFonts w:cs="Arial"/>
              </w:rPr>
              <w:t>67</w:t>
            </w:r>
            <w:r>
              <w:rPr>
                <w:rFonts w:cs="Arial"/>
              </w:rPr>
              <w:t>,</w:t>
            </w:r>
            <w:r w:rsidRPr="00BF2AAF">
              <w:rPr>
                <w:rFonts w:cs="Arial"/>
              </w:rPr>
              <w:t>105</w:t>
            </w:r>
            <w:r>
              <w:rPr>
                <w:rFonts w:cs="Arial"/>
              </w:rPr>
              <w:t>.</w:t>
            </w:r>
            <w:r w:rsidRPr="00BF2AAF">
              <w:rPr>
                <w:rFonts w:cs="Arial"/>
              </w:rPr>
              <w:t>66</w:t>
            </w:r>
          </w:p>
        </w:tc>
      </w:tr>
      <w:tr w:rsidR="009817AF" w:rsidRPr="00D311AA" w14:paraId="0F05653B" w14:textId="77777777">
        <w:trPr>
          <w:trHeight w:val="227"/>
        </w:trPr>
        <w:tc>
          <w:tcPr>
            <w:tcW w:w="3094" w:type="dxa"/>
          </w:tcPr>
          <w:p w14:paraId="5E10D518" w14:textId="77777777" w:rsidR="009817AF" w:rsidRPr="004C5A7A" w:rsidRDefault="009817AF">
            <w:pPr>
              <w:pStyle w:val="08-Tabelageral"/>
              <w:jc w:val="left"/>
              <w:rPr>
                <w:rFonts w:cs="Arial"/>
                <w:b/>
              </w:rPr>
            </w:pPr>
            <w:proofErr w:type="spellStart"/>
            <w:r w:rsidRPr="004C5A7A">
              <w:rPr>
                <w:rFonts w:cs="Arial"/>
              </w:rPr>
              <w:t>Director</w:t>
            </w:r>
            <w:proofErr w:type="spellEnd"/>
          </w:p>
        </w:tc>
        <w:tc>
          <w:tcPr>
            <w:tcW w:w="604" w:type="dxa"/>
          </w:tcPr>
          <w:p w14:paraId="46CBD581" w14:textId="77777777" w:rsidR="009817AF" w:rsidRPr="004C5A7A" w:rsidRDefault="009817AF">
            <w:pPr>
              <w:pStyle w:val="08-Tabelageral"/>
              <w:rPr>
                <w:rFonts w:cs="Arial"/>
              </w:rPr>
            </w:pPr>
          </w:p>
        </w:tc>
        <w:tc>
          <w:tcPr>
            <w:tcW w:w="1411" w:type="dxa"/>
          </w:tcPr>
          <w:p w14:paraId="14CAA343" w14:textId="77777777" w:rsidR="009817AF" w:rsidRPr="004C5A7A" w:rsidRDefault="009817AF">
            <w:pPr>
              <w:pStyle w:val="08-Tabelageral"/>
              <w:rPr>
                <w:rFonts w:cs="Arial"/>
              </w:rPr>
            </w:pPr>
          </w:p>
        </w:tc>
        <w:tc>
          <w:tcPr>
            <w:tcW w:w="1412" w:type="dxa"/>
          </w:tcPr>
          <w:p w14:paraId="3CE5FC4F" w14:textId="77777777" w:rsidR="009817AF" w:rsidRPr="004C5A7A" w:rsidRDefault="009817AF">
            <w:pPr>
              <w:pStyle w:val="08-Tabelageral"/>
              <w:rPr>
                <w:rFonts w:cs="Arial"/>
              </w:rPr>
            </w:pPr>
          </w:p>
        </w:tc>
        <w:tc>
          <w:tcPr>
            <w:tcW w:w="283" w:type="dxa"/>
          </w:tcPr>
          <w:p w14:paraId="5E0D3AAA" w14:textId="77777777" w:rsidR="009817AF" w:rsidRPr="004C5A7A" w:rsidRDefault="009817AF">
            <w:pPr>
              <w:pStyle w:val="08-Tabelageral"/>
              <w:rPr>
                <w:rFonts w:cs="Arial"/>
              </w:rPr>
            </w:pPr>
          </w:p>
        </w:tc>
        <w:tc>
          <w:tcPr>
            <w:tcW w:w="1417" w:type="dxa"/>
            <w:shd w:val="clear" w:color="auto" w:fill="auto"/>
          </w:tcPr>
          <w:p w14:paraId="3C906F0A" w14:textId="77777777" w:rsidR="009817AF" w:rsidRPr="004C5A7A" w:rsidRDefault="009817AF">
            <w:pPr>
              <w:pStyle w:val="08-Tabelageral"/>
              <w:rPr>
                <w:rFonts w:cs="Arial"/>
              </w:rPr>
            </w:pPr>
            <w:r w:rsidRPr="004C5A7A">
              <w:rPr>
                <w:rFonts w:cs="Arial"/>
              </w:rPr>
              <w:t>59,500.97</w:t>
            </w:r>
          </w:p>
        </w:tc>
        <w:tc>
          <w:tcPr>
            <w:tcW w:w="1526" w:type="dxa"/>
            <w:shd w:val="clear" w:color="auto" w:fill="auto"/>
          </w:tcPr>
          <w:p w14:paraId="0C009FF6" w14:textId="77777777" w:rsidR="009817AF" w:rsidRPr="004C5A7A" w:rsidRDefault="009817AF">
            <w:pPr>
              <w:pStyle w:val="08-Tabelageral"/>
              <w:rPr>
                <w:rFonts w:cs="Arial"/>
              </w:rPr>
            </w:pPr>
            <w:r w:rsidRPr="00BF2AAF">
              <w:rPr>
                <w:rFonts w:cs="Arial"/>
              </w:rPr>
              <w:t>56</w:t>
            </w:r>
            <w:r>
              <w:rPr>
                <w:rFonts w:cs="Arial"/>
              </w:rPr>
              <w:t>,</w:t>
            </w:r>
            <w:r w:rsidRPr="00BF2AAF">
              <w:rPr>
                <w:rFonts w:cs="Arial"/>
              </w:rPr>
              <w:t>873</w:t>
            </w:r>
            <w:r>
              <w:rPr>
                <w:rFonts w:cs="Arial"/>
              </w:rPr>
              <w:t>.</w:t>
            </w:r>
            <w:r w:rsidRPr="00BF2AAF">
              <w:rPr>
                <w:rFonts w:cs="Arial"/>
              </w:rPr>
              <w:t>42</w:t>
            </w:r>
          </w:p>
        </w:tc>
      </w:tr>
      <w:tr w:rsidR="009817AF" w:rsidRPr="00D311AA" w14:paraId="7FDBFCCB" w14:textId="77777777">
        <w:trPr>
          <w:trHeight w:val="227"/>
        </w:trPr>
        <w:tc>
          <w:tcPr>
            <w:tcW w:w="3094" w:type="dxa"/>
          </w:tcPr>
          <w:p w14:paraId="5D093923" w14:textId="77777777" w:rsidR="009817AF" w:rsidRPr="004C5A7A" w:rsidRDefault="009817AF">
            <w:pPr>
              <w:pStyle w:val="08-Tabelageral"/>
              <w:jc w:val="left"/>
              <w:rPr>
                <w:rFonts w:cs="Arial"/>
                <w:b/>
              </w:rPr>
            </w:pPr>
          </w:p>
        </w:tc>
        <w:tc>
          <w:tcPr>
            <w:tcW w:w="604" w:type="dxa"/>
          </w:tcPr>
          <w:p w14:paraId="45E1D01A" w14:textId="77777777" w:rsidR="009817AF" w:rsidRPr="004C5A7A" w:rsidRDefault="009817AF">
            <w:pPr>
              <w:pStyle w:val="08-Tabelageral"/>
              <w:rPr>
                <w:rFonts w:cs="Arial"/>
              </w:rPr>
            </w:pPr>
          </w:p>
        </w:tc>
        <w:tc>
          <w:tcPr>
            <w:tcW w:w="1411" w:type="dxa"/>
          </w:tcPr>
          <w:p w14:paraId="02F94DDD" w14:textId="77777777" w:rsidR="009817AF" w:rsidRPr="004C5A7A" w:rsidRDefault="009817AF">
            <w:pPr>
              <w:pStyle w:val="08-Tabelageral"/>
              <w:rPr>
                <w:rFonts w:cs="Arial"/>
              </w:rPr>
            </w:pPr>
          </w:p>
        </w:tc>
        <w:tc>
          <w:tcPr>
            <w:tcW w:w="1412" w:type="dxa"/>
          </w:tcPr>
          <w:p w14:paraId="312CD7A6" w14:textId="77777777" w:rsidR="009817AF" w:rsidRPr="004C5A7A" w:rsidRDefault="009817AF">
            <w:pPr>
              <w:pStyle w:val="08-Tabelageral"/>
              <w:rPr>
                <w:rFonts w:cs="Arial"/>
              </w:rPr>
            </w:pPr>
          </w:p>
        </w:tc>
        <w:tc>
          <w:tcPr>
            <w:tcW w:w="283" w:type="dxa"/>
          </w:tcPr>
          <w:p w14:paraId="2059D646" w14:textId="77777777" w:rsidR="009817AF" w:rsidRPr="004C5A7A" w:rsidRDefault="009817AF">
            <w:pPr>
              <w:pStyle w:val="08-Tabelageral"/>
              <w:rPr>
                <w:rFonts w:cs="Arial"/>
              </w:rPr>
            </w:pPr>
          </w:p>
        </w:tc>
        <w:tc>
          <w:tcPr>
            <w:tcW w:w="1417" w:type="dxa"/>
            <w:shd w:val="clear" w:color="auto" w:fill="auto"/>
          </w:tcPr>
          <w:p w14:paraId="317DF32D" w14:textId="77777777" w:rsidR="009817AF" w:rsidRPr="004C5A7A" w:rsidRDefault="009817AF">
            <w:pPr>
              <w:pStyle w:val="08-Tabelageral"/>
              <w:rPr>
                <w:rFonts w:cs="Arial"/>
              </w:rPr>
            </w:pPr>
          </w:p>
        </w:tc>
        <w:tc>
          <w:tcPr>
            <w:tcW w:w="1526" w:type="dxa"/>
            <w:shd w:val="clear" w:color="auto" w:fill="auto"/>
            <w:vAlign w:val="center"/>
          </w:tcPr>
          <w:p w14:paraId="47E6E495" w14:textId="77777777" w:rsidR="009817AF" w:rsidRPr="004C5A7A" w:rsidRDefault="009817AF">
            <w:pPr>
              <w:pStyle w:val="08-Tabelageral"/>
              <w:rPr>
                <w:rFonts w:cs="Arial"/>
              </w:rPr>
            </w:pPr>
          </w:p>
        </w:tc>
      </w:tr>
      <w:tr w:rsidR="009817AF" w:rsidRPr="00530549" w14:paraId="1A541180" w14:textId="77777777">
        <w:trPr>
          <w:trHeight w:val="227"/>
        </w:trPr>
        <w:tc>
          <w:tcPr>
            <w:tcW w:w="3094" w:type="dxa"/>
          </w:tcPr>
          <w:p w14:paraId="357E01B1" w14:textId="77777777" w:rsidR="009817AF" w:rsidRPr="004C5A7A" w:rsidRDefault="009817AF">
            <w:pPr>
              <w:pStyle w:val="08-Tabelageral"/>
              <w:jc w:val="left"/>
              <w:rPr>
                <w:rFonts w:cs="Arial"/>
                <w:b/>
              </w:rPr>
            </w:pPr>
            <w:proofErr w:type="spellStart"/>
            <w:r w:rsidRPr="004C5A7A">
              <w:rPr>
                <w:rFonts w:cs="Arial"/>
                <w:b/>
              </w:rPr>
              <w:t>Council</w:t>
            </w:r>
            <w:proofErr w:type="spellEnd"/>
            <w:r w:rsidRPr="004C5A7A">
              <w:rPr>
                <w:rFonts w:cs="Arial"/>
                <w:b/>
              </w:rPr>
              <w:t xml:space="preserve"> </w:t>
            </w:r>
            <w:proofErr w:type="spellStart"/>
            <w:r w:rsidRPr="004C5A7A">
              <w:rPr>
                <w:rFonts w:cs="Arial"/>
                <w:b/>
              </w:rPr>
              <w:t>members</w:t>
            </w:r>
            <w:proofErr w:type="spellEnd"/>
            <w:r w:rsidRPr="004C5A7A">
              <w:rPr>
                <w:rFonts w:cs="Arial"/>
                <w:b/>
              </w:rP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604" w:type="dxa"/>
          </w:tcPr>
          <w:p w14:paraId="3E13A636" w14:textId="77777777" w:rsidR="009817AF" w:rsidRPr="004C5A7A" w:rsidRDefault="009817AF">
            <w:pPr>
              <w:pStyle w:val="08-Tabelageral"/>
              <w:rPr>
                <w:rFonts w:cs="Arial"/>
                <w:b/>
              </w:rPr>
            </w:pPr>
          </w:p>
        </w:tc>
        <w:tc>
          <w:tcPr>
            <w:tcW w:w="1411" w:type="dxa"/>
          </w:tcPr>
          <w:p w14:paraId="12DC4754" w14:textId="77777777" w:rsidR="009817AF" w:rsidRPr="004C5A7A" w:rsidRDefault="009817AF">
            <w:pPr>
              <w:pStyle w:val="08-Tabelageral"/>
              <w:rPr>
                <w:rFonts w:cs="Arial"/>
                <w:b/>
              </w:rPr>
            </w:pPr>
          </w:p>
        </w:tc>
        <w:tc>
          <w:tcPr>
            <w:tcW w:w="1412" w:type="dxa"/>
          </w:tcPr>
          <w:p w14:paraId="27A90F99" w14:textId="77777777" w:rsidR="009817AF" w:rsidRPr="004C5A7A" w:rsidRDefault="009817AF">
            <w:pPr>
              <w:pStyle w:val="08-Tabelageral"/>
              <w:rPr>
                <w:rFonts w:cs="Arial"/>
                <w:b/>
              </w:rPr>
            </w:pPr>
          </w:p>
        </w:tc>
        <w:tc>
          <w:tcPr>
            <w:tcW w:w="283" w:type="dxa"/>
          </w:tcPr>
          <w:p w14:paraId="1BC82F42" w14:textId="77777777" w:rsidR="009817AF" w:rsidRPr="004C5A7A" w:rsidRDefault="009817AF">
            <w:pPr>
              <w:pStyle w:val="08-Tabelageral"/>
              <w:rPr>
                <w:rFonts w:cs="Arial"/>
                <w:b/>
              </w:rPr>
            </w:pPr>
          </w:p>
        </w:tc>
        <w:tc>
          <w:tcPr>
            <w:tcW w:w="1417" w:type="dxa"/>
            <w:shd w:val="clear" w:color="auto" w:fill="auto"/>
          </w:tcPr>
          <w:p w14:paraId="69C9C62C" w14:textId="77777777" w:rsidR="009817AF" w:rsidRPr="004C5A7A" w:rsidRDefault="009817AF">
            <w:pPr>
              <w:pStyle w:val="08-Tabelageral"/>
              <w:rPr>
                <w:rFonts w:cs="Arial"/>
                <w:b/>
              </w:rPr>
            </w:pPr>
          </w:p>
        </w:tc>
        <w:tc>
          <w:tcPr>
            <w:tcW w:w="1526" w:type="dxa"/>
            <w:shd w:val="clear" w:color="auto" w:fill="auto"/>
            <w:vAlign w:val="center"/>
          </w:tcPr>
          <w:p w14:paraId="7CC485F5" w14:textId="77777777" w:rsidR="009817AF" w:rsidRPr="004C5A7A" w:rsidRDefault="009817AF">
            <w:pPr>
              <w:pStyle w:val="08-Tabelageral"/>
              <w:rPr>
                <w:rFonts w:cs="Arial"/>
                <w:b/>
              </w:rPr>
            </w:pPr>
          </w:p>
        </w:tc>
      </w:tr>
      <w:tr w:rsidR="009817AF" w:rsidRPr="00D311AA" w14:paraId="414CA19C" w14:textId="77777777">
        <w:trPr>
          <w:trHeight w:val="227"/>
        </w:trPr>
        <w:tc>
          <w:tcPr>
            <w:tcW w:w="3094" w:type="dxa"/>
          </w:tcPr>
          <w:p w14:paraId="26301AF7" w14:textId="77777777" w:rsidR="009817AF" w:rsidRPr="004C5A7A" w:rsidRDefault="009817AF">
            <w:pPr>
              <w:pStyle w:val="08-Tabelageral"/>
              <w:jc w:val="left"/>
              <w:rPr>
                <w:rFonts w:cs="Arial"/>
                <w:b/>
              </w:rPr>
            </w:pPr>
            <w:r w:rsidRPr="004C5A7A">
              <w:rPr>
                <w:rFonts w:cs="Arial"/>
              </w:rPr>
              <w:t xml:space="preserve">Board </w:t>
            </w:r>
            <w:proofErr w:type="spellStart"/>
            <w:r w:rsidRPr="004C5A7A">
              <w:rPr>
                <w:rFonts w:cs="Arial"/>
              </w:rPr>
              <w:t>of</w:t>
            </w:r>
            <w:proofErr w:type="spellEnd"/>
            <w:r w:rsidRPr="004C5A7A">
              <w:rPr>
                <w:rFonts w:cs="Arial"/>
              </w:rPr>
              <w:t xml:space="preserve"> </w:t>
            </w:r>
            <w:proofErr w:type="spellStart"/>
            <w:r w:rsidRPr="004C5A7A">
              <w:rPr>
                <w:rFonts w:cs="Arial"/>
              </w:rPr>
              <w:t>Directors</w:t>
            </w:r>
            <w:proofErr w:type="spellEnd"/>
          </w:p>
        </w:tc>
        <w:tc>
          <w:tcPr>
            <w:tcW w:w="604" w:type="dxa"/>
          </w:tcPr>
          <w:p w14:paraId="1E8749CD" w14:textId="77777777" w:rsidR="009817AF" w:rsidRPr="004C5A7A" w:rsidRDefault="009817AF">
            <w:pPr>
              <w:pStyle w:val="08-Tabelageral"/>
              <w:rPr>
                <w:rFonts w:cs="Arial"/>
              </w:rPr>
            </w:pPr>
          </w:p>
        </w:tc>
        <w:tc>
          <w:tcPr>
            <w:tcW w:w="1411" w:type="dxa"/>
          </w:tcPr>
          <w:p w14:paraId="47270FAB" w14:textId="77777777" w:rsidR="009817AF" w:rsidRPr="004C5A7A" w:rsidRDefault="009817AF">
            <w:pPr>
              <w:pStyle w:val="08-Tabelageral"/>
              <w:rPr>
                <w:rFonts w:cs="Arial"/>
              </w:rPr>
            </w:pPr>
          </w:p>
        </w:tc>
        <w:tc>
          <w:tcPr>
            <w:tcW w:w="1412" w:type="dxa"/>
          </w:tcPr>
          <w:p w14:paraId="4090F6ED" w14:textId="77777777" w:rsidR="009817AF" w:rsidRPr="004C5A7A" w:rsidRDefault="009817AF">
            <w:pPr>
              <w:pStyle w:val="08-Tabelageral"/>
              <w:rPr>
                <w:rFonts w:cs="Arial"/>
              </w:rPr>
            </w:pPr>
          </w:p>
        </w:tc>
        <w:tc>
          <w:tcPr>
            <w:tcW w:w="283" w:type="dxa"/>
          </w:tcPr>
          <w:p w14:paraId="145DB9D7" w14:textId="77777777" w:rsidR="009817AF" w:rsidRPr="004C5A7A" w:rsidRDefault="009817AF">
            <w:pPr>
              <w:pStyle w:val="08-Tabelageral"/>
              <w:rPr>
                <w:rFonts w:cs="Arial"/>
              </w:rPr>
            </w:pPr>
          </w:p>
        </w:tc>
        <w:tc>
          <w:tcPr>
            <w:tcW w:w="1417" w:type="dxa"/>
            <w:shd w:val="clear" w:color="auto" w:fill="auto"/>
          </w:tcPr>
          <w:p w14:paraId="6AAF3B7A" w14:textId="77777777" w:rsidR="009817AF" w:rsidRPr="004C5A7A" w:rsidRDefault="009817AF">
            <w:pPr>
              <w:pStyle w:val="08-Tabelageral"/>
              <w:rPr>
                <w:rFonts w:cs="Arial"/>
              </w:rPr>
            </w:pPr>
            <w:r w:rsidRPr="004C5A7A">
              <w:rPr>
                <w:rFonts w:cs="Arial"/>
              </w:rPr>
              <w:t>6,735.87</w:t>
            </w:r>
          </w:p>
        </w:tc>
        <w:tc>
          <w:tcPr>
            <w:tcW w:w="1526" w:type="dxa"/>
            <w:shd w:val="clear" w:color="auto" w:fill="auto"/>
          </w:tcPr>
          <w:p w14:paraId="5F89B75F" w14:textId="77777777" w:rsidR="009817AF" w:rsidRPr="004C5A7A" w:rsidRDefault="009817AF">
            <w:pPr>
              <w:pStyle w:val="08-Tabelageral"/>
              <w:rPr>
                <w:rFonts w:cs="Arial"/>
              </w:rPr>
            </w:pPr>
            <w:r w:rsidRPr="00BF2AAF">
              <w:rPr>
                <w:rFonts w:cs="Arial"/>
              </w:rPr>
              <w:t>6</w:t>
            </w:r>
            <w:r>
              <w:rPr>
                <w:rFonts w:cs="Arial"/>
              </w:rPr>
              <w:t>,</w:t>
            </w:r>
            <w:r w:rsidRPr="00BF2AAF">
              <w:rPr>
                <w:rFonts w:cs="Arial"/>
              </w:rPr>
              <w:t>438</w:t>
            </w:r>
            <w:r>
              <w:rPr>
                <w:rFonts w:cs="Arial"/>
              </w:rPr>
              <w:t>.</w:t>
            </w:r>
            <w:r w:rsidRPr="00BF2AAF">
              <w:rPr>
                <w:rFonts w:cs="Arial"/>
              </w:rPr>
              <w:t>41</w:t>
            </w:r>
          </w:p>
        </w:tc>
      </w:tr>
      <w:tr w:rsidR="009817AF" w:rsidRPr="00D311AA" w14:paraId="2EDEE828" w14:textId="77777777">
        <w:trPr>
          <w:trHeight w:val="227"/>
        </w:trPr>
        <w:tc>
          <w:tcPr>
            <w:tcW w:w="3094" w:type="dxa"/>
          </w:tcPr>
          <w:p w14:paraId="33E0BF4E" w14:textId="77777777" w:rsidR="009817AF" w:rsidRPr="004C5A7A" w:rsidRDefault="009817AF">
            <w:pPr>
              <w:pStyle w:val="08-Tabelageral"/>
              <w:jc w:val="left"/>
              <w:rPr>
                <w:rFonts w:cs="Arial"/>
                <w:b/>
              </w:rPr>
            </w:pPr>
            <w:r w:rsidRPr="004C5A7A">
              <w:rPr>
                <w:rFonts w:cs="Arial"/>
              </w:rPr>
              <w:t xml:space="preserve">Fiscal </w:t>
            </w:r>
            <w:proofErr w:type="spellStart"/>
            <w:r w:rsidRPr="004C5A7A">
              <w:rPr>
                <w:rFonts w:cs="Arial"/>
              </w:rPr>
              <w:t>Council</w:t>
            </w:r>
            <w:proofErr w:type="spellEnd"/>
          </w:p>
        </w:tc>
        <w:tc>
          <w:tcPr>
            <w:tcW w:w="604" w:type="dxa"/>
          </w:tcPr>
          <w:p w14:paraId="5017E0D0" w14:textId="77777777" w:rsidR="009817AF" w:rsidRPr="004C5A7A" w:rsidRDefault="009817AF">
            <w:pPr>
              <w:pStyle w:val="08-Tabelageral"/>
              <w:rPr>
                <w:rFonts w:cs="Arial"/>
                <w:b/>
              </w:rPr>
            </w:pPr>
          </w:p>
        </w:tc>
        <w:tc>
          <w:tcPr>
            <w:tcW w:w="1411" w:type="dxa"/>
          </w:tcPr>
          <w:p w14:paraId="3F185E5C" w14:textId="77777777" w:rsidR="009817AF" w:rsidRPr="004C5A7A" w:rsidRDefault="009817AF">
            <w:pPr>
              <w:pStyle w:val="08-Tabelageral"/>
              <w:rPr>
                <w:rFonts w:cs="Arial"/>
                <w:b/>
              </w:rPr>
            </w:pPr>
          </w:p>
        </w:tc>
        <w:tc>
          <w:tcPr>
            <w:tcW w:w="1412" w:type="dxa"/>
          </w:tcPr>
          <w:p w14:paraId="24E8BE40" w14:textId="77777777" w:rsidR="009817AF" w:rsidRPr="004C5A7A" w:rsidRDefault="009817AF">
            <w:pPr>
              <w:pStyle w:val="08-Tabelageral"/>
              <w:rPr>
                <w:rFonts w:cs="Arial"/>
                <w:b/>
              </w:rPr>
            </w:pPr>
          </w:p>
        </w:tc>
        <w:tc>
          <w:tcPr>
            <w:tcW w:w="283" w:type="dxa"/>
          </w:tcPr>
          <w:p w14:paraId="0FD75407" w14:textId="77777777" w:rsidR="009817AF" w:rsidRPr="004C5A7A" w:rsidRDefault="009817AF">
            <w:pPr>
              <w:pStyle w:val="08-Tabelageral"/>
              <w:rPr>
                <w:rFonts w:cs="Arial"/>
                <w:b/>
              </w:rPr>
            </w:pPr>
          </w:p>
        </w:tc>
        <w:tc>
          <w:tcPr>
            <w:tcW w:w="1417" w:type="dxa"/>
            <w:tcBorders>
              <w:bottom w:val="nil"/>
            </w:tcBorders>
            <w:shd w:val="clear" w:color="auto" w:fill="auto"/>
          </w:tcPr>
          <w:p w14:paraId="52BF3B8D" w14:textId="77777777" w:rsidR="009817AF" w:rsidRPr="004C5A7A" w:rsidRDefault="009817AF">
            <w:pPr>
              <w:pStyle w:val="08-Tabelageral"/>
              <w:rPr>
                <w:rFonts w:cs="Arial"/>
              </w:rPr>
            </w:pPr>
            <w:r w:rsidRPr="004C5A7A">
              <w:rPr>
                <w:rFonts w:cs="Arial"/>
              </w:rPr>
              <w:t>6,735.87</w:t>
            </w:r>
          </w:p>
        </w:tc>
        <w:tc>
          <w:tcPr>
            <w:tcW w:w="1526" w:type="dxa"/>
            <w:tcBorders>
              <w:bottom w:val="nil"/>
            </w:tcBorders>
            <w:shd w:val="clear" w:color="auto" w:fill="auto"/>
          </w:tcPr>
          <w:p w14:paraId="0D5C741B" w14:textId="77777777" w:rsidR="009817AF" w:rsidRPr="004C5A7A" w:rsidRDefault="009817AF">
            <w:pPr>
              <w:pStyle w:val="08-Tabelageral"/>
              <w:rPr>
                <w:rFonts w:cs="Arial"/>
              </w:rPr>
            </w:pPr>
            <w:r w:rsidRPr="00BF2AAF">
              <w:rPr>
                <w:rFonts w:cs="Arial"/>
              </w:rPr>
              <w:t>6</w:t>
            </w:r>
            <w:r>
              <w:rPr>
                <w:rFonts w:cs="Arial"/>
              </w:rPr>
              <w:t>,</w:t>
            </w:r>
            <w:r w:rsidRPr="00BF2AAF">
              <w:rPr>
                <w:rFonts w:cs="Arial"/>
              </w:rPr>
              <w:t>438</w:t>
            </w:r>
            <w:r>
              <w:rPr>
                <w:rFonts w:cs="Arial"/>
              </w:rPr>
              <w:t>.</w:t>
            </w:r>
            <w:r w:rsidRPr="00BF2AAF">
              <w:rPr>
                <w:rFonts w:cs="Arial"/>
              </w:rPr>
              <w:t>41</w:t>
            </w:r>
          </w:p>
        </w:tc>
      </w:tr>
      <w:tr w:rsidR="009817AF" w:rsidRPr="003735AD" w14:paraId="02F4A633" w14:textId="77777777">
        <w:trPr>
          <w:trHeight w:val="227"/>
        </w:trPr>
        <w:tc>
          <w:tcPr>
            <w:tcW w:w="3094" w:type="dxa"/>
          </w:tcPr>
          <w:p w14:paraId="387D10C9" w14:textId="77777777" w:rsidR="009817AF" w:rsidRPr="004C5A7A" w:rsidRDefault="009817AF">
            <w:pPr>
              <w:pStyle w:val="08-Tabelageral"/>
              <w:jc w:val="left"/>
              <w:rPr>
                <w:rFonts w:cs="Arial"/>
                <w:b/>
              </w:rPr>
            </w:pPr>
            <w:proofErr w:type="spellStart"/>
            <w:r w:rsidRPr="004C5A7A">
              <w:rPr>
                <w:rFonts w:cs="Arial"/>
              </w:rPr>
              <w:t>Audit</w:t>
            </w:r>
            <w:proofErr w:type="spellEnd"/>
            <w:r w:rsidRPr="004C5A7A">
              <w:rPr>
                <w:rFonts w:cs="Arial"/>
              </w:rPr>
              <w:t xml:space="preserve"> </w:t>
            </w:r>
            <w:proofErr w:type="spellStart"/>
            <w:r w:rsidRPr="004C5A7A">
              <w:rPr>
                <w:rFonts w:cs="Arial"/>
              </w:rPr>
              <w:t>Committee</w:t>
            </w:r>
            <w:proofErr w:type="spellEnd"/>
            <w:r w:rsidRPr="004C5A7A">
              <w:rPr>
                <w:rFonts w:cs="Arial"/>
              </w:rPr>
              <w:t xml:space="preserve"> - </w:t>
            </w:r>
            <w:proofErr w:type="spellStart"/>
            <w:r w:rsidRPr="004C5A7A">
              <w:rPr>
                <w:rFonts w:cs="Arial"/>
              </w:rPr>
              <w:t>Member</w:t>
            </w:r>
            <w:proofErr w:type="spellEnd"/>
          </w:p>
        </w:tc>
        <w:tc>
          <w:tcPr>
            <w:tcW w:w="604" w:type="dxa"/>
          </w:tcPr>
          <w:p w14:paraId="30F9C916" w14:textId="77777777" w:rsidR="009817AF" w:rsidRPr="004C5A7A" w:rsidRDefault="009817AF">
            <w:pPr>
              <w:pStyle w:val="08-Tabelageral"/>
              <w:rPr>
                <w:rFonts w:cs="Arial"/>
                <w:b/>
                <w:szCs w:val="14"/>
              </w:rPr>
            </w:pPr>
          </w:p>
        </w:tc>
        <w:tc>
          <w:tcPr>
            <w:tcW w:w="1411" w:type="dxa"/>
          </w:tcPr>
          <w:p w14:paraId="79A41134" w14:textId="77777777" w:rsidR="009817AF" w:rsidRPr="004C5A7A" w:rsidRDefault="009817AF">
            <w:pPr>
              <w:pStyle w:val="08-Tabelageral"/>
              <w:rPr>
                <w:rFonts w:cs="Arial"/>
                <w:b/>
              </w:rPr>
            </w:pPr>
          </w:p>
        </w:tc>
        <w:tc>
          <w:tcPr>
            <w:tcW w:w="1412" w:type="dxa"/>
          </w:tcPr>
          <w:p w14:paraId="2634EB48" w14:textId="77777777" w:rsidR="009817AF" w:rsidRPr="004C5A7A" w:rsidRDefault="009817AF">
            <w:pPr>
              <w:pStyle w:val="08-Tabelageral"/>
              <w:rPr>
                <w:rFonts w:cs="Arial"/>
                <w:b/>
              </w:rPr>
            </w:pPr>
          </w:p>
        </w:tc>
        <w:tc>
          <w:tcPr>
            <w:tcW w:w="283" w:type="dxa"/>
          </w:tcPr>
          <w:p w14:paraId="5732F881" w14:textId="77777777" w:rsidR="009817AF" w:rsidRPr="004C5A7A" w:rsidRDefault="009817AF">
            <w:pPr>
              <w:pStyle w:val="08-Tabelageral"/>
              <w:rPr>
                <w:rFonts w:cs="Arial"/>
                <w:b/>
                <w:szCs w:val="14"/>
              </w:rPr>
            </w:pPr>
          </w:p>
        </w:tc>
        <w:tc>
          <w:tcPr>
            <w:tcW w:w="1417" w:type="dxa"/>
            <w:tcBorders>
              <w:top w:val="nil"/>
              <w:bottom w:val="nil"/>
            </w:tcBorders>
            <w:shd w:val="clear" w:color="auto" w:fill="auto"/>
          </w:tcPr>
          <w:p w14:paraId="5974546A" w14:textId="77777777" w:rsidR="009817AF" w:rsidRPr="004C5A7A" w:rsidRDefault="009817AF">
            <w:pPr>
              <w:pStyle w:val="08-Tabelageral"/>
              <w:rPr>
                <w:rFonts w:cs="Arial"/>
              </w:rPr>
            </w:pPr>
            <w:r w:rsidRPr="004C5A7A">
              <w:rPr>
                <w:rFonts w:cs="Arial"/>
              </w:rPr>
              <w:t>11,255.63</w:t>
            </w:r>
          </w:p>
        </w:tc>
        <w:tc>
          <w:tcPr>
            <w:tcW w:w="1526" w:type="dxa"/>
            <w:tcBorders>
              <w:top w:val="nil"/>
              <w:bottom w:val="nil"/>
            </w:tcBorders>
            <w:shd w:val="clear" w:color="auto" w:fill="auto"/>
          </w:tcPr>
          <w:p w14:paraId="5ED74165" w14:textId="77777777" w:rsidR="009817AF" w:rsidRPr="004C5A7A" w:rsidRDefault="009817AF">
            <w:pPr>
              <w:pStyle w:val="08-Tabelageral"/>
              <w:rPr>
                <w:rFonts w:cs="Arial"/>
              </w:rPr>
            </w:pPr>
            <w:r w:rsidRPr="00BF2AAF">
              <w:rPr>
                <w:rFonts w:cs="Arial"/>
              </w:rPr>
              <w:t>10</w:t>
            </w:r>
            <w:r>
              <w:rPr>
                <w:rFonts w:cs="Arial"/>
              </w:rPr>
              <w:t>,</w:t>
            </w:r>
            <w:r w:rsidRPr="00BF2AAF">
              <w:rPr>
                <w:rFonts w:cs="Arial"/>
              </w:rPr>
              <w:t>758</w:t>
            </w:r>
            <w:r>
              <w:rPr>
                <w:rFonts w:cs="Arial"/>
              </w:rPr>
              <w:t>.</w:t>
            </w:r>
            <w:r w:rsidRPr="00BF2AAF">
              <w:rPr>
                <w:rFonts w:cs="Arial"/>
              </w:rPr>
              <w:t>58</w:t>
            </w:r>
          </w:p>
        </w:tc>
      </w:tr>
      <w:tr w:rsidR="009817AF" w:rsidRPr="0032222F" w14:paraId="340E45F9" w14:textId="77777777">
        <w:trPr>
          <w:trHeight w:val="227"/>
        </w:trPr>
        <w:tc>
          <w:tcPr>
            <w:tcW w:w="3094" w:type="dxa"/>
          </w:tcPr>
          <w:p w14:paraId="7E989238" w14:textId="77777777" w:rsidR="009817AF" w:rsidRPr="004C5A7A" w:rsidRDefault="009817AF">
            <w:pPr>
              <w:pStyle w:val="08-Tabelageral"/>
              <w:jc w:val="left"/>
              <w:rPr>
                <w:rFonts w:cs="Arial"/>
                <w:b/>
              </w:rPr>
            </w:pPr>
            <w:r w:rsidRPr="004C5A7A">
              <w:rPr>
                <w:rFonts w:cs="Arial"/>
              </w:rPr>
              <w:t xml:space="preserve">Risk </w:t>
            </w:r>
            <w:proofErr w:type="spellStart"/>
            <w:r w:rsidRPr="004C5A7A">
              <w:rPr>
                <w:rFonts w:cs="Arial"/>
              </w:rPr>
              <w:t>and</w:t>
            </w:r>
            <w:proofErr w:type="spellEnd"/>
            <w:r w:rsidRPr="004C5A7A">
              <w:rPr>
                <w:rFonts w:cs="Arial"/>
              </w:rPr>
              <w:t xml:space="preserve"> Capital </w:t>
            </w:r>
            <w:proofErr w:type="spellStart"/>
            <w:r w:rsidRPr="004C5A7A">
              <w:rPr>
                <w:rFonts w:cs="Arial"/>
              </w:rPr>
              <w:t>Committee</w:t>
            </w:r>
            <w:proofErr w:type="spellEnd"/>
          </w:p>
        </w:tc>
        <w:tc>
          <w:tcPr>
            <w:tcW w:w="604" w:type="dxa"/>
          </w:tcPr>
          <w:p w14:paraId="3E2E682E" w14:textId="77777777" w:rsidR="009817AF" w:rsidRPr="004C5A7A" w:rsidRDefault="009817AF">
            <w:pPr>
              <w:pStyle w:val="08-Tabelageral"/>
              <w:rPr>
                <w:rFonts w:cs="Arial"/>
                <w:szCs w:val="14"/>
              </w:rPr>
            </w:pPr>
          </w:p>
        </w:tc>
        <w:tc>
          <w:tcPr>
            <w:tcW w:w="1411" w:type="dxa"/>
          </w:tcPr>
          <w:p w14:paraId="155F849B" w14:textId="77777777" w:rsidR="009817AF" w:rsidRPr="004C5A7A" w:rsidRDefault="009817AF">
            <w:pPr>
              <w:pStyle w:val="08-Tabelageral"/>
              <w:rPr>
                <w:rFonts w:cs="Arial"/>
              </w:rPr>
            </w:pPr>
          </w:p>
        </w:tc>
        <w:tc>
          <w:tcPr>
            <w:tcW w:w="1412" w:type="dxa"/>
          </w:tcPr>
          <w:p w14:paraId="0C6EE443" w14:textId="77777777" w:rsidR="009817AF" w:rsidRPr="004C5A7A" w:rsidRDefault="009817AF">
            <w:pPr>
              <w:pStyle w:val="08-Tabelageral"/>
              <w:rPr>
                <w:rFonts w:cs="Arial"/>
              </w:rPr>
            </w:pPr>
          </w:p>
        </w:tc>
        <w:tc>
          <w:tcPr>
            <w:tcW w:w="283" w:type="dxa"/>
          </w:tcPr>
          <w:p w14:paraId="1537896D" w14:textId="77777777" w:rsidR="009817AF" w:rsidRPr="004C5A7A" w:rsidRDefault="009817AF">
            <w:pPr>
              <w:pStyle w:val="08-Tabelageral"/>
              <w:rPr>
                <w:rFonts w:cs="Arial"/>
                <w:szCs w:val="14"/>
              </w:rPr>
            </w:pPr>
          </w:p>
        </w:tc>
        <w:tc>
          <w:tcPr>
            <w:tcW w:w="1417" w:type="dxa"/>
            <w:tcBorders>
              <w:top w:val="nil"/>
              <w:bottom w:val="nil"/>
            </w:tcBorders>
            <w:shd w:val="clear" w:color="auto" w:fill="auto"/>
          </w:tcPr>
          <w:p w14:paraId="0E9FDF16" w14:textId="77777777" w:rsidR="009817AF" w:rsidRPr="004C5A7A" w:rsidRDefault="009817AF">
            <w:pPr>
              <w:pStyle w:val="08-Tabelageral"/>
              <w:rPr>
                <w:rFonts w:cs="Arial"/>
              </w:rPr>
            </w:pPr>
            <w:r w:rsidRPr="004C5A7A">
              <w:rPr>
                <w:rFonts w:cs="Arial"/>
              </w:rPr>
              <w:t>11,255.63</w:t>
            </w:r>
          </w:p>
        </w:tc>
        <w:tc>
          <w:tcPr>
            <w:tcW w:w="1526" w:type="dxa"/>
            <w:tcBorders>
              <w:top w:val="nil"/>
              <w:bottom w:val="nil"/>
            </w:tcBorders>
            <w:shd w:val="clear" w:color="auto" w:fill="auto"/>
          </w:tcPr>
          <w:p w14:paraId="263E0338" w14:textId="77777777" w:rsidR="009817AF" w:rsidRPr="004C5A7A" w:rsidRDefault="009817AF">
            <w:pPr>
              <w:pStyle w:val="08-Tabelageral"/>
              <w:rPr>
                <w:rFonts w:cs="Arial"/>
              </w:rPr>
            </w:pPr>
            <w:r w:rsidRPr="00BF2AAF">
              <w:rPr>
                <w:rFonts w:cs="Arial"/>
              </w:rPr>
              <w:t>10</w:t>
            </w:r>
            <w:r>
              <w:rPr>
                <w:rFonts w:cs="Arial"/>
              </w:rPr>
              <w:t>,</w:t>
            </w:r>
            <w:r w:rsidRPr="00BF2AAF">
              <w:rPr>
                <w:rFonts w:cs="Arial"/>
              </w:rPr>
              <w:t>758</w:t>
            </w:r>
            <w:r>
              <w:rPr>
                <w:rFonts w:cs="Arial"/>
              </w:rPr>
              <w:t>.</w:t>
            </w:r>
            <w:r w:rsidRPr="00BF2AAF">
              <w:rPr>
                <w:rFonts w:cs="Arial"/>
              </w:rPr>
              <w:t>58</w:t>
            </w:r>
          </w:p>
        </w:tc>
      </w:tr>
      <w:tr w:rsidR="009817AF" w:rsidRPr="0032222F" w14:paraId="3F9AD186" w14:textId="77777777">
        <w:trPr>
          <w:trHeight w:val="227"/>
        </w:trPr>
        <w:tc>
          <w:tcPr>
            <w:tcW w:w="3094" w:type="dxa"/>
          </w:tcPr>
          <w:p w14:paraId="229F3800" w14:textId="77777777" w:rsidR="009817AF" w:rsidRPr="004C5A7A" w:rsidRDefault="009817AF">
            <w:pPr>
              <w:pStyle w:val="08-Tabelageral"/>
              <w:jc w:val="left"/>
              <w:rPr>
                <w:rFonts w:cs="Arial"/>
              </w:rPr>
            </w:pPr>
          </w:p>
        </w:tc>
        <w:tc>
          <w:tcPr>
            <w:tcW w:w="604" w:type="dxa"/>
          </w:tcPr>
          <w:p w14:paraId="513429F9" w14:textId="77777777" w:rsidR="009817AF" w:rsidRPr="004C5A7A" w:rsidRDefault="009817AF">
            <w:pPr>
              <w:pStyle w:val="08-Tabelageral"/>
              <w:rPr>
                <w:rFonts w:cs="Arial"/>
                <w:szCs w:val="14"/>
              </w:rPr>
            </w:pPr>
          </w:p>
        </w:tc>
        <w:tc>
          <w:tcPr>
            <w:tcW w:w="1411" w:type="dxa"/>
          </w:tcPr>
          <w:p w14:paraId="593B045B" w14:textId="77777777" w:rsidR="009817AF" w:rsidRPr="004C5A7A" w:rsidRDefault="009817AF">
            <w:pPr>
              <w:pStyle w:val="08-Tabelageral"/>
              <w:rPr>
                <w:rFonts w:cs="Arial"/>
              </w:rPr>
            </w:pPr>
          </w:p>
        </w:tc>
        <w:tc>
          <w:tcPr>
            <w:tcW w:w="1412" w:type="dxa"/>
          </w:tcPr>
          <w:p w14:paraId="4822FB2A" w14:textId="77777777" w:rsidR="009817AF" w:rsidRPr="004C5A7A" w:rsidRDefault="009817AF">
            <w:pPr>
              <w:pStyle w:val="08-Tabelageral"/>
              <w:rPr>
                <w:rFonts w:cs="Arial"/>
              </w:rPr>
            </w:pPr>
          </w:p>
        </w:tc>
        <w:tc>
          <w:tcPr>
            <w:tcW w:w="283" w:type="dxa"/>
          </w:tcPr>
          <w:p w14:paraId="010A4783" w14:textId="77777777" w:rsidR="009817AF" w:rsidRPr="004C5A7A" w:rsidRDefault="009817AF">
            <w:pPr>
              <w:pStyle w:val="08-Tabelageral"/>
              <w:rPr>
                <w:rFonts w:cs="Arial"/>
                <w:szCs w:val="14"/>
              </w:rPr>
            </w:pPr>
          </w:p>
        </w:tc>
        <w:tc>
          <w:tcPr>
            <w:tcW w:w="1417" w:type="dxa"/>
            <w:tcBorders>
              <w:top w:val="nil"/>
              <w:bottom w:val="nil"/>
            </w:tcBorders>
            <w:shd w:val="clear" w:color="auto" w:fill="auto"/>
          </w:tcPr>
          <w:p w14:paraId="02662A7C" w14:textId="77777777" w:rsidR="009817AF" w:rsidRPr="004C5A7A" w:rsidRDefault="009817AF">
            <w:pPr>
              <w:pStyle w:val="08-Tabelageral"/>
              <w:rPr>
                <w:rFonts w:cs="Arial"/>
              </w:rPr>
            </w:pPr>
          </w:p>
        </w:tc>
        <w:tc>
          <w:tcPr>
            <w:tcW w:w="1526" w:type="dxa"/>
            <w:tcBorders>
              <w:top w:val="nil"/>
              <w:bottom w:val="nil"/>
            </w:tcBorders>
            <w:shd w:val="clear" w:color="auto" w:fill="auto"/>
          </w:tcPr>
          <w:p w14:paraId="24788BE0" w14:textId="77777777" w:rsidR="009817AF" w:rsidRDefault="009817AF">
            <w:pPr>
              <w:pStyle w:val="08-Tabelageral"/>
              <w:rPr>
                <w:rStyle w:val="normaltextrun"/>
                <w:rFonts w:cs="Arial"/>
                <w:szCs w:val="14"/>
              </w:rPr>
            </w:pPr>
          </w:p>
        </w:tc>
      </w:tr>
      <w:tr w:rsidR="009817AF" w:rsidRPr="0032222F" w14:paraId="23E59392" w14:textId="77777777">
        <w:trPr>
          <w:trHeight w:val="227"/>
        </w:trPr>
        <w:tc>
          <w:tcPr>
            <w:tcW w:w="3094" w:type="dxa"/>
          </w:tcPr>
          <w:p w14:paraId="3164D543" w14:textId="77777777" w:rsidR="009817AF" w:rsidRPr="004C5A7A" w:rsidRDefault="009817AF">
            <w:pPr>
              <w:pStyle w:val="08-Tabelageral"/>
              <w:jc w:val="left"/>
              <w:rPr>
                <w:rFonts w:cs="Arial"/>
                <w:b/>
              </w:rPr>
            </w:pPr>
            <w:proofErr w:type="spellStart"/>
            <w:r w:rsidRPr="004C5A7A">
              <w:rPr>
                <w:rFonts w:cs="Arial"/>
                <w:b/>
              </w:rPr>
              <w:t>Employees</w:t>
            </w:r>
            <w:proofErr w:type="spellEnd"/>
          </w:p>
        </w:tc>
        <w:tc>
          <w:tcPr>
            <w:tcW w:w="604" w:type="dxa"/>
          </w:tcPr>
          <w:p w14:paraId="045649C1" w14:textId="77777777" w:rsidR="009817AF" w:rsidRPr="004C5A7A" w:rsidRDefault="009817AF">
            <w:pPr>
              <w:pStyle w:val="08-Tabelageral"/>
              <w:rPr>
                <w:rFonts w:cs="Arial"/>
                <w:szCs w:val="14"/>
              </w:rPr>
            </w:pPr>
          </w:p>
        </w:tc>
        <w:tc>
          <w:tcPr>
            <w:tcW w:w="1411" w:type="dxa"/>
          </w:tcPr>
          <w:p w14:paraId="7D581F7E" w14:textId="77777777" w:rsidR="009817AF" w:rsidRPr="004C5A7A" w:rsidRDefault="009817AF">
            <w:pPr>
              <w:pStyle w:val="08-Tabelageral"/>
              <w:rPr>
                <w:rFonts w:cs="Arial"/>
              </w:rPr>
            </w:pPr>
          </w:p>
        </w:tc>
        <w:tc>
          <w:tcPr>
            <w:tcW w:w="1412" w:type="dxa"/>
          </w:tcPr>
          <w:p w14:paraId="38BD0F52" w14:textId="77777777" w:rsidR="009817AF" w:rsidRPr="004C5A7A" w:rsidRDefault="009817AF">
            <w:pPr>
              <w:pStyle w:val="08-Tabelageral"/>
              <w:rPr>
                <w:rFonts w:cs="Arial"/>
              </w:rPr>
            </w:pPr>
          </w:p>
        </w:tc>
        <w:tc>
          <w:tcPr>
            <w:tcW w:w="283" w:type="dxa"/>
          </w:tcPr>
          <w:p w14:paraId="4801A204" w14:textId="77777777" w:rsidR="009817AF" w:rsidRPr="004C5A7A" w:rsidRDefault="009817AF">
            <w:pPr>
              <w:pStyle w:val="08-Tabelageral"/>
              <w:rPr>
                <w:rFonts w:cs="Arial"/>
                <w:szCs w:val="14"/>
              </w:rPr>
            </w:pPr>
          </w:p>
        </w:tc>
        <w:tc>
          <w:tcPr>
            <w:tcW w:w="1417" w:type="dxa"/>
            <w:tcBorders>
              <w:top w:val="nil"/>
              <w:bottom w:val="nil"/>
            </w:tcBorders>
            <w:shd w:val="clear" w:color="auto" w:fill="auto"/>
          </w:tcPr>
          <w:p w14:paraId="01B15C82" w14:textId="77777777" w:rsidR="009817AF" w:rsidRPr="004C5A7A" w:rsidRDefault="009817AF">
            <w:pPr>
              <w:pStyle w:val="08-Tabelageral"/>
              <w:rPr>
                <w:rFonts w:cs="Arial"/>
              </w:rPr>
            </w:pPr>
          </w:p>
        </w:tc>
        <w:tc>
          <w:tcPr>
            <w:tcW w:w="1526" w:type="dxa"/>
            <w:tcBorders>
              <w:top w:val="nil"/>
              <w:bottom w:val="nil"/>
            </w:tcBorders>
            <w:shd w:val="clear" w:color="auto" w:fill="auto"/>
          </w:tcPr>
          <w:p w14:paraId="0C368DAB" w14:textId="77777777" w:rsidR="009817AF" w:rsidRDefault="009817AF">
            <w:pPr>
              <w:pStyle w:val="08-Tabelageral"/>
              <w:rPr>
                <w:rStyle w:val="normaltextrun"/>
                <w:rFonts w:cs="Arial"/>
                <w:szCs w:val="14"/>
              </w:rPr>
            </w:pPr>
          </w:p>
        </w:tc>
      </w:tr>
      <w:tr w:rsidR="009817AF" w:rsidRPr="0032222F" w14:paraId="34D552EE" w14:textId="77777777">
        <w:trPr>
          <w:trHeight w:val="227"/>
        </w:trPr>
        <w:tc>
          <w:tcPr>
            <w:tcW w:w="3094" w:type="dxa"/>
          </w:tcPr>
          <w:p w14:paraId="395B0639" w14:textId="77777777" w:rsidR="009817AF" w:rsidRPr="004C5A7A" w:rsidRDefault="009817AF">
            <w:pPr>
              <w:pStyle w:val="08-Tabelageral"/>
              <w:jc w:val="left"/>
              <w:rPr>
                <w:rFonts w:cs="Arial"/>
              </w:rPr>
            </w:pPr>
            <w:proofErr w:type="spellStart"/>
            <w:r w:rsidRPr="004C5A7A">
              <w:rPr>
                <w:rFonts w:cs="Arial"/>
              </w:rPr>
              <w:t>Lowest</w:t>
            </w:r>
            <w:proofErr w:type="spellEnd"/>
            <w:r w:rsidRPr="004C5A7A">
              <w:rPr>
                <w:rFonts w:cs="Arial"/>
              </w:rPr>
              <w:t xml:space="preserve"> </w:t>
            </w:r>
            <w:proofErr w:type="spellStart"/>
            <w:r w:rsidRPr="004C5A7A">
              <w:rPr>
                <w:rFonts w:cs="Arial"/>
              </w:rPr>
              <w:t>salary</w:t>
            </w:r>
            <w:proofErr w:type="spellEnd"/>
          </w:p>
        </w:tc>
        <w:tc>
          <w:tcPr>
            <w:tcW w:w="604" w:type="dxa"/>
          </w:tcPr>
          <w:p w14:paraId="740A7A27" w14:textId="77777777" w:rsidR="009817AF" w:rsidRPr="004C5A7A" w:rsidRDefault="009817AF">
            <w:pPr>
              <w:pStyle w:val="08-Tabelageral"/>
              <w:rPr>
                <w:rFonts w:cs="Arial"/>
                <w:szCs w:val="14"/>
              </w:rPr>
            </w:pPr>
          </w:p>
        </w:tc>
        <w:tc>
          <w:tcPr>
            <w:tcW w:w="1411" w:type="dxa"/>
          </w:tcPr>
          <w:p w14:paraId="50FD3097" w14:textId="77777777" w:rsidR="009817AF" w:rsidRPr="004C5A7A" w:rsidRDefault="009817AF" w:rsidP="00857CB9">
            <w:pPr>
              <w:pStyle w:val="08-Tabelageral"/>
              <w:jc w:val="center"/>
              <w:rPr>
                <w:rFonts w:cs="Arial"/>
              </w:rPr>
            </w:pPr>
          </w:p>
        </w:tc>
        <w:tc>
          <w:tcPr>
            <w:tcW w:w="1412" w:type="dxa"/>
          </w:tcPr>
          <w:p w14:paraId="1C3DE59A" w14:textId="77777777" w:rsidR="009817AF" w:rsidRPr="004C5A7A" w:rsidRDefault="009817AF">
            <w:pPr>
              <w:pStyle w:val="08-Tabelageral"/>
              <w:rPr>
                <w:rFonts w:cs="Arial"/>
              </w:rPr>
            </w:pPr>
          </w:p>
        </w:tc>
        <w:tc>
          <w:tcPr>
            <w:tcW w:w="283" w:type="dxa"/>
          </w:tcPr>
          <w:p w14:paraId="0D9E0922" w14:textId="77777777" w:rsidR="009817AF" w:rsidRPr="004C5A7A" w:rsidRDefault="009817AF">
            <w:pPr>
              <w:pStyle w:val="08-Tabelageral"/>
              <w:rPr>
                <w:rFonts w:cs="Arial"/>
                <w:szCs w:val="14"/>
              </w:rPr>
            </w:pPr>
          </w:p>
        </w:tc>
        <w:tc>
          <w:tcPr>
            <w:tcW w:w="1417" w:type="dxa"/>
            <w:tcBorders>
              <w:top w:val="nil"/>
              <w:bottom w:val="nil"/>
            </w:tcBorders>
            <w:shd w:val="clear" w:color="auto" w:fill="auto"/>
          </w:tcPr>
          <w:p w14:paraId="02D11C12" w14:textId="77777777" w:rsidR="009817AF" w:rsidRPr="004C5A7A" w:rsidRDefault="009817AF">
            <w:pPr>
              <w:pStyle w:val="08-Tabelageral"/>
              <w:rPr>
                <w:rFonts w:cs="Arial"/>
              </w:rPr>
            </w:pPr>
            <w:r w:rsidRPr="004C5A7A">
              <w:rPr>
                <w:rFonts w:cs="Arial"/>
              </w:rPr>
              <w:t>6,337.58</w:t>
            </w:r>
          </w:p>
        </w:tc>
        <w:tc>
          <w:tcPr>
            <w:tcW w:w="1526" w:type="dxa"/>
            <w:tcBorders>
              <w:top w:val="nil"/>
              <w:bottom w:val="nil"/>
            </w:tcBorders>
            <w:shd w:val="clear" w:color="auto" w:fill="auto"/>
            <w:vAlign w:val="center"/>
          </w:tcPr>
          <w:p w14:paraId="2B2E934A" w14:textId="77777777" w:rsidR="009817AF" w:rsidRDefault="009817AF">
            <w:pPr>
              <w:pStyle w:val="08-Tabelageral"/>
              <w:rPr>
                <w:rStyle w:val="normaltextrun"/>
                <w:rFonts w:cs="Arial"/>
                <w:szCs w:val="14"/>
              </w:rPr>
            </w:pPr>
            <w:r w:rsidRPr="00BF2AAF">
              <w:rPr>
                <w:rFonts w:cs="Arial"/>
              </w:rPr>
              <w:t>8</w:t>
            </w:r>
            <w:r>
              <w:rPr>
                <w:rFonts w:cs="Arial"/>
              </w:rPr>
              <w:t>,</w:t>
            </w:r>
            <w:r w:rsidRPr="00BF2AAF">
              <w:rPr>
                <w:rFonts w:cs="Arial"/>
              </w:rPr>
              <w:t>075</w:t>
            </w:r>
            <w:r>
              <w:rPr>
                <w:rFonts w:cs="Arial"/>
              </w:rPr>
              <w:t>.</w:t>
            </w:r>
            <w:r w:rsidRPr="00BF2AAF">
              <w:rPr>
                <w:rFonts w:cs="Arial"/>
              </w:rPr>
              <w:t>41</w:t>
            </w:r>
          </w:p>
        </w:tc>
      </w:tr>
      <w:tr w:rsidR="009817AF" w:rsidRPr="0032222F" w14:paraId="03B79483" w14:textId="77777777">
        <w:trPr>
          <w:trHeight w:val="227"/>
        </w:trPr>
        <w:tc>
          <w:tcPr>
            <w:tcW w:w="3094" w:type="dxa"/>
          </w:tcPr>
          <w:p w14:paraId="76DB4528" w14:textId="77777777" w:rsidR="009817AF" w:rsidRPr="004C5A7A" w:rsidRDefault="009817AF">
            <w:pPr>
              <w:pStyle w:val="08-Tabelageral"/>
              <w:jc w:val="left"/>
              <w:rPr>
                <w:rFonts w:cs="Arial"/>
              </w:rPr>
            </w:pPr>
            <w:proofErr w:type="spellStart"/>
            <w:r w:rsidRPr="004C5A7A">
              <w:rPr>
                <w:rFonts w:cs="Arial"/>
              </w:rPr>
              <w:t>Highest</w:t>
            </w:r>
            <w:proofErr w:type="spellEnd"/>
            <w:r w:rsidRPr="004C5A7A">
              <w:rPr>
                <w:rFonts w:cs="Arial"/>
              </w:rPr>
              <w:t xml:space="preserve"> </w:t>
            </w:r>
            <w:proofErr w:type="spellStart"/>
            <w:r w:rsidRPr="004C5A7A">
              <w:rPr>
                <w:rFonts w:cs="Arial"/>
              </w:rPr>
              <w:t>salary</w:t>
            </w:r>
            <w:proofErr w:type="spellEnd"/>
          </w:p>
        </w:tc>
        <w:tc>
          <w:tcPr>
            <w:tcW w:w="604" w:type="dxa"/>
          </w:tcPr>
          <w:p w14:paraId="54F9016C" w14:textId="77777777" w:rsidR="009817AF" w:rsidRPr="004C5A7A" w:rsidRDefault="009817AF">
            <w:pPr>
              <w:pStyle w:val="08-Tabelageral"/>
              <w:rPr>
                <w:rFonts w:cs="Arial"/>
                <w:szCs w:val="14"/>
              </w:rPr>
            </w:pPr>
          </w:p>
        </w:tc>
        <w:tc>
          <w:tcPr>
            <w:tcW w:w="1411" w:type="dxa"/>
          </w:tcPr>
          <w:p w14:paraId="6FB869AB" w14:textId="77777777" w:rsidR="009817AF" w:rsidRPr="004C5A7A" w:rsidRDefault="009817AF">
            <w:pPr>
              <w:pStyle w:val="08-Tabelageral"/>
              <w:rPr>
                <w:rFonts w:cs="Arial"/>
              </w:rPr>
            </w:pPr>
          </w:p>
        </w:tc>
        <w:tc>
          <w:tcPr>
            <w:tcW w:w="1412" w:type="dxa"/>
          </w:tcPr>
          <w:p w14:paraId="10BAB25F" w14:textId="77777777" w:rsidR="009817AF" w:rsidRPr="004C5A7A" w:rsidRDefault="009817AF">
            <w:pPr>
              <w:pStyle w:val="08-Tabelageral"/>
              <w:rPr>
                <w:rFonts w:cs="Arial"/>
              </w:rPr>
            </w:pPr>
          </w:p>
        </w:tc>
        <w:tc>
          <w:tcPr>
            <w:tcW w:w="283" w:type="dxa"/>
          </w:tcPr>
          <w:p w14:paraId="655993B1" w14:textId="77777777" w:rsidR="009817AF" w:rsidRPr="004C5A7A" w:rsidRDefault="009817AF">
            <w:pPr>
              <w:pStyle w:val="08-Tabelageral"/>
              <w:rPr>
                <w:rFonts w:cs="Arial"/>
                <w:szCs w:val="14"/>
              </w:rPr>
            </w:pPr>
          </w:p>
        </w:tc>
        <w:tc>
          <w:tcPr>
            <w:tcW w:w="1417" w:type="dxa"/>
            <w:tcBorders>
              <w:top w:val="nil"/>
              <w:bottom w:val="nil"/>
            </w:tcBorders>
            <w:shd w:val="clear" w:color="auto" w:fill="auto"/>
          </w:tcPr>
          <w:p w14:paraId="3883DB72" w14:textId="77777777" w:rsidR="009817AF" w:rsidRPr="004C5A7A" w:rsidRDefault="009817AF">
            <w:pPr>
              <w:pStyle w:val="08-Tabelageral"/>
              <w:rPr>
                <w:rFonts w:cs="Arial"/>
              </w:rPr>
            </w:pPr>
            <w:r w:rsidRPr="004C5A7A">
              <w:rPr>
                <w:rFonts w:cs="Arial"/>
              </w:rPr>
              <w:t>50,492.35</w:t>
            </w:r>
          </w:p>
        </w:tc>
        <w:tc>
          <w:tcPr>
            <w:tcW w:w="1526" w:type="dxa"/>
            <w:tcBorders>
              <w:top w:val="nil"/>
              <w:bottom w:val="nil"/>
            </w:tcBorders>
            <w:shd w:val="clear" w:color="auto" w:fill="auto"/>
            <w:vAlign w:val="center"/>
          </w:tcPr>
          <w:p w14:paraId="35867EB4" w14:textId="77777777" w:rsidR="009817AF" w:rsidRDefault="009817AF">
            <w:pPr>
              <w:pStyle w:val="08-Tabelageral"/>
              <w:rPr>
                <w:rStyle w:val="normaltextrun"/>
                <w:rFonts w:cs="Arial"/>
                <w:szCs w:val="14"/>
              </w:rPr>
            </w:pPr>
            <w:r w:rsidRPr="00BF2AAF">
              <w:rPr>
                <w:rFonts w:cs="Arial"/>
              </w:rPr>
              <w:t>48</w:t>
            </w:r>
            <w:r>
              <w:rPr>
                <w:rFonts w:cs="Arial"/>
              </w:rPr>
              <w:t>,</w:t>
            </w:r>
            <w:r w:rsidRPr="00BF2AAF">
              <w:rPr>
                <w:rFonts w:cs="Arial"/>
              </w:rPr>
              <w:t>253</w:t>
            </w:r>
            <w:r>
              <w:rPr>
                <w:rFonts w:cs="Arial"/>
              </w:rPr>
              <w:t>.</w:t>
            </w:r>
            <w:r w:rsidRPr="00BF2AAF">
              <w:rPr>
                <w:rFonts w:cs="Arial"/>
              </w:rPr>
              <w:t>43</w:t>
            </w:r>
          </w:p>
        </w:tc>
      </w:tr>
      <w:tr w:rsidR="009817AF" w:rsidRPr="0032222F" w14:paraId="19781D03" w14:textId="77777777">
        <w:trPr>
          <w:trHeight w:val="227"/>
        </w:trPr>
        <w:tc>
          <w:tcPr>
            <w:tcW w:w="3094" w:type="dxa"/>
          </w:tcPr>
          <w:p w14:paraId="34C92641" w14:textId="77777777" w:rsidR="009817AF" w:rsidRPr="004C5A7A" w:rsidRDefault="009817AF">
            <w:pPr>
              <w:pStyle w:val="08-Tabelageral"/>
              <w:jc w:val="left"/>
              <w:rPr>
                <w:rFonts w:cs="Arial"/>
              </w:rPr>
            </w:pPr>
            <w:proofErr w:type="spellStart"/>
            <w:r w:rsidRPr="004C5A7A">
              <w:rPr>
                <w:rFonts w:cs="Arial"/>
              </w:rPr>
              <w:t>Average</w:t>
            </w:r>
            <w:proofErr w:type="spellEnd"/>
            <w:r w:rsidRPr="004C5A7A">
              <w:rPr>
                <w:rFonts w:cs="Arial"/>
              </w:rPr>
              <w:t xml:space="preserve"> </w:t>
            </w:r>
            <w:proofErr w:type="spellStart"/>
            <w:r w:rsidRPr="004C5A7A">
              <w:rPr>
                <w:rFonts w:cs="Arial"/>
              </w:rPr>
              <w:t>salary</w:t>
            </w:r>
            <w:proofErr w:type="spellEnd"/>
          </w:p>
        </w:tc>
        <w:tc>
          <w:tcPr>
            <w:tcW w:w="604" w:type="dxa"/>
          </w:tcPr>
          <w:p w14:paraId="23CD5C17" w14:textId="77777777" w:rsidR="009817AF" w:rsidRPr="004C5A7A" w:rsidRDefault="009817AF">
            <w:pPr>
              <w:pStyle w:val="08-Tabelageral"/>
              <w:rPr>
                <w:rFonts w:cs="Arial"/>
                <w:szCs w:val="14"/>
              </w:rPr>
            </w:pPr>
          </w:p>
        </w:tc>
        <w:tc>
          <w:tcPr>
            <w:tcW w:w="1411" w:type="dxa"/>
          </w:tcPr>
          <w:p w14:paraId="185294FB" w14:textId="77777777" w:rsidR="009817AF" w:rsidRPr="004C5A7A" w:rsidRDefault="009817AF">
            <w:pPr>
              <w:pStyle w:val="08-Tabelageral"/>
              <w:rPr>
                <w:rFonts w:cs="Arial"/>
              </w:rPr>
            </w:pPr>
          </w:p>
        </w:tc>
        <w:tc>
          <w:tcPr>
            <w:tcW w:w="1412" w:type="dxa"/>
          </w:tcPr>
          <w:p w14:paraId="332A249F" w14:textId="77777777" w:rsidR="009817AF" w:rsidRPr="004C5A7A" w:rsidRDefault="009817AF">
            <w:pPr>
              <w:pStyle w:val="08-Tabelageral"/>
              <w:rPr>
                <w:rFonts w:cs="Arial"/>
              </w:rPr>
            </w:pPr>
          </w:p>
        </w:tc>
        <w:tc>
          <w:tcPr>
            <w:tcW w:w="283" w:type="dxa"/>
          </w:tcPr>
          <w:p w14:paraId="72CBAD84" w14:textId="77777777" w:rsidR="009817AF" w:rsidRPr="004C5A7A" w:rsidRDefault="009817AF">
            <w:pPr>
              <w:pStyle w:val="08-Tabelageral"/>
              <w:rPr>
                <w:rFonts w:cs="Arial"/>
                <w:szCs w:val="14"/>
              </w:rPr>
            </w:pPr>
          </w:p>
        </w:tc>
        <w:tc>
          <w:tcPr>
            <w:tcW w:w="1417" w:type="dxa"/>
            <w:tcBorders>
              <w:top w:val="nil"/>
              <w:bottom w:val="single" w:sz="4" w:space="0" w:color="1F3864" w:themeColor="accent1" w:themeShade="80"/>
            </w:tcBorders>
            <w:shd w:val="clear" w:color="auto" w:fill="auto"/>
          </w:tcPr>
          <w:p w14:paraId="0ACCA548" w14:textId="77777777" w:rsidR="009817AF" w:rsidRPr="004C5A7A" w:rsidRDefault="009817AF">
            <w:pPr>
              <w:pStyle w:val="08-Tabelageral"/>
              <w:rPr>
                <w:rFonts w:cs="Arial"/>
              </w:rPr>
            </w:pPr>
            <w:r w:rsidRPr="004C5A7A">
              <w:rPr>
                <w:rFonts w:cs="Arial"/>
              </w:rPr>
              <w:t>19,902.26</w:t>
            </w:r>
          </w:p>
        </w:tc>
        <w:tc>
          <w:tcPr>
            <w:tcW w:w="1526" w:type="dxa"/>
            <w:tcBorders>
              <w:top w:val="nil"/>
              <w:bottom w:val="single" w:sz="4" w:space="0" w:color="1F3864" w:themeColor="accent1" w:themeShade="80"/>
            </w:tcBorders>
            <w:shd w:val="clear" w:color="auto" w:fill="auto"/>
            <w:vAlign w:val="center"/>
          </w:tcPr>
          <w:p w14:paraId="67ED663D" w14:textId="77777777" w:rsidR="009817AF" w:rsidRDefault="009817AF">
            <w:pPr>
              <w:pStyle w:val="08-Tabelageral"/>
              <w:rPr>
                <w:rStyle w:val="normaltextrun"/>
                <w:rFonts w:cs="Arial"/>
                <w:szCs w:val="14"/>
              </w:rPr>
            </w:pPr>
            <w:r w:rsidRPr="00BF2AAF">
              <w:rPr>
                <w:rFonts w:cs="Arial"/>
              </w:rPr>
              <w:t>18</w:t>
            </w:r>
            <w:r>
              <w:rPr>
                <w:rFonts w:cs="Arial"/>
              </w:rPr>
              <w:t>,</w:t>
            </w:r>
            <w:r w:rsidRPr="00BF2AAF">
              <w:rPr>
                <w:rFonts w:cs="Arial"/>
              </w:rPr>
              <w:t>502</w:t>
            </w:r>
            <w:r>
              <w:rPr>
                <w:rFonts w:cs="Arial"/>
              </w:rPr>
              <w:t>.</w:t>
            </w:r>
            <w:r w:rsidRPr="00BF2AAF">
              <w:rPr>
                <w:rFonts w:cs="Arial"/>
              </w:rPr>
              <w:t>43</w:t>
            </w:r>
          </w:p>
        </w:tc>
      </w:tr>
    </w:tbl>
    <w:p w14:paraId="2FFDB051" w14:textId="77777777" w:rsidR="009817AF" w:rsidRPr="004C5A7A" w:rsidRDefault="009817AF" w:rsidP="00A76AF4">
      <w:pPr>
        <w:pStyle w:val="07-Legenda"/>
        <w:numPr>
          <w:ilvl w:val="0"/>
          <w:numId w:val="5"/>
        </w:numPr>
        <w:ind w:left="284" w:hanging="284"/>
        <w:rPr>
          <w:rFonts w:cs="Arial"/>
          <w:lang w:val="en-US"/>
        </w:rPr>
      </w:pPr>
      <w:r w:rsidRPr="004C5A7A">
        <w:rPr>
          <w:rFonts w:cs="Arial"/>
          <w:lang w:val="en-US"/>
        </w:rPr>
        <w:t>Application of a 4.62% adjustment to the remunerations received by members of the Executive Board, approved by the Ordinary General Meeting held on April 30, 2024.</w:t>
      </w:r>
    </w:p>
    <w:p w14:paraId="3261DE0E" w14:textId="77777777" w:rsidR="009817AF" w:rsidRPr="004C5A7A" w:rsidRDefault="009817AF" w:rsidP="00A76AF4">
      <w:pPr>
        <w:pStyle w:val="07-Legenda"/>
        <w:numPr>
          <w:ilvl w:val="0"/>
          <w:numId w:val="5"/>
        </w:numPr>
        <w:ind w:left="284" w:hanging="284"/>
        <w:rPr>
          <w:rFonts w:cs="Arial"/>
          <w:lang w:val="en-US"/>
        </w:rPr>
      </w:pPr>
      <w:r w:rsidRPr="004C5A7A">
        <w:rPr>
          <w:rFonts w:cs="Arial"/>
          <w:lang w:val="en-US"/>
        </w:rPr>
        <w:t>Application of a 4.62% adjustment to the remunerations received by members of the Boards and Statutory Committees, approved by the Ordinary General Meeting held on April 30, 2024.</w:t>
      </w:r>
    </w:p>
    <w:p w14:paraId="6F9095A0" w14:textId="21D1C837" w:rsidR="00B639B4" w:rsidRDefault="00B639B4">
      <w:pPr>
        <w:rPr>
          <w:rFonts w:ascii="Arial" w:eastAsia="Times New Roman" w:hAnsi="Arial" w:cs="Arial"/>
          <w:spacing w:val="-2"/>
          <w:sz w:val="14"/>
          <w:szCs w:val="18"/>
          <w:lang w:val="en-US" w:eastAsia="pt-BR"/>
        </w:rPr>
      </w:pPr>
      <w:r>
        <w:rPr>
          <w:rFonts w:cs="Arial"/>
          <w:lang w:val="en-US"/>
        </w:rPr>
        <w:br w:type="page"/>
      </w:r>
    </w:p>
    <w:p w14:paraId="18C91376" w14:textId="77777777" w:rsidR="009817AF" w:rsidRPr="004C5A7A" w:rsidRDefault="009817AF" w:rsidP="00A76AF4">
      <w:pPr>
        <w:pStyle w:val="03-SubttulodeNota"/>
        <w:numPr>
          <w:ilvl w:val="0"/>
          <w:numId w:val="2"/>
        </w:numPr>
        <w:ind w:left="284" w:hanging="284"/>
        <w:rPr>
          <w:rFonts w:cs="Arial"/>
          <w:color w:val="1F3864" w:themeColor="accent1" w:themeShade="80"/>
          <w:sz w:val="18"/>
          <w:szCs w:val="18"/>
          <w:lang w:val="en-US"/>
        </w:rPr>
      </w:pPr>
      <w:r w:rsidRPr="004C5A7A">
        <w:rPr>
          <w:rFonts w:cs="Arial"/>
          <w:color w:val="1F3864" w:themeColor="accent1" w:themeShade="80"/>
          <w:sz w:val="18"/>
          <w:szCs w:val="18"/>
          <w:lang w:val="en-US"/>
        </w:rPr>
        <w:lastRenderedPageBreak/>
        <w:t>Compensation and Benefits of Employees and Managers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77"/>
        <w:gridCol w:w="1377"/>
        <w:gridCol w:w="1377"/>
        <w:gridCol w:w="1377"/>
        <w:gridCol w:w="1377"/>
        <w:gridCol w:w="62"/>
        <w:gridCol w:w="1166"/>
        <w:gridCol w:w="149"/>
        <w:gridCol w:w="1377"/>
      </w:tblGrid>
      <w:tr w:rsidR="009817AF" w:rsidRPr="00EC49EB" w14:paraId="09A874AF" w14:textId="77777777">
        <w:trPr>
          <w:trHeight w:val="227"/>
          <w:jc w:val="center"/>
        </w:trPr>
        <w:tc>
          <w:tcPr>
            <w:tcW w:w="6947" w:type="dxa"/>
            <w:gridSpan w:val="6"/>
            <w:tcBorders>
              <w:top w:val="single" w:sz="2" w:space="0" w:color="1F3864" w:themeColor="accent1" w:themeShade="80"/>
              <w:bottom w:val="single" w:sz="2" w:space="0" w:color="1F3864" w:themeColor="accent1" w:themeShade="80"/>
            </w:tcBorders>
            <w:shd w:val="clear" w:color="auto" w:fill="auto"/>
            <w:vAlign w:val="center"/>
          </w:tcPr>
          <w:p w14:paraId="74FC64EA" w14:textId="77777777" w:rsidR="009817AF" w:rsidRPr="009817AF" w:rsidRDefault="009817AF">
            <w:pPr>
              <w:keepNext/>
              <w:keepLines/>
              <w:spacing w:before="40" w:after="40"/>
              <w:jc w:val="right"/>
              <w:rPr>
                <w:rFonts w:ascii="Arial" w:hAnsi="Arial" w:cs="Arial"/>
                <w:b/>
                <w:spacing w:val="-2"/>
                <w:sz w:val="14"/>
                <w:szCs w:val="18"/>
                <w:lang w:val="en-US"/>
              </w:rPr>
            </w:pPr>
          </w:p>
        </w:tc>
        <w:tc>
          <w:tcPr>
            <w:tcW w:w="1166" w:type="dxa"/>
            <w:tcBorders>
              <w:top w:val="single" w:sz="2" w:space="0" w:color="1F3864" w:themeColor="accent1" w:themeShade="80"/>
              <w:bottom w:val="single" w:sz="2" w:space="0" w:color="1F3864" w:themeColor="accent1" w:themeShade="80"/>
            </w:tcBorders>
            <w:shd w:val="clear" w:color="auto" w:fill="auto"/>
          </w:tcPr>
          <w:p w14:paraId="11B8570D" w14:textId="77777777" w:rsidR="009817AF" w:rsidRPr="00600CDC" w:rsidRDefault="009817AF">
            <w:pPr>
              <w:keepNext/>
              <w:keepLines/>
              <w:spacing w:before="40" w:after="40"/>
              <w:jc w:val="right"/>
              <w:rPr>
                <w:rFonts w:ascii="Arial" w:hAnsi="Arial" w:cs="Arial"/>
                <w:b/>
                <w:bCs/>
                <w:spacing w:val="-2"/>
                <w:sz w:val="14"/>
                <w:szCs w:val="18"/>
              </w:rPr>
            </w:pPr>
            <w:r w:rsidRPr="00600CDC">
              <w:rPr>
                <w:rFonts w:ascii="Arial" w:hAnsi="Arial" w:cs="Arial"/>
                <w:b/>
                <w:bCs/>
                <w:spacing w:val="-2"/>
                <w:sz w:val="14"/>
                <w:szCs w:val="18"/>
              </w:rPr>
              <w:t>202</w:t>
            </w:r>
            <w:r>
              <w:rPr>
                <w:rFonts w:ascii="Arial" w:hAnsi="Arial" w:cs="Arial"/>
                <w:b/>
                <w:bCs/>
                <w:spacing w:val="-2"/>
                <w:sz w:val="14"/>
                <w:szCs w:val="18"/>
              </w:rPr>
              <w:t>4</w:t>
            </w:r>
          </w:p>
        </w:tc>
        <w:tc>
          <w:tcPr>
            <w:tcW w:w="1526" w:type="dxa"/>
            <w:gridSpan w:val="2"/>
            <w:tcBorders>
              <w:top w:val="single" w:sz="2" w:space="0" w:color="1F3864" w:themeColor="accent1" w:themeShade="80"/>
              <w:bottom w:val="single" w:sz="2" w:space="0" w:color="1F3864" w:themeColor="accent1" w:themeShade="80"/>
            </w:tcBorders>
            <w:shd w:val="clear" w:color="auto" w:fill="auto"/>
          </w:tcPr>
          <w:p w14:paraId="67F052E1" w14:textId="77777777" w:rsidR="009817AF" w:rsidRPr="00600CDC" w:rsidRDefault="009817AF">
            <w:pPr>
              <w:keepNext/>
              <w:keepLines/>
              <w:spacing w:before="40" w:after="40"/>
              <w:jc w:val="right"/>
              <w:rPr>
                <w:rFonts w:ascii="Arial" w:hAnsi="Arial" w:cs="Arial"/>
                <w:b/>
                <w:bCs/>
                <w:spacing w:val="-2"/>
                <w:sz w:val="14"/>
                <w:szCs w:val="18"/>
              </w:rPr>
            </w:pPr>
            <w:r w:rsidRPr="00600CDC">
              <w:rPr>
                <w:rFonts w:ascii="Arial" w:hAnsi="Arial" w:cs="Arial"/>
                <w:b/>
                <w:bCs/>
                <w:spacing w:val="-2"/>
                <w:sz w:val="14"/>
                <w:szCs w:val="18"/>
              </w:rPr>
              <w:t>202</w:t>
            </w:r>
            <w:r>
              <w:rPr>
                <w:rFonts w:ascii="Arial" w:hAnsi="Arial" w:cs="Arial"/>
                <w:b/>
                <w:bCs/>
                <w:spacing w:val="-2"/>
                <w:sz w:val="14"/>
                <w:szCs w:val="18"/>
              </w:rPr>
              <w:t>3</w:t>
            </w:r>
          </w:p>
        </w:tc>
      </w:tr>
      <w:tr w:rsidR="009817AF" w:rsidRPr="003735AD" w14:paraId="323609C7" w14:textId="77777777">
        <w:trPr>
          <w:trHeight w:val="139"/>
          <w:jc w:val="center"/>
        </w:trPr>
        <w:tc>
          <w:tcPr>
            <w:tcW w:w="1377" w:type="dxa"/>
            <w:tcBorders>
              <w:top w:val="single" w:sz="2" w:space="0" w:color="1F3864" w:themeColor="accent1" w:themeShade="80"/>
              <w:bottom w:val="nil"/>
            </w:tcBorders>
            <w:shd w:val="clear" w:color="auto" w:fill="auto"/>
          </w:tcPr>
          <w:p w14:paraId="1E91031E" w14:textId="77777777" w:rsidR="009817AF" w:rsidRPr="004C5A7A" w:rsidRDefault="009817AF">
            <w:pPr>
              <w:pStyle w:val="08-Tabelageral"/>
              <w:jc w:val="left"/>
              <w:rPr>
                <w:rFonts w:cs="Arial"/>
              </w:rPr>
            </w:pPr>
            <w:r w:rsidRPr="004C5A7A">
              <w:rPr>
                <w:rFonts w:cs="Arial"/>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shd w:val="clear" w:color="auto" w:fill="auto"/>
          </w:tcPr>
          <w:p w14:paraId="3C314973" w14:textId="77777777" w:rsidR="009817AF" w:rsidRPr="004C5A7A" w:rsidRDefault="009817AF">
            <w:pPr>
              <w:pStyle w:val="08-Tabelageral"/>
              <w:rPr>
                <w:rFonts w:cs="Arial"/>
              </w:rPr>
            </w:pPr>
          </w:p>
        </w:tc>
        <w:tc>
          <w:tcPr>
            <w:tcW w:w="1377" w:type="dxa"/>
            <w:tcBorders>
              <w:top w:val="single" w:sz="2" w:space="0" w:color="1F3864" w:themeColor="accent1" w:themeShade="80"/>
              <w:bottom w:val="nil"/>
            </w:tcBorders>
            <w:shd w:val="clear" w:color="auto" w:fill="auto"/>
          </w:tcPr>
          <w:p w14:paraId="49DB996B" w14:textId="77777777" w:rsidR="009817AF" w:rsidRPr="004C5A7A" w:rsidRDefault="009817AF">
            <w:pPr>
              <w:pStyle w:val="08-Tabelageral"/>
              <w:rPr>
                <w:rFonts w:cs="Arial"/>
              </w:rPr>
            </w:pPr>
          </w:p>
        </w:tc>
        <w:tc>
          <w:tcPr>
            <w:tcW w:w="1377" w:type="dxa"/>
            <w:tcBorders>
              <w:top w:val="single" w:sz="2" w:space="0" w:color="1F3864" w:themeColor="accent1" w:themeShade="80"/>
              <w:bottom w:val="nil"/>
            </w:tcBorders>
            <w:shd w:val="clear" w:color="auto" w:fill="auto"/>
          </w:tcPr>
          <w:p w14:paraId="08997325" w14:textId="77777777" w:rsidR="009817AF" w:rsidRPr="004C5A7A" w:rsidRDefault="009817AF">
            <w:pPr>
              <w:pStyle w:val="08-Tabelageral"/>
              <w:rPr>
                <w:rFonts w:cs="Arial"/>
              </w:rPr>
            </w:pPr>
          </w:p>
        </w:tc>
        <w:tc>
          <w:tcPr>
            <w:tcW w:w="1377" w:type="dxa"/>
            <w:tcBorders>
              <w:top w:val="single" w:sz="2" w:space="0" w:color="1F3864" w:themeColor="accent1" w:themeShade="80"/>
              <w:bottom w:val="nil"/>
            </w:tcBorders>
            <w:shd w:val="clear" w:color="auto" w:fill="auto"/>
          </w:tcPr>
          <w:p w14:paraId="01E2FAAF" w14:textId="77777777" w:rsidR="009817AF" w:rsidRPr="004C5A7A" w:rsidRDefault="009817AF">
            <w:pPr>
              <w:pStyle w:val="08-Tabelageral"/>
              <w:rPr>
                <w:rFonts w:cs="Arial"/>
              </w:rPr>
            </w:pPr>
          </w:p>
        </w:tc>
        <w:tc>
          <w:tcPr>
            <w:tcW w:w="1377" w:type="dxa"/>
            <w:gridSpan w:val="3"/>
            <w:tcBorders>
              <w:top w:val="single" w:sz="2" w:space="0" w:color="9CC2E5" w:themeColor="accent5" w:themeTint="99"/>
            </w:tcBorders>
            <w:shd w:val="clear" w:color="auto" w:fill="auto"/>
            <w:vAlign w:val="center"/>
          </w:tcPr>
          <w:p w14:paraId="7BB7AD70" w14:textId="77777777" w:rsidR="009817AF" w:rsidRPr="004C5A7A" w:rsidRDefault="009817AF">
            <w:pPr>
              <w:pStyle w:val="08-Tabelageral"/>
              <w:rPr>
                <w:rFonts w:cs="Arial"/>
              </w:rPr>
            </w:pPr>
          </w:p>
        </w:tc>
        <w:tc>
          <w:tcPr>
            <w:tcW w:w="1377" w:type="dxa"/>
            <w:tcBorders>
              <w:top w:val="single" w:sz="2" w:space="0" w:color="9CC2E5" w:themeColor="accent5" w:themeTint="99"/>
            </w:tcBorders>
            <w:shd w:val="clear" w:color="auto" w:fill="auto"/>
            <w:vAlign w:val="center"/>
          </w:tcPr>
          <w:p w14:paraId="5085A5CA" w14:textId="77777777" w:rsidR="009817AF" w:rsidRPr="004C5A7A" w:rsidRDefault="009817AF">
            <w:pPr>
              <w:pStyle w:val="08-Tabelageral"/>
              <w:rPr>
                <w:rFonts w:cs="Arial"/>
              </w:rPr>
            </w:pPr>
          </w:p>
        </w:tc>
      </w:tr>
      <w:tr w:rsidR="009817AF" w:rsidRPr="003735AD" w14:paraId="7EA32DDC" w14:textId="77777777">
        <w:trPr>
          <w:trHeight w:val="139"/>
          <w:jc w:val="center"/>
        </w:trPr>
        <w:tc>
          <w:tcPr>
            <w:tcW w:w="1377" w:type="dxa"/>
            <w:tcBorders>
              <w:top w:val="nil"/>
              <w:bottom w:val="nil"/>
            </w:tcBorders>
            <w:shd w:val="clear" w:color="auto" w:fill="auto"/>
          </w:tcPr>
          <w:p w14:paraId="5E21F780" w14:textId="77777777" w:rsidR="009817AF" w:rsidRPr="004C5A7A" w:rsidRDefault="009817AF">
            <w:pPr>
              <w:pStyle w:val="08-Tabelageral"/>
              <w:jc w:val="left"/>
              <w:rPr>
                <w:rFonts w:cs="Arial"/>
                <w:b/>
              </w:rPr>
            </w:pPr>
            <w:proofErr w:type="spellStart"/>
            <w:r w:rsidRPr="004C5A7A">
              <w:rPr>
                <w:rFonts w:cs="Arial"/>
              </w:rPr>
              <w:t>Lowest</w:t>
            </w:r>
            <w:proofErr w:type="spellEnd"/>
            <w:r w:rsidRPr="004C5A7A">
              <w:rPr>
                <w:rFonts w:cs="Arial"/>
              </w:rPr>
              <w:t xml:space="preserve"> </w:t>
            </w:r>
            <w:proofErr w:type="spellStart"/>
            <w:r w:rsidRPr="004C5A7A">
              <w:rPr>
                <w:rFonts w:cs="Arial"/>
              </w:rPr>
              <w:t>salary</w:t>
            </w:r>
            <w:proofErr w:type="spellEnd"/>
          </w:p>
        </w:tc>
        <w:tc>
          <w:tcPr>
            <w:tcW w:w="1377" w:type="dxa"/>
            <w:tcBorders>
              <w:top w:val="nil"/>
              <w:bottom w:val="nil"/>
            </w:tcBorders>
            <w:shd w:val="clear" w:color="auto" w:fill="auto"/>
          </w:tcPr>
          <w:p w14:paraId="5820CC08" w14:textId="77777777" w:rsidR="009817AF" w:rsidRPr="004C5A7A" w:rsidRDefault="009817AF">
            <w:pPr>
              <w:pStyle w:val="08-Tabelageral"/>
              <w:jc w:val="left"/>
              <w:rPr>
                <w:rFonts w:cs="Arial"/>
                <w:b/>
              </w:rPr>
            </w:pPr>
          </w:p>
        </w:tc>
        <w:tc>
          <w:tcPr>
            <w:tcW w:w="1377" w:type="dxa"/>
            <w:tcBorders>
              <w:top w:val="nil"/>
              <w:bottom w:val="nil"/>
            </w:tcBorders>
            <w:shd w:val="clear" w:color="auto" w:fill="auto"/>
          </w:tcPr>
          <w:p w14:paraId="7D402346" w14:textId="77777777" w:rsidR="009817AF" w:rsidRPr="004C5A7A" w:rsidRDefault="009817AF">
            <w:pPr>
              <w:pStyle w:val="08-Tabelageral"/>
              <w:jc w:val="left"/>
              <w:rPr>
                <w:rFonts w:cs="Arial"/>
                <w:b/>
              </w:rPr>
            </w:pPr>
          </w:p>
        </w:tc>
        <w:tc>
          <w:tcPr>
            <w:tcW w:w="1377" w:type="dxa"/>
            <w:tcBorders>
              <w:top w:val="nil"/>
              <w:bottom w:val="nil"/>
            </w:tcBorders>
            <w:shd w:val="clear" w:color="auto" w:fill="auto"/>
          </w:tcPr>
          <w:p w14:paraId="20962280" w14:textId="77777777" w:rsidR="009817AF" w:rsidRPr="004C5A7A" w:rsidRDefault="009817AF">
            <w:pPr>
              <w:pStyle w:val="08-Tabelageral"/>
              <w:jc w:val="left"/>
              <w:rPr>
                <w:rFonts w:cs="Arial"/>
                <w:b/>
              </w:rPr>
            </w:pPr>
          </w:p>
        </w:tc>
        <w:tc>
          <w:tcPr>
            <w:tcW w:w="1377" w:type="dxa"/>
            <w:tcBorders>
              <w:top w:val="nil"/>
              <w:bottom w:val="nil"/>
            </w:tcBorders>
            <w:shd w:val="clear" w:color="auto" w:fill="auto"/>
          </w:tcPr>
          <w:p w14:paraId="3AB65BE5" w14:textId="77777777" w:rsidR="009817AF" w:rsidRPr="004C5A7A" w:rsidRDefault="009817AF">
            <w:pPr>
              <w:pStyle w:val="08-Tabelageral"/>
              <w:jc w:val="left"/>
              <w:rPr>
                <w:rFonts w:cs="Arial"/>
                <w:b/>
              </w:rPr>
            </w:pPr>
          </w:p>
        </w:tc>
        <w:tc>
          <w:tcPr>
            <w:tcW w:w="1377" w:type="dxa"/>
            <w:gridSpan w:val="3"/>
            <w:shd w:val="clear" w:color="auto" w:fill="auto"/>
            <w:vAlign w:val="center"/>
          </w:tcPr>
          <w:p w14:paraId="00F04067" w14:textId="77777777" w:rsidR="009817AF" w:rsidRPr="004C5A7A" w:rsidRDefault="009817AF">
            <w:pPr>
              <w:pStyle w:val="08-Tabelageral"/>
              <w:rPr>
                <w:rFonts w:cs="Arial"/>
                <w:b/>
              </w:rPr>
            </w:pPr>
            <w:r w:rsidRPr="004C5A7A">
              <w:rPr>
                <w:rFonts w:cs="Arial"/>
              </w:rPr>
              <w:t>108,305.60</w:t>
            </w:r>
          </w:p>
        </w:tc>
        <w:tc>
          <w:tcPr>
            <w:tcW w:w="1377" w:type="dxa"/>
            <w:shd w:val="clear" w:color="auto" w:fill="auto"/>
            <w:vAlign w:val="center"/>
          </w:tcPr>
          <w:p w14:paraId="1BE36B97" w14:textId="77777777" w:rsidR="009817AF" w:rsidRPr="004C5A7A" w:rsidRDefault="009817AF">
            <w:pPr>
              <w:pStyle w:val="08-Tabelageral"/>
              <w:rPr>
                <w:rFonts w:cs="Arial"/>
                <w:b/>
              </w:rPr>
            </w:pPr>
            <w:r w:rsidRPr="00BF2AAF">
              <w:rPr>
                <w:rFonts w:cs="Arial"/>
              </w:rPr>
              <w:t>99</w:t>
            </w:r>
            <w:r>
              <w:rPr>
                <w:rFonts w:cs="Arial"/>
              </w:rPr>
              <w:t>,</w:t>
            </w:r>
            <w:r w:rsidRPr="00BF2AAF">
              <w:rPr>
                <w:rFonts w:cs="Arial"/>
              </w:rPr>
              <w:t>193</w:t>
            </w:r>
            <w:r>
              <w:rPr>
                <w:rFonts w:cs="Arial"/>
              </w:rPr>
              <w:t>.</w:t>
            </w:r>
            <w:r w:rsidRPr="00BF2AAF">
              <w:rPr>
                <w:rFonts w:cs="Arial"/>
              </w:rPr>
              <w:t>09</w:t>
            </w:r>
          </w:p>
        </w:tc>
      </w:tr>
      <w:tr w:rsidR="009817AF" w:rsidRPr="0049410B" w14:paraId="71928D91" w14:textId="77777777">
        <w:trPr>
          <w:trHeight w:val="227"/>
          <w:jc w:val="center"/>
        </w:trPr>
        <w:tc>
          <w:tcPr>
            <w:tcW w:w="1377" w:type="dxa"/>
            <w:tcBorders>
              <w:top w:val="nil"/>
            </w:tcBorders>
            <w:shd w:val="clear" w:color="auto" w:fill="auto"/>
          </w:tcPr>
          <w:p w14:paraId="55234A7E" w14:textId="77777777" w:rsidR="009817AF" w:rsidRPr="004C5A7A" w:rsidRDefault="009817AF">
            <w:pPr>
              <w:pStyle w:val="08-Tabelageral"/>
              <w:jc w:val="left"/>
              <w:rPr>
                <w:rFonts w:cs="Arial"/>
                <w:b/>
              </w:rPr>
            </w:pPr>
            <w:proofErr w:type="spellStart"/>
            <w:r w:rsidRPr="004C5A7A">
              <w:rPr>
                <w:rFonts w:cs="Arial"/>
              </w:rPr>
              <w:t>Highest</w:t>
            </w:r>
            <w:proofErr w:type="spellEnd"/>
            <w:r w:rsidRPr="004C5A7A">
              <w:rPr>
                <w:rFonts w:cs="Arial"/>
              </w:rPr>
              <w:t xml:space="preserve"> </w:t>
            </w:r>
            <w:proofErr w:type="spellStart"/>
            <w:r w:rsidRPr="004C5A7A">
              <w:rPr>
                <w:rFonts w:cs="Arial"/>
              </w:rPr>
              <w:t>salary</w:t>
            </w:r>
            <w:proofErr w:type="spellEnd"/>
          </w:p>
        </w:tc>
        <w:tc>
          <w:tcPr>
            <w:tcW w:w="1377" w:type="dxa"/>
            <w:tcBorders>
              <w:top w:val="nil"/>
            </w:tcBorders>
            <w:shd w:val="clear" w:color="auto" w:fill="auto"/>
          </w:tcPr>
          <w:p w14:paraId="45EDA5DB" w14:textId="77777777" w:rsidR="009817AF" w:rsidRPr="004C5A7A" w:rsidRDefault="009817AF">
            <w:pPr>
              <w:pStyle w:val="08-Tabelageral"/>
              <w:rPr>
                <w:rFonts w:cs="Arial"/>
              </w:rPr>
            </w:pPr>
          </w:p>
        </w:tc>
        <w:tc>
          <w:tcPr>
            <w:tcW w:w="1377" w:type="dxa"/>
            <w:tcBorders>
              <w:top w:val="nil"/>
            </w:tcBorders>
            <w:shd w:val="clear" w:color="auto" w:fill="auto"/>
            <w:vAlign w:val="center"/>
          </w:tcPr>
          <w:p w14:paraId="4900937B" w14:textId="77777777" w:rsidR="009817AF" w:rsidRPr="004C5A7A" w:rsidRDefault="009817AF">
            <w:pPr>
              <w:pStyle w:val="08-Tabelageral"/>
              <w:rPr>
                <w:rFonts w:cs="Arial"/>
              </w:rPr>
            </w:pPr>
          </w:p>
        </w:tc>
        <w:tc>
          <w:tcPr>
            <w:tcW w:w="1377" w:type="dxa"/>
            <w:tcBorders>
              <w:top w:val="nil"/>
            </w:tcBorders>
            <w:shd w:val="clear" w:color="auto" w:fill="auto"/>
            <w:vAlign w:val="center"/>
          </w:tcPr>
          <w:p w14:paraId="3626B61E" w14:textId="77777777" w:rsidR="009817AF" w:rsidRPr="004C5A7A" w:rsidRDefault="009817AF">
            <w:pPr>
              <w:pStyle w:val="08-Tabelageral"/>
              <w:rPr>
                <w:rFonts w:cs="Arial"/>
              </w:rPr>
            </w:pPr>
          </w:p>
        </w:tc>
        <w:tc>
          <w:tcPr>
            <w:tcW w:w="1377" w:type="dxa"/>
            <w:tcBorders>
              <w:top w:val="nil"/>
            </w:tcBorders>
            <w:shd w:val="clear" w:color="auto" w:fill="auto"/>
            <w:vAlign w:val="center"/>
          </w:tcPr>
          <w:p w14:paraId="06256DFA" w14:textId="77777777" w:rsidR="009817AF" w:rsidRPr="004C5A7A" w:rsidRDefault="009817AF">
            <w:pPr>
              <w:pStyle w:val="08-Tabelageral"/>
              <w:rPr>
                <w:rFonts w:cs="Arial"/>
              </w:rPr>
            </w:pPr>
          </w:p>
        </w:tc>
        <w:tc>
          <w:tcPr>
            <w:tcW w:w="1377" w:type="dxa"/>
            <w:gridSpan w:val="3"/>
            <w:shd w:val="clear" w:color="auto" w:fill="auto"/>
            <w:vAlign w:val="center"/>
          </w:tcPr>
          <w:p w14:paraId="64F8B176" w14:textId="77777777" w:rsidR="009817AF" w:rsidRPr="004C5A7A" w:rsidRDefault="009817AF">
            <w:pPr>
              <w:pStyle w:val="08-Tabelageral"/>
              <w:rPr>
                <w:rFonts w:cs="Arial"/>
              </w:rPr>
            </w:pPr>
            <w:r w:rsidRPr="004C5A7A">
              <w:rPr>
                <w:rFonts w:cs="Arial"/>
              </w:rPr>
              <w:t>118,610.93</w:t>
            </w:r>
          </w:p>
        </w:tc>
        <w:tc>
          <w:tcPr>
            <w:tcW w:w="1377" w:type="dxa"/>
            <w:shd w:val="clear" w:color="auto" w:fill="auto"/>
            <w:vAlign w:val="center"/>
          </w:tcPr>
          <w:p w14:paraId="33BCEB10" w14:textId="77777777" w:rsidR="009817AF" w:rsidRPr="004C5A7A" w:rsidRDefault="009817AF">
            <w:pPr>
              <w:pStyle w:val="08-Tabelageral"/>
              <w:rPr>
                <w:rFonts w:cs="Arial"/>
              </w:rPr>
            </w:pPr>
            <w:r w:rsidRPr="00BF2AAF">
              <w:rPr>
                <w:rFonts w:cs="Arial"/>
              </w:rPr>
              <w:t>133</w:t>
            </w:r>
            <w:r>
              <w:rPr>
                <w:rFonts w:cs="Arial"/>
              </w:rPr>
              <w:t>,</w:t>
            </w:r>
            <w:r w:rsidRPr="00BF2AAF">
              <w:rPr>
                <w:rFonts w:cs="Arial"/>
              </w:rPr>
              <w:t>341</w:t>
            </w:r>
            <w:r>
              <w:rPr>
                <w:rFonts w:cs="Arial"/>
              </w:rPr>
              <w:t>.</w:t>
            </w:r>
            <w:r w:rsidRPr="00BF2AAF">
              <w:rPr>
                <w:rFonts w:cs="Arial"/>
              </w:rPr>
              <w:t>71</w:t>
            </w:r>
          </w:p>
        </w:tc>
      </w:tr>
      <w:tr w:rsidR="009817AF" w:rsidRPr="0049410B" w14:paraId="359C29BA" w14:textId="77777777">
        <w:trPr>
          <w:trHeight w:val="227"/>
          <w:jc w:val="center"/>
        </w:trPr>
        <w:tc>
          <w:tcPr>
            <w:tcW w:w="1377" w:type="dxa"/>
            <w:shd w:val="clear" w:color="auto" w:fill="auto"/>
          </w:tcPr>
          <w:p w14:paraId="1E4DDBD4" w14:textId="77777777" w:rsidR="009817AF" w:rsidRPr="004C5A7A" w:rsidRDefault="009817AF">
            <w:pPr>
              <w:pStyle w:val="08-Tabelageral"/>
              <w:jc w:val="left"/>
              <w:rPr>
                <w:rFonts w:cs="Arial"/>
                <w:b/>
              </w:rPr>
            </w:pPr>
            <w:proofErr w:type="spellStart"/>
            <w:r w:rsidRPr="004C5A7A">
              <w:rPr>
                <w:rFonts w:cs="Arial"/>
              </w:rPr>
              <w:t>Average</w:t>
            </w:r>
            <w:proofErr w:type="spellEnd"/>
            <w:r w:rsidRPr="004C5A7A">
              <w:rPr>
                <w:rFonts w:cs="Arial"/>
              </w:rPr>
              <w:t xml:space="preserve"> </w:t>
            </w:r>
            <w:proofErr w:type="spellStart"/>
            <w:r w:rsidRPr="004C5A7A">
              <w:rPr>
                <w:rFonts w:cs="Arial"/>
              </w:rPr>
              <w:t>salary</w:t>
            </w:r>
            <w:proofErr w:type="spellEnd"/>
          </w:p>
        </w:tc>
        <w:tc>
          <w:tcPr>
            <w:tcW w:w="1377" w:type="dxa"/>
            <w:shd w:val="clear" w:color="auto" w:fill="auto"/>
          </w:tcPr>
          <w:p w14:paraId="2BF71A13" w14:textId="77777777" w:rsidR="009817AF" w:rsidRPr="004C5A7A" w:rsidRDefault="009817AF">
            <w:pPr>
              <w:pStyle w:val="08-Tabelageral"/>
              <w:rPr>
                <w:rFonts w:cs="Arial"/>
              </w:rPr>
            </w:pPr>
          </w:p>
        </w:tc>
        <w:tc>
          <w:tcPr>
            <w:tcW w:w="1377" w:type="dxa"/>
            <w:shd w:val="clear" w:color="auto" w:fill="auto"/>
            <w:vAlign w:val="center"/>
          </w:tcPr>
          <w:p w14:paraId="41B01E5F" w14:textId="77777777" w:rsidR="009817AF" w:rsidRPr="004C5A7A" w:rsidRDefault="009817AF">
            <w:pPr>
              <w:pStyle w:val="08-Tabelageral"/>
              <w:rPr>
                <w:rFonts w:cs="Arial"/>
              </w:rPr>
            </w:pPr>
          </w:p>
        </w:tc>
        <w:tc>
          <w:tcPr>
            <w:tcW w:w="1377" w:type="dxa"/>
            <w:shd w:val="clear" w:color="auto" w:fill="auto"/>
            <w:vAlign w:val="center"/>
          </w:tcPr>
          <w:p w14:paraId="1C8A09B1" w14:textId="77777777" w:rsidR="009817AF" w:rsidRPr="004C5A7A" w:rsidRDefault="009817AF">
            <w:pPr>
              <w:pStyle w:val="08-Tabelageral"/>
              <w:rPr>
                <w:rFonts w:cs="Arial"/>
              </w:rPr>
            </w:pPr>
          </w:p>
        </w:tc>
        <w:tc>
          <w:tcPr>
            <w:tcW w:w="1377" w:type="dxa"/>
            <w:shd w:val="clear" w:color="auto" w:fill="auto"/>
            <w:vAlign w:val="center"/>
          </w:tcPr>
          <w:p w14:paraId="76A28358" w14:textId="77777777" w:rsidR="009817AF" w:rsidRPr="004C5A7A" w:rsidRDefault="009817AF">
            <w:pPr>
              <w:pStyle w:val="08-Tabelageral"/>
              <w:rPr>
                <w:rFonts w:cs="Arial"/>
              </w:rPr>
            </w:pPr>
          </w:p>
        </w:tc>
        <w:tc>
          <w:tcPr>
            <w:tcW w:w="1377" w:type="dxa"/>
            <w:gridSpan w:val="3"/>
            <w:shd w:val="clear" w:color="auto" w:fill="auto"/>
            <w:vAlign w:val="center"/>
          </w:tcPr>
          <w:p w14:paraId="5395C213" w14:textId="77777777" w:rsidR="009817AF" w:rsidRPr="004C5A7A" w:rsidRDefault="009817AF">
            <w:pPr>
              <w:pStyle w:val="08-Tabelageral"/>
              <w:rPr>
                <w:rFonts w:cs="Arial"/>
              </w:rPr>
            </w:pPr>
            <w:r w:rsidRPr="004C5A7A">
              <w:rPr>
                <w:rFonts w:cs="Arial"/>
              </w:rPr>
              <w:t>113,458.56</w:t>
            </w:r>
          </w:p>
        </w:tc>
        <w:tc>
          <w:tcPr>
            <w:tcW w:w="1377" w:type="dxa"/>
            <w:shd w:val="clear" w:color="auto" w:fill="auto"/>
            <w:vAlign w:val="center"/>
          </w:tcPr>
          <w:p w14:paraId="33433D87" w14:textId="77777777" w:rsidR="009817AF" w:rsidRPr="004C5A7A" w:rsidRDefault="009817AF">
            <w:pPr>
              <w:pStyle w:val="08-Tabelageral"/>
              <w:rPr>
                <w:rFonts w:cs="Arial"/>
              </w:rPr>
            </w:pPr>
            <w:r w:rsidRPr="004C5A7A">
              <w:rPr>
                <w:rFonts w:cs="Arial"/>
              </w:rPr>
              <w:t>114,120.48</w:t>
            </w:r>
          </w:p>
        </w:tc>
      </w:tr>
      <w:tr w:rsidR="009817AF" w:rsidRPr="0049410B" w14:paraId="4819BF4F" w14:textId="77777777">
        <w:trPr>
          <w:trHeight w:val="227"/>
          <w:jc w:val="center"/>
        </w:trPr>
        <w:tc>
          <w:tcPr>
            <w:tcW w:w="1377" w:type="dxa"/>
            <w:shd w:val="clear" w:color="auto" w:fill="auto"/>
          </w:tcPr>
          <w:p w14:paraId="42F99B90" w14:textId="77777777" w:rsidR="009817AF" w:rsidRPr="004C5A7A" w:rsidRDefault="009817AF">
            <w:pPr>
              <w:pStyle w:val="08-Tabelageral"/>
              <w:jc w:val="left"/>
              <w:rPr>
                <w:rFonts w:cs="Arial"/>
                <w:b/>
              </w:rPr>
            </w:pPr>
          </w:p>
        </w:tc>
        <w:tc>
          <w:tcPr>
            <w:tcW w:w="1377" w:type="dxa"/>
            <w:shd w:val="clear" w:color="auto" w:fill="auto"/>
          </w:tcPr>
          <w:p w14:paraId="7CD1B8BA" w14:textId="77777777" w:rsidR="009817AF" w:rsidRPr="004C5A7A" w:rsidRDefault="009817AF">
            <w:pPr>
              <w:pStyle w:val="08-Tabelageral"/>
              <w:rPr>
                <w:rFonts w:cs="Arial"/>
              </w:rPr>
            </w:pPr>
          </w:p>
        </w:tc>
        <w:tc>
          <w:tcPr>
            <w:tcW w:w="1377" w:type="dxa"/>
            <w:shd w:val="clear" w:color="auto" w:fill="auto"/>
            <w:vAlign w:val="center"/>
          </w:tcPr>
          <w:p w14:paraId="14A8BA79" w14:textId="77777777" w:rsidR="009817AF" w:rsidRPr="004C5A7A" w:rsidRDefault="009817AF">
            <w:pPr>
              <w:pStyle w:val="08-Tabelageral"/>
              <w:rPr>
                <w:rFonts w:cs="Arial"/>
              </w:rPr>
            </w:pPr>
          </w:p>
        </w:tc>
        <w:tc>
          <w:tcPr>
            <w:tcW w:w="1377" w:type="dxa"/>
            <w:shd w:val="clear" w:color="auto" w:fill="auto"/>
            <w:vAlign w:val="center"/>
          </w:tcPr>
          <w:p w14:paraId="28067406" w14:textId="77777777" w:rsidR="009817AF" w:rsidRPr="004C5A7A" w:rsidRDefault="009817AF">
            <w:pPr>
              <w:pStyle w:val="08-Tabelageral"/>
              <w:rPr>
                <w:rFonts w:cs="Arial"/>
              </w:rPr>
            </w:pPr>
          </w:p>
        </w:tc>
        <w:tc>
          <w:tcPr>
            <w:tcW w:w="1377" w:type="dxa"/>
            <w:shd w:val="clear" w:color="auto" w:fill="auto"/>
            <w:vAlign w:val="center"/>
          </w:tcPr>
          <w:p w14:paraId="1A9DC946" w14:textId="77777777" w:rsidR="009817AF" w:rsidRPr="004C5A7A" w:rsidRDefault="009817AF">
            <w:pPr>
              <w:pStyle w:val="08-Tabelageral"/>
              <w:rPr>
                <w:rFonts w:cs="Arial"/>
              </w:rPr>
            </w:pPr>
          </w:p>
        </w:tc>
        <w:tc>
          <w:tcPr>
            <w:tcW w:w="1377" w:type="dxa"/>
            <w:gridSpan w:val="3"/>
            <w:shd w:val="clear" w:color="auto" w:fill="auto"/>
            <w:vAlign w:val="center"/>
          </w:tcPr>
          <w:p w14:paraId="323F33A9" w14:textId="77777777" w:rsidR="009817AF" w:rsidRPr="004C5A7A" w:rsidRDefault="009817AF">
            <w:pPr>
              <w:pStyle w:val="08-Tabelageral"/>
              <w:rPr>
                <w:rFonts w:cs="Arial"/>
              </w:rPr>
            </w:pPr>
          </w:p>
        </w:tc>
        <w:tc>
          <w:tcPr>
            <w:tcW w:w="1377" w:type="dxa"/>
            <w:shd w:val="clear" w:color="auto" w:fill="auto"/>
            <w:vAlign w:val="center"/>
          </w:tcPr>
          <w:p w14:paraId="3DAD9AD5" w14:textId="77777777" w:rsidR="009817AF" w:rsidRPr="004C5A7A" w:rsidRDefault="009817AF">
            <w:pPr>
              <w:pStyle w:val="08-Tabelageral"/>
              <w:rPr>
                <w:rFonts w:cs="Arial"/>
              </w:rPr>
            </w:pPr>
          </w:p>
        </w:tc>
      </w:tr>
      <w:tr w:rsidR="009817AF" w:rsidRPr="00A63FA4" w14:paraId="3A7730CF" w14:textId="77777777">
        <w:trPr>
          <w:trHeight w:val="139"/>
          <w:jc w:val="center"/>
        </w:trPr>
        <w:tc>
          <w:tcPr>
            <w:tcW w:w="1377" w:type="dxa"/>
            <w:shd w:val="clear" w:color="auto" w:fill="auto"/>
          </w:tcPr>
          <w:p w14:paraId="1ECD230D" w14:textId="77777777" w:rsidR="009817AF" w:rsidRPr="004C5A7A" w:rsidRDefault="009817AF">
            <w:pPr>
              <w:pStyle w:val="08-Tabelageral"/>
              <w:jc w:val="left"/>
              <w:rPr>
                <w:rFonts w:cs="Arial"/>
                <w:b/>
              </w:rPr>
            </w:pPr>
            <w:proofErr w:type="spellStart"/>
            <w:r w:rsidRPr="004C5A7A">
              <w:rPr>
                <w:rFonts w:cs="Arial"/>
                <w:b/>
              </w:rPr>
              <w:t>Employees</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shd w:val="clear" w:color="auto" w:fill="auto"/>
          </w:tcPr>
          <w:p w14:paraId="3EC66C09" w14:textId="77777777" w:rsidR="009817AF" w:rsidRPr="004C5A7A" w:rsidRDefault="009817AF">
            <w:pPr>
              <w:pStyle w:val="08-Tabelageral"/>
              <w:rPr>
                <w:rFonts w:cs="Arial"/>
              </w:rPr>
            </w:pPr>
          </w:p>
        </w:tc>
        <w:tc>
          <w:tcPr>
            <w:tcW w:w="1377" w:type="dxa"/>
            <w:shd w:val="clear" w:color="auto" w:fill="auto"/>
          </w:tcPr>
          <w:p w14:paraId="5D2B6597" w14:textId="77777777" w:rsidR="009817AF" w:rsidRPr="004C5A7A" w:rsidRDefault="009817AF">
            <w:pPr>
              <w:pStyle w:val="08-Tabelageral"/>
              <w:rPr>
                <w:rFonts w:cs="Arial"/>
              </w:rPr>
            </w:pPr>
          </w:p>
        </w:tc>
        <w:tc>
          <w:tcPr>
            <w:tcW w:w="1377" w:type="dxa"/>
            <w:shd w:val="clear" w:color="auto" w:fill="auto"/>
          </w:tcPr>
          <w:p w14:paraId="64E54744" w14:textId="77777777" w:rsidR="009817AF" w:rsidRPr="004C5A7A" w:rsidRDefault="009817AF">
            <w:pPr>
              <w:pStyle w:val="08-Tabelageral"/>
              <w:rPr>
                <w:rFonts w:cs="Arial"/>
              </w:rPr>
            </w:pPr>
          </w:p>
        </w:tc>
        <w:tc>
          <w:tcPr>
            <w:tcW w:w="1377" w:type="dxa"/>
            <w:shd w:val="clear" w:color="auto" w:fill="auto"/>
          </w:tcPr>
          <w:p w14:paraId="4AEBEDBE" w14:textId="77777777" w:rsidR="009817AF" w:rsidRPr="004C5A7A" w:rsidRDefault="009817AF">
            <w:pPr>
              <w:pStyle w:val="08-Tabelageral"/>
              <w:rPr>
                <w:rFonts w:cs="Arial"/>
              </w:rPr>
            </w:pPr>
          </w:p>
        </w:tc>
        <w:tc>
          <w:tcPr>
            <w:tcW w:w="1377" w:type="dxa"/>
            <w:gridSpan w:val="3"/>
            <w:shd w:val="clear" w:color="auto" w:fill="auto"/>
            <w:vAlign w:val="bottom"/>
          </w:tcPr>
          <w:p w14:paraId="580C7D65" w14:textId="77777777" w:rsidR="009817AF" w:rsidRPr="004C5A7A" w:rsidRDefault="009817AF">
            <w:pPr>
              <w:pStyle w:val="08-Tabelageral"/>
              <w:rPr>
                <w:rFonts w:cs="Arial"/>
              </w:rPr>
            </w:pPr>
          </w:p>
        </w:tc>
        <w:tc>
          <w:tcPr>
            <w:tcW w:w="1377" w:type="dxa"/>
            <w:shd w:val="clear" w:color="auto" w:fill="auto"/>
            <w:vAlign w:val="center"/>
          </w:tcPr>
          <w:p w14:paraId="723370B1" w14:textId="77777777" w:rsidR="009817AF" w:rsidRPr="004C5A7A" w:rsidRDefault="009817AF">
            <w:pPr>
              <w:pStyle w:val="08-Tabelageral"/>
              <w:rPr>
                <w:rFonts w:cs="Arial"/>
              </w:rPr>
            </w:pPr>
          </w:p>
        </w:tc>
      </w:tr>
      <w:tr w:rsidR="009817AF" w:rsidRPr="00A63FA4" w14:paraId="6A5557D7" w14:textId="77777777">
        <w:trPr>
          <w:trHeight w:val="139"/>
          <w:jc w:val="center"/>
        </w:trPr>
        <w:tc>
          <w:tcPr>
            <w:tcW w:w="1377" w:type="dxa"/>
            <w:shd w:val="clear" w:color="auto" w:fill="auto"/>
          </w:tcPr>
          <w:p w14:paraId="09984E71" w14:textId="77777777" w:rsidR="009817AF" w:rsidRPr="004C5A7A" w:rsidRDefault="009817AF">
            <w:pPr>
              <w:pStyle w:val="08-Tabelageral"/>
              <w:jc w:val="left"/>
              <w:rPr>
                <w:rFonts w:cs="Arial"/>
                <w:b/>
              </w:rPr>
            </w:pPr>
            <w:proofErr w:type="spellStart"/>
            <w:r w:rsidRPr="004C5A7A">
              <w:rPr>
                <w:rFonts w:cs="Arial"/>
              </w:rPr>
              <w:t>Lowest</w:t>
            </w:r>
            <w:proofErr w:type="spellEnd"/>
            <w:r w:rsidRPr="004C5A7A">
              <w:rPr>
                <w:rFonts w:cs="Arial"/>
              </w:rPr>
              <w:t xml:space="preserve"> </w:t>
            </w:r>
            <w:proofErr w:type="spellStart"/>
            <w:r w:rsidRPr="004C5A7A">
              <w:rPr>
                <w:rFonts w:cs="Arial"/>
              </w:rPr>
              <w:t>salary</w:t>
            </w:r>
            <w:proofErr w:type="spellEnd"/>
          </w:p>
        </w:tc>
        <w:tc>
          <w:tcPr>
            <w:tcW w:w="1377" w:type="dxa"/>
            <w:shd w:val="clear" w:color="auto" w:fill="auto"/>
          </w:tcPr>
          <w:p w14:paraId="33060557" w14:textId="77777777" w:rsidR="009817AF" w:rsidRPr="004C5A7A" w:rsidRDefault="009817AF">
            <w:pPr>
              <w:pStyle w:val="08-Tabelageral"/>
              <w:jc w:val="left"/>
              <w:rPr>
                <w:rFonts w:cs="Arial"/>
                <w:b/>
              </w:rPr>
            </w:pPr>
          </w:p>
        </w:tc>
        <w:tc>
          <w:tcPr>
            <w:tcW w:w="1377" w:type="dxa"/>
            <w:shd w:val="clear" w:color="auto" w:fill="auto"/>
          </w:tcPr>
          <w:p w14:paraId="0907AE9B" w14:textId="77777777" w:rsidR="009817AF" w:rsidRPr="004C5A7A" w:rsidRDefault="009817AF">
            <w:pPr>
              <w:pStyle w:val="08-Tabelageral"/>
              <w:jc w:val="left"/>
              <w:rPr>
                <w:rFonts w:cs="Arial"/>
                <w:b/>
              </w:rPr>
            </w:pPr>
          </w:p>
        </w:tc>
        <w:tc>
          <w:tcPr>
            <w:tcW w:w="1377" w:type="dxa"/>
            <w:shd w:val="clear" w:color="auto" w:fill="auto"/>
          </w:tcPr>
          <w:p w14:paraId="06C2152D" w14:textId="77777777" w:rsidR="009817AF" w:rsidRPr="004C5A7A" w:rsidRDefault="009817AF">
            <w:pPr>
              <w:pStyle w:val="08-Tabelageral"/>
              <w:jc w:val="left"/>
              <w:rPr>
                <w:rFonts w:cs="Arial"/>
                <w:b/>
              </w:rPr>
            </w:pPr>
          </w:p>
        </w:tc>
        <w:tc>
          <w:tcPr>
            <w:tcW w:w="1377" w:type="dxa"/>
            <w:shd w:val="clear" w:color="auto" w:fill="auto"/>
          </w:tcPr>
          <w:p w14:paraId="5EB320E9" w14:textId="77777777" w:rsidR="009817AF" w:rsidRPr="004C5A7A" w:rsidRDefault="009817AF">
            <w:pPr>
              <w:pStyle w:val="08-Tabelageral"/>
              <w:jc w:val="left"/>
              <w:rPr>
                <w:rFonts w:cs="Arial"/>
                <w:b/>
              </w:rPr>
            </w:pPr>
          </w:p>
        </w:tc>
        <w:tc>
          <w:tcPr>
            <w:tcW w:w="1377" w:type="dxa"/>
            <w:gridSpan w:val="3"/>
            <w:shd w:val="clear" w:color="auto" w:fill="auto"/>
            <w:vAlign w:val="bottom"/>
          </w:tcPr>
          <w:p w14:paraId="19026203" w14:textId="77777777" w:rsidR="009817AF" w:rsidRPr="004C5A7A" w:rsidRDefault="009817AF">
            <w:pPr>
              <w:pStyle w:val="08-Tabelageral"/>
              <w:rPr>
                <w:rFonts w:cs="Arial"/>
                <w:b/>
              </w:rPr>
            </w:pPr>
            <w:r w:rsidRPr="004C5A7A">
              <w:rPr>
                <w:rFonts w:cs="Arial"/>
              </w:rPr>
              <w:t>11,956.95</w:t>
            </w:r>
          </w:p>
        </w:tc>
        <w:tc>
          <w:tcPr>
            <w:tcW w:w="1377" w:type="dxa"/>
            <w:shd w:val="clear" w:color="auto" w:fill="auto"/>
            <w:vAlign w:val="center"/>
          </w:tcPr>
          <w:p w14:paraId="0B76DEFD" w14:textId="77777777" w:rsidR="009817AF" w:rsidRPr="004C5A7A" w:rsidRDefault="009817AF">
            <w:pPr>
              <w:pStyle w:val="08-Tabelageral"/>
              <w:rPr>
                <w:rFonts w:cs="Arial"/>
                <w:b/>
              </w:rPr>
            </w:pPr>
            <w:r w:rsidRPr="004C5A7A">
              <w:rPr>
                <w:rFonts w:cs="Arial"/>
              </w:rPr>
              <w:t>10,567.97</w:t>
            </w:r>
          </w:p>
        </w:tc>
      </w:tr>
      <w:tr w:rsidR="009817AF" w:rsidRPr="0049410B" w14:paraId="2401BC92" w14:textId="77777777">
        <w:trPr>
          <w:trHeight w:val="227"/>
          <w:jc w:val="center"/>
        </w:trPr>
        <w:tc>
          <w:tcPr>
            <w:tcW w:w="1377" w:type="dxa"/>
            <w:tcBorders>
              <w:bottom w:val="nil"/>
            </w:tcBorders>
            <w:shd w:val="clear" w:color="auto" w:fill="auto"/>
          </w:tcPr>
          <w:p w14:paraId="6717BB54" w14:textId="77777777" w:rsidR="009817AF" w:rsidRPr="004C5A7A" w:rsidRDefault="009817AF">
            <w:pPr>
              <w:pStyle w:val="08-Tabelageral"/>
              <w:jc w:val="left"/>
              <w:rPr>
                <w:rFonts w:cs="Arial"/>
                <w:b/>
              </w:rPr>
            </w:pPr>
            <w:proofErr w:type="spellStart"/>
            <w:r w:rsidRPr="004C5A7A">
              <w:rPr>
                <w:rFonts w:cs="Arial"/>
              </w:rPr>
              <w:t>Highest</w:t>
            </w:r>
            <w:proofErr w:type="spellEnd"/>
            <w:r w:rsidRPr="004C5A7A">
              <w:rPr>
                <w:rFonts w:cs="Arial"/>
              </w:rPr>
              <w:t xml:space="preserve"> </w:t>
            </w:r>
            <w:proofErr w:type="spellStart"/>
            <w:r w:rsidRPr="004C5A7A">
              <w:rPr>
                <w:rFonts w:cs="Arial"/>
              </w:rPr>
              <w:t>salary</w:t>
            </w:r>
            <w:proofErr w:type="spellEnd"/>
          </w:p>
        </w:tc>
        <w:tc>
          <w:tcPr>
            <w:tcW w:w="1377" w:type="dxa"/>
            <w:tcBorders>
              <w:bottom w:val="nil"/>
            </w:tcBorders>
            <w:shd w:val="clear" w:color="auto" w:fill="auto"/>
          </w:tcPr>
          <w:p w14:paraId="147A78C2" w14:textId="77777777" w:rsidR="009817AF" w:rsidRPr="004C5A7A" w:rsidRDefault="009817AF">
            <w:pPr>
              <w:pStyle w:val="08-Tabelageral"/>
              <w:rPr>
                <w:rFonts w:cs="Arial"/>
              </w:rPr>
            </w:pPr>
          </w:p>
        </w:tc>
        <w:tc>
          <w:tcPr>
            <w:tcW w:w="1377" w:type="dxa"/>
            <w:tcBorders>
              <w:bottom w:val="nil"/>
            </w:tcBorders>
            <w:shd w:val="clear" w:color="auto" w:fill="auto"/>
            <w:vAlign w:val="center"/>
          </w:tcPr>
          <w:p w14:paraId="39776BE4" w14:textId="77777777" w:rsidR="009817AF" w:rsidRPr="004C5A7A" w:rsidRDefault="009817AF">
            <w:pPr>
              <w:pStyle w:val="08-Tabelageral"/>
              <w:rPr>
                <w:rFonts w:cs="Arial"/>
              </w:rPr>
            </w:pPr>
          </w:p>
        </w:tc>
        <w:tc>
          <w:tcPr>
            <w:tcW w:w="1377" w:type="dxa"/>
            <w:tcBorders>
              <w:bottom w:val="nil"/>
            </w:tcBorders>
            <w:shd w:val="clear" w:color="auto" w:fill="auto"/>
            <w:vAlign w:val="center"/>
          </w:tcPr>
          <w:p w14:paraId="3572D342" w14:textId="77777777" w:rsidR="009817AF" w:rsidRPr="004C5A7A" w:rsidRDefault="009817AF">
            <w:pPr>
              <w:pStyle w:val="08-Tabelageral"/>
              <w:rPr>
                <w:rFonts w:cs="Arial"/>
              </w:rPr>
            </w:pPr>
          </w:p>
        </w:tc>
        <w:tc>
          <w:tcPr>
            <w:tcW w:w="1377" w:type="dxa"/>
            <w:tcBorders>
              <w:bottom w:val="nil"/>
            </w:tcBorders>
            <w:shd w:val="clear" w:color="auto" w:fill="auto"/>
            <w:vAlign w:val="center"/>
          </w:tcPr>
          <w:p w14:paraId="111F651E" w14:textId="77777777" w:rsidR="009817AF" w:rsidRPr="004C5A7A" w:rsidRDefault="009817AF">
            <w:pPr>
              <w:pStyle w:val="08-Tabelageral"/>
              <w:rPr>
                <w:rFonts w:cs="Arial"/>
              </w:rPr>
            </w:pPr>
          </w:p>
        </w:tc>
        <w:tc>
          <w:tcPr>
            <w:tcW w:w="1377" w:type="dxa"/>
            <w:gridSpan w:val="3"/>
            <w:shd w:val="clear" w:color="auto" w:fill="auto"/>
          </w:tcPr>
          <w:p w14:paraId="7C76F714" w14:textId="77777777" w:rsidR="009817AF" w:rsidRPr="004C5A7A" w:rsidRDefault="009817AF">
            <w:pPr>
              <w:pStyle w:val="08-Tabelageral"/>
              <w:rPr>
                <w:rFonts w:cs="Arial"/>
              </w:rPr>
            </w:pPr>
            <w:r w:rsidRPr="004C5A7A">
              <w:rPr>
                <w:rFonts w:cs="Arial"/>
              </w:rPr>
              <w:t>80,083.39</w:t>
            </w:r>
          </w:p>
        </w:tc>
        <w:tc>
          <w:tcPr>
            <w:tcW w:w="1377" w:type="dxa"/>
            <w:shd w:val="clear" w:color="auto" w:fill="auto"/>
          </w:tcPr>
          <w:p w14:paraId="7AF1A988" w14:textId="77777777" w:rsidR="009817AF" w:rsidRPr="004C5A7A" w:rsidRDefault="009817AF">
            <w:pPr>
              <w:pStyle w:val="08-Tabelageral"/>
              <w:rPr>
                <w:rFonts w:cs="Arial"/>
              </w:rPr>
            </w:pPr>
            <w:r w:rsidRPr="00BF2AAF">
              <w:rPr>
                <w:rFonts w:cs="Arial"/>
              </w:rPr>
              <w:t>79</w:t>
            </w:r>
            <w:r>
              <w:rPr>
                <w:rFonts w:cs="Arial"/>
              </w:rPr>
              <w:t>,</w:t>
            </w:r>
            <w:r w:rsidRPr="00BF2AAF">
              <w:rPr>
                <w:rFonts w:cs="Arial"/>
              </w:rPr>
              <w:t>225</w:t>
            </w:r>
            <w:r>
              <w:rPr>
                <w:rFonts w:cs="Arial"/>
              </w:rPr>
              <w:t>.</w:t>
            </w:r>
            <w:r w:rsidRPr="00BF2AAF">
              <w:rPr>
                <w:rFonts w:cs="Arial"/>
              </w:rPr>
              <w:t>40</w:t>
            </w:r>
          </w:p>
        </w:tc>
      </w:tr>
      <w:tr w:rsidR="009817AF" w:rsidRPr="0049410B" w14:paraId="140887EB" w14:textId="77777777" w:rsidTr="00FE1ED8">
        <w:trPr>
          <w:trHeight w:val="139"/>
          <w:jc w:val="center"/>
        </w:trPr>
        <w:tc>
          <w:tcPr>
            <w:tcW w:w="1377" w:type="dxa"/>
            <w:tcBorders>
              <w:top w:val="nil"/>
              <w:bottom w:val="nil"/>
            </w:tcBorders>
            <w:shd w:val="clear" w:color="auto" w:fill="auto"/>
          </w:tcPr>
          <w:p w14:paraId="71ABF1BF" w14:textId="77777777" w:rsidR="009817AF" w:rsidRPr="004C5A7A" w:rsidRDefault="009817AF">
            <w:pPr>
              <w:pStyle w:val="08-Tabelageral"/>
              <w:jc w:val="left"/>
              <w:rPr>
                <w:rFonts w:cs="Arial"/>
              </w:rPr>
            </w:pPr>
            <w:proofErr w:type="spellStart"/>
            <w:r w:rsidRPr="004C5A7A">
              <w:rPr>
                <w:rFonts w:cs="Arial"/>
              </w:rPr>
              <w:t>Average</w:t>
            </w:r>
            <w:proofErr w:type="spellEnd"/>
            <w:r w:rsidRPr="004C5A7A">
              <w:rPr>
                <w:rFonts w:cs="Arial"/>
              </w:rPr>
              <w:t xml:space="preserve"> </w:t>
            </w:r>
            <w:proofErr w:type="spellStart"/>
            <w:r w:rsidRPr="004C5A7A">
              <w:rPr>
                <w:rFonts w:cs="Arial"/>
              </w:rPr>
              <w:t>salary</w:t>
            </w:r>
            <w:proofErr w:type="spellEnd"/>
            <w:r w:rsidRPr="004C5A7A">
              <w:rPr>
                <w:rFonts w:cs="Arial"/>
              </w:rPr>
              <w:t xml:space="preserve"> </w:t>
            </w:r>
          </w:p>
        </w:tc>
        <w:tc>
          <w:tcPr>
            <w:tcW w:w="1377" w:type="dxa"/>
            <w:tcBorders>
              <w:top w:val="nil"/>
              <w:bottom w:val="nil"/>
            </w:tcBorders>
            <w:shd w:val="clear" w:color="auto" w:fill="auto"/>
          </w:tcPr>
          <w:p w14:paraId="6C661BE1" w14:textId="77777777" w:rsidR="009817AF" w:rsidRPr="004C5A7A" w:rsidRDefault="009817AF">
            <w:pPr>
              <w:pStyle w:val="08-Tabelageral"/>
              <w:rPr>
                <w:rFonts w:cs="Arial"/>
              </w:rPr>
            </w:pPr>
          </w:p>
        </w:tc>
        <w:tc>
          <w:tcPr>
            <w:tcW w:w="1377" w:type="dxa"/>
            <w:tcBorders>
              <w:top w:val="nil"/>
              <w:bottom w:val="nil"/>
            </w:tcBorders>
            <w:shd w:val="clear" w:color="auto" w:fill="auto"/>
          </w:tcPr>
          <w:p w14:paraId="24486B5E" w14:textId="77777777" w:rsidR="009817AF" w:rsidRPr="004C5A7A" w:rsidRDefault="009817AF">
            <w:pPr>
              <w:pStyle w:val="08-Tabelageral"/>
              <w:rPr>
                <w:rFonts w:cs="Arial"/>
              </w:rPr>
            </w:pPr>
          </w:p>
        </w:tc>
        <w:tc>
          <w:tcPr>
            <w:tcW w:w="1377" w:type="dxa"/>
            <w:tcBorders>
              <w:top w:val="nil"/>
              <w:bottom w:val="nil"/>
            </w:tcBorders>
            <w:shd w:val="clear" w:color="auto" w:fill="auto"/>
          </w:tcPr>
          <w:p w14:paraId="094BCCE5" w14:textId="77777777" w:rsidR="009817AF" w:rsidRPr="004C5A7A" w:rsidRDefault="009817AF">
            <w:pPr>
              <w:pStyle w:val="08-Tabelageral"/>
              <w:rPr>
                <w:rFonts w:cs="Arial"/>
              </w:rPr>
            </w:pPr>
          </w:p>
        </w:tc>
        <w:tc>
          <w:tcPr>
            <w:tcW w:w="1377" w:type="dxa"/>
            <w:tcBorders>
              <w:top w:val="nil"/>
              <w:bottom w:val="nil"/>
            </w:tcBorders>
            <w:shd w:val="clear" w:color="auto" w:fill="auto"/>
          </w:tcPr>
          <w:p w14:paraId="3C001534" w14:textId="77777777" w:rsidR="009817AF" w:rsidRPr="004C5A7A" w:rsidRDefault="009817AF">
            <w:pPr>
              <w:pStyle w:val="08-Tabelageral"/>
              <w:rPr>
                <w:rFonts w:cs="Arial"/>
              </w:rPr>
            </w:pPr>
          </w:p>
        </w:tc>
        <w:tc>
          <w:tcPr>
            <w:tcW w:w="1377" w:type="dxa"/>
            <w:gridSpan w:val="3"/>
            <w:tcBorders>
              <w:bottom w:val="nil"/>
            </w:tcBorders>
            <w:shd w:val="clear" w:color="auto" w:fill="auto"/>
            <w:vAlign w:val="center"/>
          </w:tcPr>
          <w:p w14:paraId="6A3A4594" w14:textId="77777777" w:rsidR="009817AF" w:rsidRPr="004C5A7A" w:rsidRDefault="009817AF">
            <w:pPr>
              <w:pStyle w:val="08-Tabelageral"/>
              <w:rPr>
                <w:rFonts w:cs="Arial"/>
              </w:rPr>
            </w:pPr>
            <w:r w:rsidRPr="004C5A7A">
              <w:rPr>
                <w:rFonts w:cs="Arial"/>
              </w:rPr>
              <w:t>28,145.07</w:t>
            </w:r>
          </w:p>
        </w:tc>
        <w:tc>
          <w:tcPr>
            <w:tcW w:w="1377" w:type="dxa"/>
            <w:tcBorders>
              <w:bottom w:val="nil"/>
            </w:tcBorders>
            <w:shd w:val="clear" w:color="auto" w:fill="auto"/>
            <w:vAlign w:val="center"/>
          </w:tcPr>
          <w:p w14:paraId="588C28DD" w14:textId="77777777" w:rsidR="009817AF" w:rsidRPr="004C5A7A" w:rsidRDefault="009817AF">
            <w:pPr>
              <w:pStyle w:val="08-Tabelageral"/>
              <w:rPr>
                <w:rFonts w:cs="Arial"/>
              </w:rPr>
            </w:pPr>
            <w:r w:rsidRPr="00BF2AAF">
              <w:rPr>
                <w:rFonts w:cs="Arial"/>
              </w:rPr>
              <w:t>27</w:t>
            </w:r>
            <w:r>
              <w:rPr>
                <w:rFonts w:cs="Arial"/>
              </w:rPr>
              <w:t>,</w:t>
            </w:r>
            <w:r w:rsidRPr="00BF2AAF">
              <w:rPr>
                <w:rFonts w:cs="Arial"/>
              </w:rPr>
              <w:t>482</w:t>
            </w:r>
            <w:r>
              <w:rPr>
                <w:rFonts w:cs="Arial"/>
              </w:rPr>
              <w:t>.</w:t>
            </w:r>
            <w:r w:rsidRPr="00BF2AAF">
              <w:rPr>
                <w:rFonts w:cs="Arial"/>
              </w:rPr>
              <w:t>67</w:t>
            </w:r>
          </w:p>
        </w:tc>
      </w:tr>
      <w:tr w:rsidR="009817AF" w:rsidRPr="0049410B" w14:paraId="045BB387" w14:textId="77777777" w:rsidTr="00FE1ED8">
        <w:trPr>
          <w:trHeight w:val="139"/>
          <w:jc w:val="center"/>
        </w:trPr>
        <w:tc>
          <w:tcPr>
            <w:tcW w:w="1377" w:type="dxa"/>
            <w:tcBorders>
              <w:top w:val="nil"/>
              <w:bottom w:val="single" w:sz="2" w:space="0" w:color="222A35" w:themeColor="text2" w:themeShade="80"/>
            </w:tcBorders>
            <w:shd w:val="clear" w:color="auto" w:fill="auto"/>
          </w:tcPr>
          <w:p w14:paraId="26530FD9" w14:textId="77777777" w:rsidR="009817AF" w:rsidRPr="004C5A7A" w:rsidRDefault="009817AF">
            <w:pPr>
              <w:pStyle w:val="08-Tabelageral"/>
              <w:jc w:val="left"/>
              <w:rPr>
                <w:rFonts w:cs="Arial"/>
              </w:rPr>
            </w:pPr>
            <w:proofErr w:type="spellStart"/>
            <w:r w:rsidRPr="004C5A7A">
              <w:rPr>
                <w:rFonts w:cs="Arial"/>
              </w:rPr>
              <w:t>Beneficious</w:t>
            </w:r>
            <w:proofErr w:type="spellEnd"/>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1377" w:type="dxa"/>
            <w:tcBorders>
              <w:top w:val="nil"/>
              <w:bottom w:val="single" w:sz="2" w:space="0" w:color="222A35" w:themeColor="text2" w:themeShade="80"/>
            </w:tcBorders>
            <w:shd w:val="clear" w:color="auto" w:fill="auto"/>
          </w:tcPr>
          <w:p w14:paraId="5B93CAA0" w14:textId="77777777" w:rsidR="009817AF" w:rsidRPr="004C5A7A" w:rsidRDefault="009817AF">
            <w:pPr>
              <w:pStyle w:val="08-Tabelageral"/>
              <w:jc w:val="left"/>
              <w:rPr>
                <w:rFonts w:cs="Arial"/>
              </w:rPr>
            </w:pPr>
          </w:p>
        </w:tc>
        <w:tc>
          <w:tcPr>
            <w:tcW w:w="1377" w:type="dxa"/>
            <w:tcBorders>
              <w:top w:val="nil"/>
              <w:bottom w:val="single" w:sz="2" w:space="0" w:color="222A35" w:themeColor="text2" w:themeShade="80"/>
            </w:tcBorders>
            <w:shd w:val="clear" w:color="auto" w:fill="auto"/>
          </w:tcPr>
          <w:p w14:paraId="4FD15150" w14:textId="77777777" w:rsidR="009817AF" w:rsidRPr="004C5A7A" w:rsidRDefault="009817AF">
            <w:pPr>
              <w:pStyle w:val="08-Tabelageral"/>
              <w:jc w:val="left"/>
              <w:rPr>
                <w:rFonts w:cs="Arial"/>
              </w:rPr>
            </w:pPr>
          </w:p>
        </w:tc>
        <w:tc>
          <w:tcPr>
            <w:tcW w:w="1377" w:type="dxa"/>
            <w:tcBorders>
              <w:top w:val="nil"/>
              <w:bottom w:val="single" w:sz="2" w:space="0" w:color="222A35" w:themeColor="text2" w:themeShade="80"/>
            </w:tcBorders>
            <w:shd w:val="clear" w:color="auto" w:fill="auto"/>
          </w:tcPr>
          <w:p w14:paraId="2C294733" w14:textId="77777777" w:rsidR="009817AF" w:rsidRPr="004C5A7A" w:rsidRDefault="009817AF">
            <w:pPr>
              <w:pStyle w:val="08-Tabelageral"/>
              <w:jc w:val="left"/>
              <w:rPr>
                <w:rFonts w:cs="Arial"/>
              </w:rPr>
            </w:pPr>
          </w:p>
        </w:tc>
        <w:tc>
          <w:tcPr>
            <w:tcW w:w="1377" w:type="dxa"/>
            <w:tcBorders>
              <w:top w:val="nil"/>
              <w:bottom w:val="single" w:sz="2" w:space="0" w:color="222A35" w:themeColor="text2" w:themeShade="80"/>
            </w:tcBorders>
            <w:shd w:val="clear" w:color="auto" w:fill="auto"/>
          </w:tcPr>
          <w:p w14:paraId="469D40E6" w14:textId="77777777" w:rsidR="009817AF" w:rsidRPr="004C5A7A" w:rsidRDefault="009817AF">
            <w:pPr>
              <w:pStyle w:val="08-Tabelageral"/>
              <w:jc w:val="left"/>
              <w:rPr>
                <w:rFonts w:cs="Arial"/>
              </w:rPr>
            </w:pPr>
          </w:p>
        </w:tc>
        <w:tc>
          <w:tcPr>
            <w:tcW w:w="1377" w:type="dxa"/>
            <w:gridSpan w:val="3"/>
            <w:tcBorders>
              <w:top w:val="nil"/>
              <w:bottom w:val="single" w:sz="2" w:space="0" w:color="222A35" w:themeColor="text2" w:themeShade="80"/>
            </w:tcBorders>
            <w:shd w:val="clear" w:color="auto" w:fill="auto"/>
            <w:vAlign w:val="center"/>
          </w:tcPr>
          <w:p w14:paraId="19CF9B70" w14:textId="77777777" w:rsidR="009817AF" w:rsidRPr="004C5A7A" w:rsidRDefault="009817AF">
            <w:pPr>
              <w:pStyle w:val="08-Tabelageral"/>
              <w:rPr>
                <w:rFonts w:cs="Arial"/>
              </w:rPr>
            </w:pPr>
            <w:r w:rsidRPr="004C5A7A">
              <w:rPr>
                <w:rFonts w:cs="Arial"/>
              </w:rPr>
              <w:t>5,541.51</w:t>
            </w:r>
          </w:p>
        </w:tc>
        <w:tc>
          <w:tcPr>
            <w:tcW w:w="1377" w:type="dxa"/>
            <w:tcBorders>
              <w:top w:val="nil"/>
              <w:bottom w:val="single" w:sz="2" w:space="0" w:color="222A35" w:themeColor="text2" w:themeShade="80"/>
            </w:tcBorders>
            <w:shd w:val="clear" w:color="auto" w:fill="auto"/>
            <w:vAlign w:val="center"/>
          </w:tcPr>
          <w:p w14:paraId="4C8AD008" w14:textId="77777777" w:rsidR="009817AF" w:rsidRPr="004C5A7A" w:rsidRDefault="009817AF">
            <w:pPr>
              <w:pStyle w:val="08-Tabelageral"/>
              <w:rPr>
                <w:rFonts w:cs="Arial"/>
              </w:rPr>
            </w:pPr>
            <w:r w:rsidRPr="004C5A7A">
              <w:rPr>
                <w:rFonts w:cs="Arial"/>
              </w:rPr>
              <w:t>5,042.20</w:t>
            </w:r>
          </w:p>
        </w:tc>
      </w:tr>
    </w:tbl>
    <w:p w14:paraId="4D02F5BE" w14:textId="77777777" w:rsidR="009817AF" w:rsidRPr="004C5A7A" w:rsidRDefault="009817AF" w:rsidP="00A76AF4">
      <w:pPr>
        <w:pStyle w:val="07-Legenda"/>
        <w:numPr>
          <w:ilvl w:val="0"/>
          <w:numId w:val="7"/>
        </w:numPr>
        <w:ind w:left="284" w:hanging="284"/>
        <w:rPr>
          <w:rFonts w:cs="Arial"/>
          <w:lang w:val="en-US"/>
        </w:rPr>
      </w:pPr>
      <w:r w:rsidRPr="004C5A7A">
        <w:rPr>
          <w:rFonts w:cs="Arial"/>
          <w:lang w:val="en-US"/>
        </w:rPr>
        <w:t>Average monthly remuneration for the period of Directors who held the position during all months of the respective period, including the Chief Executive Officer, considering variable remuneration and benefits offered, except social charges.</w:t>
      </w:r>
    </w:p>
    <w:p w14:paraId="059A609B" w14:textId="77777777" w:rsidR="009817AF" w:rsidRPr="004C5A7A" w:rsidRDefault="009817AF" w:rsidP="00A76AF4">
      <w:pPr>
        <w:pStyle w:val="07-Legenda"/>
        <w:numPr>
          <w:ilvl w:val="0"/>
          <w:numId w:val="7"/>
        </w:numPr>
        <w:ind w:left="284" w:hanging="284"/>
        <w:rPr>
          <w:rFonts w:cs="Arial"/>
          <w:lang w:val="en-US"/>
        </w:rPr>
      </w:pPr>
      <w:r w:rsidRPr="004C5A7A">
        <w:rPr>
          <w:rFonts w:cs="Arial"/>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p w14:paraId="0E78C0FA" w14:textId="77777777" w:rsidR="009817AF" w:rsidRPr="004C5A7A" w:rsidRDefault="009817AF" w:rsidP="00A76AF4">
      <w:pPr>
        <w:pStyle w:val="07-Legenda"/>
        <w:numPr>
          <w:ilvl w:val="0"/>
          <w:numId w:val="7"/>
        </w:numPr>
        <w:ind w:left="284" w:hanging="284"/>
        <w:rPr>
          <w:rFonts w:cs="Arial"/>
          <w:lang w:val="en-US"/>
        </w:rPr>
      </w:pPr>
      <w:r w:rsidRPr="004C5A7A">
        <w:rPr>
          <w:rFonts w:cs="Arial"/>
          <w:lang w:val="en-US"/>
        </w:rPr>
        <w:t>Overall average value of benefits offered to Employees, considering, for example, medical and dental assistance, food and meal allowances, daycare allowance, transportation allowance, supplementary pension.</w:t>
      </w:r>
      <w:bookmarkEnd w:id="119"/>
    </w:p>
    <w:p w14:paraId="7C0F7A1B" w14:textId="77777777" w:rsidR="00F15F06" w:rsidRPr="004C5A7A" w:rsidRDefault="00F15F06" w:rsidP="00F15F06">
      <w:pPr>
        <w:rPr>
          <w:rFonts w:ascii="Arial" w:hAnsi="Arial" w:cs="Arial"/>
          <w:lang w:val="en-US"/>
        </w:rPr>
      </w:pPr>
    </w:p>
    <w:p w14:paraId="6B78530E" w14:textId="77777777" w:rsidR="00633E25" w:rsidRPr="00432934" w:rsidRDefault="00633E25" w:rsidP="00633E25">
      <w:pPr>
        <w:pStyle w:val="Ttulo1"/>
        <w:keepNext w:val="0"/>
        <w:keepLines w:val="0"/>
        <w:spacing w:line="259" w:lineRule="auto"/>
        <w:jc w:val="both"/>
        <w:rPr>
          <w:rFonts w:ascii="Arial" w:hAnsi="Arial" w:cs="Arial"/>
          <w:b/>
          <w:color w:val="1F3864" w:themeColor="accent1" w:themeShade="80"/>
          <w:sz w:val="20"/>
          <w:lang w:val="en-US"/>
        </w:rPr>
      </w:pPr>
      <w:bookmarkStart w:id="122" w:name="_Toc157446740"/>
      <w:bookmarkStart w:id="123" w:name="_Toc190680648"/>
      <w:r w:rsidRPr="00432934">
        <w:rPr>
          <w:rFonts w:ascii="Arial" w:hAnsi="Arial" w:cs="Arial"/>
          <w:b/>
          <w:color w:val="1F3864" w:themeColor="accent1" w:themeShade="80"/>
          <w:sz w:val="20"/>
          <w:lang w:val="en-US"/>
        </w:rPr>
        <w:t>27 – OTHER INFORMATION</w:t>
      </w:r>
      <w:bookmarkEnd w:id="122"/>
      <w:bookmarkEnd w:id="123"/>
    </w:p>
    <w:p w14:paraId="278C7679" w14:textId="77777777" w:rsidR="004C486B" w:rsidRPr="006925BF" w:rsidRDefault="004C486B" w:rsidP="004C486B">
      <w:pPr>
        <w:spacing w:before="120" w:after="120"/>
        <w:rPr>
          <w:rFonts w:ascii="Arial" w:hAnsi="Arial" w:cs="Arial"/>
          <w:b/>
          <w:bCs/>
          <w:color w:val="1F3864" w:themeColor="accent1" w:themeShade="80"/>
          <w:sz w:val="18"/>
          <w:szCs w:val="18"/>
          <w:lang w:val="en-US"/>
        </w:rPr>
      </w:pPr>
      <w:r w:rsidRPr="006925BF">
        <w:rPr>
          <w:rFonts w:ascii="Arial" w:hAnsi="Arial" w:cs="Arial"/>
          <w:b/>
          <w:bCs/>
          <w:color w:val="1F3864" w:themeColor="accent1" w:themeShade="80"/>
          <w:sz w:val="18"/>
          <w:szCs w:val="18"/>
          <w:lang w:val="en-US"/>
        </w:rPr>
        <w:t>Impairment Test</w:t>
      </w:r>
    </w:p>
    <w:p w14:paraId="52A9D320" w14:textId="77777777" w:rsidR="004C486B" w:rsidRPr="00876F1C" w:rsidRDefault="004C486B" w:rsidP="004C486B">
      <w:pPr>
        <w:pStyle w:val="05-Textonormal"/>
        <w:rPr>
          <w:lang w:val="en-US"/>
        </w:rPr>
      </w:pPr>
      <w:r w:rsidRPr="00876F1C">
        <w:rPr>
          <w:lang w:val="en-US"/>
        </w:rPr>
        <w:t>In the 2024 fiscal year, in the assessment approved by the Company's Board of Directors</w:t>
      </w:r>
      <w:r>
        <w:rPr>
          <w:lang w:val="en-US"/>
        </w:rPr>
        <w:t xml:space="preserve">, </w:t>
      </w:r>
      <w:r w:rsidRPr="00876F1C">
        <w:rPr>
          <w:lang w:val="en-US"/>
        </w:rPr>
        <w:t>no assets with signs of devaluation were identified. For assets subject to the impairment test, the recoverable amount obtained was higher than the carrying amount of the investments and goodwill, when applicable, with no need to record impairment loss for these assets.</w:t>
      </w:r>
    </w:p>
    <w:p w14:paraId="5815644A" w14:textId="77777777" w:rsidR="004C486B" w:rsidRPr="00876F1C" w:rsidRDefault="004C486B" w:rsidP="004C486B">
      <w:pPr>
        <w:pStyle w:val="05-Textonormal"/>
        <w:rPr>
          <w:lang w:val="en-US"/>
        </w:rPr>
      </w:pPr>
      <w:r>
        <w:rPr>
          <w:lang w:val="en-US"/>
        </w:rPr>
        <w:t>T</w:t>
      </w:r>
      <w:r w:rsidRPr="002A7F54">
        <w:rPr>
          <w:lang w:val="en-US"/>
        </w:rPr>
        <w:t xml:space="preserve">he impairment test consists of identifying indications of losses related to each asset recorded in the financial statements and, in the case of the value of investments in subsidiaries, also includes conducting a study to demonstrate the economic value of the companies belonging to the BB </w:t>
      </w:r>
      <w:proofErr w:type="spellStart"/>
      <w:r w:rsidRPr="002A7F54">
        <w:rPr>
          <w:lang w:val="en-US"/>
        </w:rPr>
        <w:t>Seguros</w:t>
      </w:r>
      <w:proofErr w:type="spellEnd"/>
      <w:r w:rsidRPr="002A7F54">
        <w:rPr>
          <w:lang w:val="en-US"/>
        </w:rPr>
        <w:t xml:space="preserve"> Group ("Group")</w:t>
      </w:r>
      <w:r>
        <w:rPr>
          <w:lang w:val="en-US"/>
        </w:rPr>
        <w:t xml:space="preserve">. </w:t>
      </w:r>
      <w:r w:rsidRPr="00876F1C">
        <w:rPr>
          <w:lang w:val="en-US"/>
        </w:rPr>
        <w:t xml:space="preserve">The economic value of the companies </w:t>
      </w:r>
      <w:proofErr w:type="spellStart"/>
      <w:r w:rsidRPr="00876F1C">
        <w:rPr>
          <w:lang w:val="en-US"/>
        </w:rPr>
        <w:t>Brasilseg</w:t>
      </w:r>
      <w:proofErr w:type="spellEnd"/>
      <w:r w:rsidRPr="00876F1C">
        <w:rPr>
          <w:lang w:val="en-US"/>
        </w:rPr>
        <w:t xml:space="preserve">, </w:t>
      </w:r>
      <w:proofErr w:type="spellStart"/>
      <w:r w:rsidRPr="00876F1C">
        <w:rPr>
          <w:lang w:val="en-US"/>
        </w:rPr>
        <w:t>Brasilprev</w:t>
      </w:r>
      <w:proofErr w:type="spellEnd"/>
      <w:r w:rsidRPr="00876F1C">
        <w:rPr>
          <w:lang w:val="en-US"/>
        </w:rPr>
        <w:t xml:space="preserve">, </w:t>
      </w:r>
      <w:proofErr w:type="spellStart"/>
      <w:r w:rsidRPr="00876F1C">
        <w:rPr>
          <w:lang w:val="en-US"/>
        </w:rPr>
        <w:t>Brasilcap</w:t>
      </w:r>
      <w:proofErr w:type="spellEnd"/>
      <w:r w:rsidRPr="00876F1C">
        <w:rPr>
          <w:lang w:val="en-US"/>
        </w:rPr>
        <w:t xml:space="preserve">, </w:t>
      </w:r>
      <w:proofErr w:type="spellStart"/>
      <w:r w:rsidRPr="00876F1C">
        <w:rPr>
          <w:lang w:val="en-US"/>
        </w:rPr>
        <w:t>Brasildental</w:t>
      </w:r>
      <w:proofErr w:type="spellEnd"/>
      <w:r w:rsidRPr="00876F1C">
        <w:rPr>
          <w:lang w:val="en-US"/>
        </w:rPr>
        <w:t xml:space="preserve">, and BB </w:t>
      </w:r>
      <w:proofErr w:type="spellStart"/>
      <w:r w:rsidRPr="00876F1C">
        <w:rPr>
          <w:lang w:val="en-US"/>
        </w:rPr>
        <w:t>Corretora</w:t>
      </w:r>
      <w:proofErr w:type="spellEnd"/>
      <w:r w:rsidRPr="00876F1C">
        <w:rPr>
          <w:lang w:val="en-US"/>
        </w:rPr>
        <w:t xml:space="preserve"> was calculated using the discounted dividend flow method. For BB </w:t>
      </w:r>
      <w:proofErr w:type="spellStart"/>
      <w:r w:rsidRPr="00876F1C">
        <w:rPr>
          <w:lang w:val="en-US"/>
        </w:rPr>
        <w:t>Seguros</w:t>
      </w:r>
      <w:proofErr w:type="spellEnd"/>
      <w:r w:rsidRPr="00876F1C">
        <w:rPr>
          <w:lang w:val="en-US"/>
        </w:rPr>
        <w:t xml:space="preserve"> and BB </w:t>
      </w:r>
      <w:proofErr w:type="spellStart"/>
      <w:r w:rsidRPr="00876F1C">
        <w:rPr>
          <w:lang w:val="en-US"/>
        </w:rPr>
        <w:t>Seguridade</w:t>
      </w:r>
      <w:proofErr w:type="spellEnd"/>
      <w:r w:rsidRPr="00876F1C">
        <w:rPr>
          <w:lang w:val="en-US"/>
        </w:rPr>
        <w:t>, as they are holding companies, the values of their investments added to cash balances were considered.</w:t>
      </w:r>
    </w:p>
    <w:p w14:paraId="47B559C7" w14:textId="77777777" w:rsidR="004C486B" w:rsidRPr="00876F1C" w:rsidRDefault="004C486B" w:rsidP="004C486B">
      <w:pPr>
        <w:pStyle w:val="05-Textonormal"/>
        <w:rPr>
          <w:lang w:val="en-US"/>
        </w:rPr>
      </w:pPr>
      <w:proofErr w:type="gramStart"/>
      <w:r w:rsidRPr="00876F1C">
        <w:rPr>
          <w:lang w:val="en-US"/>
        </w:rPr>
        <w:t>For the purpose of</w:t>
      </w:r>
      <w:proofErr w:type="gramEnd"/>
      <w:r w:rsidRPr="00876F1C">
        <w:rPr>
          <w:lang w:val="en-US"/>
        </w:rPr>
        <w:t xml:space="preserve"> the impairment test of the investments mentioned in the previous paragraph, the following assumptions were considered:</w:t>
      </w:r>
    </w:p>
    <w:p w14:paraId="1341FA8B" w14:textId="77777777" w:rsidR="004C486B" w:rsidRPr="00876F1C" w:rsidRDefault="004C486B" w:rsidP="004C486B">
      <w:pPr>
        <w:pStyle w:val="05-Textonormal"/>
        <w:numPr>
          <w:ilvl w:val="0"/>
          <w:numId w:val="52"/>
        </w:numPr>
        <w:rPr>
          <w:lang w:val="en-US"/>
        </w:rPr>
      </w:pPr>
      <w:r w:rsidRPr="00876F1C">
        <w:rPr>
          <w:lang w:val="en-US"/>
        </w:rPr>
        <w:t xml:space="preserve">Net Income: for the explicit projection period, the net income expectations of the Controllership Department were used, on which payout ratios that best reflect the expectations of each </w:t>
      </w:r>
      <w:proofErr w:type="gramStart"/>
      <w:r>
        <w:rPr>
          <w:lang w:val="en-US"/>
        </w:rPr>
        <w:t>enterprise</w:t>
      </w:r>
      <w:r w:rsidRPr="00876F1C">
        <w:rPr>
          <w:lang w:val="en-US"/>
        </w:rPr>
        <w:t>;</w:t>
      </w:r>
      <w:proofErr w:type="gramEnd"/>
    </w:p>
    <w:p w14:paraId="65355267" w14:textId="77777777" w:rsidR="004C486B" w:rsidRPr="00876F1C" w:rsidRDefault="004C486B" w:rsidP="004C486B">
      <w:pPr>
        <w:pStyle w:val="05-Textonormal"/>
        <w:numPr>
          <w:ilvl w:val="0"/>
          <w:numId w:val="52"/>
        </w:numPr>
        <w:rPr>
          <w:lang w:val="en-US"/>
        </w:rPr>
      </w:pPr>
      <w:r w:rsidRPr="00876F1C">
        <w:rPr>
          <w:lang w:val="en-US"/>
        </w:rPr>
        <w:t xml:space="preserve">Discount Rate: for the study, the Minimum Attractiveness Rate (TMA) of BB </w:t>
      </w:r>
      <w:proofErr w:type="spellStart"/>
      <w:r w:rsidRPr="00876F1C">
        <w:rPr>
          <w:lang w:val="en-US"/>
        </w:rPr>
        <w:t>Seguridade</w:t>
      </w:r>
      <w:proofErr w:type="spellEnd"/>
      <w:r w:rsidRPr="00876F1C">
        <w:rPr>
          <w:lang w:val="en-US"/>
        </w:rPr>
        <w:t xml:space="preserve">, approved by the Board of Directors, was </w:t>
      </w:r>
      <w:proofErr w:type="gramStart"/>
      <w:r w:rsidRPr="00876F1C">
        <w:rPr>
          <w:lang w:val="en-US"/>
        </w:rPr>
        <w:t>used</w:t>
      </w:r>
      <w:r>
        <w:rPr>
          <w:lang w:val="en-US"/>
        </w:rPr>
        <w:t>;</w:t>
      </w:r>
      <w:proofErr w:type="gramEnd"/>
    </w:p>
    <w:p w14:paraId="49A72431" w14:textId="77777777" w:rsidR="004C486B" w:rsidRPr="00876F1C" w:rsidRDefault="004C486B" w:rsidP="004C486B">
      <w:pPr>
        <w:pStyle w:val="05-Textonormal"/>
        <w:numPr>
          <w:ilvl w:val="0"/>
          <w:numId w:val="52"/>
        </w:numPr>
        <w:rPr>
          <w:lang w:val="en-US"/>
        </w:rPr>
      </w:pPr>
      <w:r w:rsidRPr="00876F1C">
        <w:rPr>
          <w:lang w:val="en-US"/>
        </w:rPr>
        <w:t>Perpetuity: the business value in perpetuity was calculated according to the Constant Growth Model or Gordon Model.</w:t>
      </w:r>
    </w:p>
    <w:p w14:paraId="2C243F6C" w14:textId="77777777" w:rsidR="004C486B" w:rsidRPr="0039527E" w:rsidRDefault="004C486B" w:rsidP="004C486B">
      <w:pPr>
        <w:pStyle w:val="05-Textonormal"/>
        <w:rPr>
          <w:rFonts w:cs="Arial"/>
          <w:lang w:val="en-US"/>
        </w:rPr>
      </w:pPr>
      <w:r w:rsidRPr="00876F1C">
        <w:rPr>
          <w:lang w:val="en-US"/>
        </w:rPr>
        <w:t xml:space="preserve">Additionally, for the purpose of the </w:t>
      </w:r>
      <w:r>
        <w:rPr>
          <w:lang w:val="en-US"/>
        </w:rPr>
        <w:t xml:space="preserve">previous </w:t>
      </w:r>
      <w:r w:rsidRPr="00876F1C">
        <w:rPr>
          <w:lang w:val="en-US"/>
        </w:rPr>
        <w:t>study, the applicable tax rates in force for the companies belonging to the Group and internal projections of macroeconomic indices were used.</w:t>
      </w:r>
    </w:p>
    <w:p w14:paraId="6927D88A" w14:textId="77777777" w:rsidR="00641C00" w:rsidRPr="004C5A7A" w:rsidRDefault="00641C00" w:rsidP="00F15F06">
      <w:pPr>
        <w:rPr>
          <w:rFonts w:ascii="Arial" w:hAnsi="Arial" w:cs="Arial"/>
          <w:lang w:val="en-US"/>
        </w:rPr>
      </w:pPr>
    </w:p>
    <w:p w14:paraId="226B9FCF" w14:textId="77777777" w:rsidR="002F4D1A" w:rsidRDefault="002F4D1A" w:rsidP="00572581">
      <w:pPr>
        <w:spacing w:before="120" w:after="120" w:line="276" w:lineRule="auto"/>
        <w:rPr>
          <w:rFonts w:ascii="Arial" w:hAnsi="Arial" w:cs="Arial"/>
          <w:b/>
          <w:bCs/>
          <w:color w:val="1F3864" w:themeColor="accent1" w:themeShade="80"/>
          <w:sz w:val="18"/>
          <w:szCs w:val="18"/>
          <w:lang w:val="en-US"/>
        </w:rPr>
        <w:sectPr w:rsidR="002F4D1A" w:rsidSect="005D6EF4">
          <w:footerReference w:type="default" r:id="rId21"/>
          <w:headerReference w:type="first" r:id="rId22"/>
          <w:footerReference w:type="first" r:id="rId23"/>
          <w:pgSz w:w="11907" w:h="16840" w:code="9"/>
          <w:pgMar w:top="1134" w:right="1275" w:bottom="851" w:left="1134" w:header="851" w:footer="567" w:gutter="0"/>
          <w:cols w:space="720"/>
          <w:titlePg/>
          <w:docGrid w:linePitch="299"/>
        </w:sectPr>
      </w:pPr>
    </w:p>
    <w:tbl>
      <w:tblPr>
        <w:tblW w:w="8504" w:type="dxa"/>
        <w:tblInd w:w="113" w:type="dxa"/>
        <w:tblLayout w:type="fixed"/>
        <w:tblCellMar>
          <w:left w:w="0" w:type="dxa"/>
          <w:right w:w="0" w:type="dxa"/>
        </w:tblCellMar>
        <w:tblLook w:val="0000" w:firstRow="0" w:lastRow="0" w:firstColumn="0" w:lastColumn="0" w:noHBand="0" w:noVBand="0"/>
      </w:tblPr>
      <w:tblGrid>
        <w:gridCol w:w="4252"/>
        <w:gridCol w:w="4252"/>
      </w:tblGrid>
      <w:tr w:rsidR="002F4D1A" w:rsidRPr="001A7DD8" w14:paraId="374FC9F3" w14:textId="77777777" w:rsidTr="0051296A">
        <w:trPr>
          <w:trHeight w:val="425"/>
        </w:trPr>
        <w:tc>
          <w:tcPr>
            <w:tcW w:w="8504" w:type="dxa"/>
            <w:gridSpan w:val="2"/>
            <w:tcMar>
              <w:top w:w="57" w:type="dxa"/>
              <w:left w:w="113" w:type="dxa"/>
              <w:bottom w:w="113" w:type="dxa"/>
              <w:right w:w="113" w:type="dxa"/>
            </w:tcMar>
          </w:tcPr>
          <w:p w14:paraId="55EE701C" w14:textId="77777777" w:rsidR="002F4D1A" w:rsidRPr="00B639B4"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1A7DD8" w14:paraId="15A351E5" w14:textId="77777777" w:rsidTr="0051296A">
        <w:trPr>
          <w:trHeight w:val="425"/>
        </w:trPr>
        <w:tc>
          <w:tcPr>
            <w:tcW w:w="8504" w:type="dxa"/>
            <w:gridSpan w:val="2"/>
            <w:tcMar>
              <w:top w:w="57" w:type="dxa"/>
              <w:left w:w="113" w:type="dxa"/>
              <w:bottom w:w="113" w:type="dxa"/>
              <w:right w:w="113" w:type="dxa"/>
            </w:tcMar>
          </w:tcPr>
          <w:p w14:paraId="0B0338B6" w14:textId="77777777" w:rsidR="002F4D1A" w:rsidRPr="002F4D1A" w:rsidRDefault="002F4D1A" w:rsidP="002F4D1A">
            <w:pPr>
              <w:keepNext/>
              <w:widowControl w:val="0"/>
              <w:tabs>
                <w:tab w:val="left" w:pos="1701"/>
              </w:tabs>
              <w:suppressAutoHyphens/>
              <w:autoSpaceDE w:val="0"/>
              <w:autoSpaceDN w:val="0"/>
              <w:adjustRightInd w:val="0"/>
              <w:spacing w:after="120" w:line="520" w:lineRule="atLeast"/>
              <w:ind w:left="1701" w:hanging="1701"/>
              <w:jc w:val="right"/>
              <w:textAlignment w:val="center"/>
              <w:rPr>
                <w:rFonts w:ascii="KPMG Extralight" w:eastAsia="Times New Roman" w:hAnsi="KPMG Extralight" w:cs="KPMG Extralight"/>
                <w:color w:val="6D2077"/>
                <w:spacing w:val="-12"/>
                <w:sz w:val="60"/>
                <w:szCs w:val="60"/>
                <w:lang w:val="en-US" w:eastAsia="en-NZ"/>
              </w:rPr>
            </w:pPr>
            <w:bookmarkStart w:id="124" w:name="KPMG"/>
            <w:r w:rsidRPr="002F4D1A">
              <w:rPr>
                <w:rFonts w:ascii="KPMG Extralight" w:eastAsia="Times New Roman" w:hAnsi="KPMG Extralight" w:cs="KPMG Extralight"/>
                <w:color w:val="004E98"/>
                <w:sz w:val="60"/>
                <w:szCs w:val="60"/>
                <w:lang w:val="en-US" w:eastAsia="en-NZ"/>
              </w:rPr>
              <w:t>Independent</w:t>
            </w:r>
            <w:bookmarkEnd w:id="124"/>
            <w:r w:rsidRPr="002F4D1A">
              <w:rPr>
                <w:rFonts w:ascii="KPMG Extralight" w:eastAsia="Times New Roman" w:hAnsi="KPMG Extralight" w:cs="KPMG Extralight"/>
                <w:color w:val="004E98"/>
                <w:sz w:val="60"/>
                <w:szCs w:val="60"/>
                <w:lang w:val="en-US" w:eastAsia="en-NZ"/>
              </w:rPr>
              <w:t xml:space="preserve"> auditors' report on the individual and consolidated financial statements</w:t>
            </w:r>
            <w:r w:rsidRPr="002F4D1A">
              <w:rPr>
                <w:rFonts w:ascii="KPMG Extralight" w:eastAsia="Times New Roman" w:hAnsi="KPMG Extralight" w:cs="KPMG Extralight"/>
                <w:color w:val="6D2077"/>
                <w:spacing w:val="-12"/>
                <w:sz w:val="60"/>
                <w:szCs w:val="60"/>
                <w:lang w:val="en-US" w:eastAsia="en-NZ"/>
              </w:rPr>
              <w:t xml:space="preserve"> </w:t>
            </w:r>
          </w:p>
        </w:tc>
      </w:tr>
      <w:tr w:rsidR="002F4D1A" w:rsidRPr="001A7DD8" w14:paraId="77CE7CC7" w14:textId="77777777" w:rsidTr="0051296A">
        <w:trPr>
          <w:trHeight w:val="60"/>
        </w:trPr>
        <w:tc>
          <w:tcPr>
            <w:tcW w:w="8504" w:type="dxa"/>
            <w:gridSpan w:val="2"/>
            <w:tcMar>
              <w:top w:w="0" w:type="dxa"/>
              <w:left w:w="113" w:type="dxa"/>
              <w:bottom w:w="0" w:type="dxa"/>
              <w:right w:w="113" w:type="dxa"/>
            </w:tcMar>
          </w:tcPr>
          <w:p w14:paraId="35898560" w14:textId="77777777" w:rsidR="002F4D1A" w:rsidRPr="002F4D1A" w:rsidRDefault="002F4D1A" w:rsidP="002F4D1A">
            <w:pPr>
              <w:widowControl w:val="0"/>
              <w:autoSpaceDE w:val="0"/>
              <w:autoSpaceDN w:val="0"/>
              <w:adjustRightInd w:val="0"/>
              <w:spacing w:after="0" w:line="240" w:lineRule="auto"/>
              <w:rPr>
                <w:rFonts w:ascii="KPMG Extralight" w:eastAsia="Times New Roman" w:hAnsi="KPMG Extralight" w:cs="Times New Roman"/>
                <w:sz w:val="24"/>
                <w:szCs w:val="24"/>
                <w:lang w:val="en-US" w:eastAsia="en-NZ"/>
              </w:rPr>
            </w:pPr>
          </w:p>
        </w:tc>
      </w:tr>
      <w:tr w:rsidR="002F4D1A" w:rsidRPr="002F4D1A" w14:paraId="7DE4EC35" w14:textId="77777777" w:rsidTr="0051296A">
        <w:trPr>
          <w:trHeight w:val="60"/>
        </w:trPr>
        <w:tc>
          <w:tcPr>
            <w:tcW w:w="8504" w:type="dxa"/>
            <w:gridSpan w:val="2"/>
            <w:tcMar>
              <w:top w:w="113" w:type="dxa"/>
              <w:left w:w="113" w:type="dxa"/>
              <w:bottom w:w="227" w:type="dxa"/>
              <w:right w:w="113" w:type="dxa"/>
            </w:tcMar>
          </w:tcPr>
          <w:p w14:paraId="4795D461" w14:textId="77777777" w:rsidR="002F4D1A" w:rsidRPr="002F4D1A" w:rsidRDefault="002F4D1A" w:rsidP="002F4D1A">
            <w:pPr>
              <w:widowControl w:val="0"/>
              <w:suppressAutoHyphens/>
              <w:autoSpaceDE w:val="0"/>
              <w:autoSpaceDN w:val="0"/>
              <w:adjustRightInd w:val="0"/>
              <w:spacing w:before="57" w:after="120" w:line="280" w:lineRule="atLeast"/>
              <w:textAlignment w:val="center"/>
              <w:rPr>
                <w:rFonts w:ascii="Univers LT Std 45 Light" w:eastAsia="Times New Roman" w:hAnsi="Univers LT Std 45 Light" w:cs="Univers LT Std 45 Light"/>
                <w:i/>
                <w:iCs/>
                <w:color w:val="004E98"/>
                <w:sz w:val="24"/>
                <w:szCs w:val="24"/>
                <w:lang w:val="en-US" w:eastAsia="en-NZ"/>
              </w:rPr>
            </w:pPr>
            <w:r w:rsidRPr="002F4D1A">
              <w:rPr>
                <w:rFonts w:ascii="Univers LT Std 45 Light" w:eastAsia="Times New Roman" w:hAnsi="Univers LT Std 45 Light" w:cs="Univers LT Std 45 Light"/>
                <w:i/>
                <w:iCs/>
                <w:color w:val="004E98"/>
                <w:sz w:val="24"/>
                <w:szCs w:val="24"/>
                <w:lang w:val="en-US" w:eastAsia="en-NZ"/>
              </w:rPr>
              <w:t>(A free translation of the original report in Portuguese on the individual and consolidated Financial Statements)</w:t>
            </w:r>
          </w:p>
          <w:p w14:paraId="5A017144" w14:textId="77777777" w:rsidR="002F4D1A" w:rsidRPr="002F4D1A" w:rsidRDefault="002F4D1A" w:rsidP="002F4D1A">
            <w:pPr>
              <w:widowControl w:val="0"/>
              <w:autoSpaceDE w:val="0"/>
              <w:autoSpaceDN w:val="0"/>
              <w:spacing w:after="0" w:line="240" w:lineRule="auto"/>
              <w:rPr>
                <w:rFonts w:ascii="Arial" w:eastAsia="Arial" w:hAnsi="Arial" w:cs="Arial"/>
                <w:b/>
                <w:bCs/>
                <w:sz w:val="24"/>
                <w:szCs w:val="22"/>
                <w:lang w:val="en-US" w:eastAsia="pt-BR"/>
              </w:rPr>
            </w:pPr>
            <w:r w:rsidRPr="002F4D1A">
              <w:rPr>
                <w:rFonts w:ascii="Arial" w:eastAsia="Arial" w:hAnsi="Arial" w:cs="Arial"/>
                <w:b/>
                <w:bCs/>
                <w:color w:val="004E96"/>
                <w:sz w:val="24"/>
                <w:szCs w:val="22"/>
                <w:lang w:val="en-US" w:eastAsia="pt-BR"/>
              </w:rPr>
              <w:t>To</w:t>
            </w:r>
          </w:p>
          <w:p w14:paraId="04632A5A" w14:textId="77777777" w:rsidR="002F4D1A" w:rsidRPr="002F4D1A" w:rsidRDefault="002F4D1A" w:rsidP="002F4D1A">
            <w:pPr>
              <w:widowControl w:val="0"/>
              <w:autoSpaceDE w:val="0"/>
              <w:autoSpaceDN w:val="0"/>
              <w:spacing w:after="0" w:line="240" w:lineRule="auto"/>
              <w:ind w:right="567"/>
              <w:rPr>
                <w:rFonts w:ascii="Arial" w:eastAsia="Arial" w:hAnsi="Arial" w:cs="Arial"/>
                <w:b/>
                <w:bCs/>
                <w:color w:val="004E96"/>
                <w:sz w:val="24"/>
                <w:szCs w:val="22"/>
                <w:lang w:val="en-US" w:eastAsia="pt-BR"/>
              </w:rPr>
            </w:pPr>
            <w:r w:rsidRPr="002F4D1A">
              <w:rPr>
                <w:rFonts w:ascii="Arial" w:eastAsia="Arial" w:hAnsi="Arial" w:cs="Arial"/>
                <w:b/>
                <w:bCs/>
                <w:color w:val="004E96"/>
                <w:sz w:val="24"/>
                <w:szCs w:val="22"/>
                <w:lang w:val="en-US" w:eastAsia="pt-BR"/>
              </w:rPr>
              <w:t xml:space="preserve">The Shareholders, Board of Directors and Management of </w:t>
            </w:r>
          </w:p>
          <w:p w14:paraId="6B5C80B4" w14:textId="77777777" w:rsidR="002F4D1A" w:rsidRPr="002F4D1A" w:rsidRDefault="002F4D1A" w:rsidP="002F4D1A">
            <w:pPr>
              <w:widowControl w:val="0"/>
              <w:autoSpaceDE w:val="0"/>
              <w:autoSpaceDN w:val="0"/>
              <w:spacing w:after="0" w:line="240" w:lineRule="auto"/>
              <w:ind w:right="4053"/>
              <w:rPr>
                <w:rFonts w:ascii="Arial" w:eastAsia="Arial" w:hAnsi="Arial" w:cs="Arial"/>
                <w:b/>
                <w:bCs/>
                <w:color w:val="004E96"/>
                <w:sz w:val="24"/>
                <w:szCs w:val="22"/>
                <w:lang w:eastAsia="pt-BR"/>
              </w:rPr>
            </w:pPr>
            <w:r w:rsidRPr="002F4D1A">
              <w:rPr>
                <w:rFonts w:ascii="Arial" w:eastAsia="Arial" w:hAnsi="Arial" w:cs="Arial"/>
                <w:b/>
                <w:bCs/>
                <w:color w:val="004E96"/>
                <w:sz w:val="24"/>
                <w:szCs w:val="22"/>
                <w:lang w:eastAsia="pt-BR"/>
              </w:rPr>
              <w:t>BB Seguridade Participações S.A.</w:t>
            </w:r>
          </w:p>
          <w:p w14:paraId="56C27A91" w14:textId="77777777" w:rsidR="002F4D1A" w:rsidRPr="002F4D1A" w:rsidRDefault="002F4D1A" w:rsidP="002F4D1A">
            <w:pPr>
              <w:widowControl w:val="0"/>
              <w:suppressAutoHyphens/>
              <w:autoSpaceDE w:val="0"/>
              <w:autoSpaceDN w:val="0"/>
              <w:adjustRightInd w:val="0"/>
              <w:spacing w:before="57" w:after="0" w:line="280" w:lineRule="atLeast"/>
              <w:textAlignment w:val="center"/>
              <w:rPr>
                <w:rFonts w:ascii="Univers LT Std 45 Light" w:eastAsia="Times New Roman" w:hAnsi="Univers LT Std 45 Light" w:cs="Univers LT Std 45 Light"/>
                <w:color w:val="004E98"/>
                <w:sz w:val="24"/>
                <w:szCs w:val="24"/>
                <w:lang w:eastAsia="en-NZ"/>
              </w:rPr>
            </w:pPr>
            <w:r w:rsidRPr="002F4D1A">
              <w:rPr>
                <w:rFonts w:ascii="Univers LT Std 45 Light" w:eastAsia="Times New Roman" w:hAnsi="Univers LT Std 45 Light" w:cs="Univers LT Std 45 Light"/>
                <w:iCs/>
                <w:color w:val="004E96"/>
                <w:sz w:val="24"/>
                <w:szCs w:val="24"/>
                <w:lang w:val="en-US" w:eastAsia="en-NZ"/>
              </w:rPr>
              <w:t>Brasília – DF</w:t>
            </w:r>
          </w:p>
        </w:tc>
      </w:tr>
      <w:tr w:rsidR="002F4D1A" w:rsidRPr="002F4D1A" w14:paraId="7A206E5A" w14:textId="77777777" w:rsidTr="0051296A">
        <w:trPr>
          <w:trHeight w:val="60"/>
        </w:trPr>
        <w:tc>
          <w:tcPr>
            <w:tcW w:w="8504" w:type="dxa"/>
            <w:gridSpan w:val="2"/>
            <w:shd w:val="solid" w:color="004E98" w:fill="auto"/>
            <w:tcMar>
              <w:top w:w="113" w:type="dxa"/>
              <w:left w:w="113" w:type="dxa"/>
              <w:bottom w:w="113" w:type="dxa"/>
              <w:right w:w="113" w:type="dxa"/>
            </w:tcMar>
          </w:tcPr>
          <w:p w14:paraId="52469DCC"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GB" w:eastAsia="en-NZ"/>
              </w:rPr>
            </w:pPr>
            <w:r w:rsidRPr="002F4D1A">
              <w:rPr>
                <w:rFonts w:ascii="Univers LT Std 45 Light" w:eastAsia="Times New Roman" w:hAnsi="Univers LT Std 45 Light" w:cs="Univers LT Std 45 Light"/>
                <w:b/>
                <w:bCs/>
                <w:color w:val="FFFFFF"/>
                <w:sz w:val="19"/>
                <w:szCs w:val="19"/>
                <w:lang w:val="en-GB" w:eastAsia="en-NZ"/>
              </w:rPr>
              <w:t>Opinion</w:t>
            </w:r>
          </w:p>
        </w:tc>
      </w:tr>
      <w:tr w:rsidR="002F4D1A" w:rsidRPr="001A7DD8" w14:paraId="47C06070" w14:textId="77777777" w:rsidTr="0051296A">
        <w:trPr>
          <w:trHeight w:val="60"/>
        </w:trPr>
        <w:tc>
          <w:tcPr>
            <w:tcW w:w="8504" w:type="dxa"/>
            <w:gridSpan w:val="2"/>
            <w:tcMar>
              <w:top w:w="113" w:type="dxa"/>
              <w:left w:w="113" w:type="dxa"/>
              <w:bottom w:w="170" w:type="dxa"/>
              <w:right w:w="113" w:type="dxa"/>
            </w:tcMar>
          </w:tcPr>
          <w:p w14:paraId="49366B54"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We have audited the individual and consolidated financial statements of BB </w:t>
            </w:r>
            <w:proofErr w:type="spellStart"/>
            <w:r w:rsidRPr="002F4D1A">
              <w:rPr>
                <w:rFonts w:ascii="Univers LT Std 45 Light" w:eastAsia="Times New Roman" w:hAnsi="Univers LT Std 45 Light" w:cs="Univers LT Std 45 Light"/>
                <w:color w:val="000000"/>
                <w:sz w:val="19"/>
                <w:szCs w:val="19"/>
                <w:lang w:val="en-US" w:eastAsia="en-NZ"/>
              </w:rPr>
              <w:t>Seguridade</w:t>
            </w:r>
            <w:proofErr w:type="spellEnd"/>
            <w:r w:rsidRPr="002F4D1A">
              <w:rPr>
                <w:rFonts w:ascii="Univers LT Std 45 Light" w:eastAsia="Times New Roman" w:hAnsi="Univers LT Std 45 Light" w:cs="Univers LT Std 45 Light"/>
                <w:color w:val="000000"/>
                <w:sz w:val="19"/>
                <w:szCs w:val="19"/>
                <w:lang w:val="en-US" w:eastAsia="en-NZ"/>
              </w:rPr>
              <w:t xml:space="preserve"> </w:t>
            </w:r>
            <w:proofErr w:type="spellStart"/>
            <w:r w:rsidRPr="002F4D1A">
              <w:rPr>
                <w:rFonts w:ascii="Univers LT Std 45 Light" w:eastAsia="Times New Roman" w:hAnsi="Univers LT Std 45 Light" w:cs="Univers LT Std 45 Light"/>
                <w:color w:val="000000"/>
                <w:sz w:val="19"/>
                <w:szCs w:val="19"/>
                <w:lang w:val="en-US" w:eastAsia="en-NZ"/>
              </w:rPr>
              <w:t>Participações</w:t>
            </w:r>
            <w:proofErr w:type="spellEnd"/>
            <w:r w:rsidRPr="002F4D1A">
              <w:rPr>
                <w:rFonts w:ascii="Univers LT Std 45 Light" w:eastAsia="Times New Roman" w:hAnsi="Univers LT Std 45 Light" w:cs="Univers LT Std 45 Light"/>
                <w:color w:val="000000"/>
                <w:sz w:val="19"/>
                <w:szCs w:val="19"/>
                <w:lang w:val="en-US" w:eastAsia="en-NZ"/>
              </w:rPr>
              <w:t xml:space="preserve"> S.A. (“Company” , “Group”, “BB </w:t>
            </w:r>
            <w:proofErr w:type="spellStart"/>
            <w:r w:rsidRPr="002F4D1A">
              <w:rPr>
                <w:rFonts w:ascii="Univers LT Std 45 Light" w:eastAsia="Times New Roman" w:hAnsi="Univers LT Std 45 Light" w:cs="Univers LT Std 45 Light"/>
                <w:color w:val="000000"/>
                <w:sz w:val="19"/>
                <w:szCs w:val="19"/>
                <w:lang w:val="en-US" w:eastAsia="en-NZ"/>
              </w:rPr>
              <w:t>Seguridade</w:t>
            </w:r>
            <w:proofErr w:type="spellEnd"/>
            <w:r w:rsidRPr="002F4D1A">
              <w:rPr>
                <w:rFonts w:ascii="Univers LT Std 45 Light" w:eastAsia="Times New Roman" w:hAnsi="Univers LT Std 45 Light" w:cs="Univers LT Std 45 Light"/>
                <w:color w:val="000000"/>
                <w:sz w:val="19"/>
                <w:szCs w:val="19"/>
                <w:lang w:val="en-US" w:eastAsia="en-NZ"/>
              </w:rPr>
              <w:t xml:space="preserve">” </w:t>
            </w:r>
            <w:proofErr w:type="spellStart"/>
            <w:r w:rsidRPr="002F4D1A">
              <w:rPr>
                <w:rFonts w:ascii="Univers LT Std 45 Light" w:eastAsia="Times New Roman" w:hAnsi="Univers LT Std 45 Light" w:cs="Univers LT Std 45 Light"/>
                <w:color w:val="000000"/>
                <w:sz w:val="19"/>
                <w:szCs w:val="19"/>
                <w:lang w:val="en-US" w:eastAsia="en-NZ"/>
              </w:rPr>
              <w:t>ou</w:t>
            </w:r>
            <w:proofErr w:type="spellEnd"/>
            <w:r w:rsidRPr="002F4D1A">
              <w:rPr>
                <w:rFonts w:ascii="Univers LT Std 45 Light" w:eastAsia="Times New Roman" w:hAnsi="Univers LT Std 45 Light" w:cs="Univers LT Std 45 Light"/>
                <w:color w:val="000000"/>
                <w:sz w:val="19"/>
                <w:szCs w:val="19"/>
                <w:lang w:val="en-US" w:eastAsia="en-NZ"/>
              </w:rPr>
              <w:t>) which comprise the individual and consolidated balance sheet as of December 31, 2024, and the related individual and consolidated statements of income, of comprehensive income, of changes in shareholders' equity and of cash flows for the year then ended, and notes, including material accounting policies and other clarifying information.</w:t>
            </w:r>
          </w:p>
        </w:tc>
      </w:tr>
      <w:tr w:rsidR="002F4D1A" w:rsidRPr="001A7DD8" w14:paraId="59045965" w14:textId="77777777" w:rsidTr="0051296A">
        <w:trPr>
          <w:trHeight w:val="60"/>
        </w:trPr>
        <w:tc>
          <w:tcPr>
            <w:tcW w:w="8504" w:type="dxa"/>
            <w:gridSpan w:val="2"/>
            <w:shd w:val="solid" w:color="004E98" w:fill="auto"/>
            <w:tcMar>
              <w:top w:w="113" w:type="dxa"/>
              <w:left w:w="113" w:type="dxa"/>
              <w:bottom w:w="113" w:type="dxa"/>
              <w:right w:w="113" w:type="dxa"/>
            </w:tcMar>
          </w:tcPr>
          <w:p w14:paraId="3A408A3F"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US" w:eastAsia="en-NZ"/>
              </w:rPr>
            </w:pPr>
            <w:r w:rsidRPr="002F4D1A">
              <w:rPr>
                <w:rFonts w:ascii="Univers LT Std 45 Light" w:eastAsia="Times New Roman" w:hAnsi="Univers LT Std 45 Light" w:cs="Univers LT Std 45 Light"/>
                <w:b/>
                <w:bCs/>
                <w:color w:val="FFFFFF"/>
                <w:sz w:val="19"/>
                <w:szCs w:val="19"/>
                <w:lang w:val="en-US" w:eastAsia="en-NZ"/>
              </w:rPr>
              <w:t>Opinion on the individual financial statements</w:t>
            </w:r>
          </w:p>
        </w:tc>
      </w:tr>
      <w:tr w:rsidR="002F4D1A" w:rsidRPr="001A7DD8" w14:paraId="1C628520" w14:textId="77777777" w:rsidTr="0051296A">
        <w:trPr>
          <w:trHeight w:val="1382"/>
        </w:trPr>
        <w:tc>
          <w:tcPr>
            <w:tcW w:w="8504" w:type="dxa"/>
            <w:gridSpan w:val="2"/>
            <w:shd w:val="clear" w:color="auto" w:fill="auto"/>
            <w:tcMar>
              <w:top w:w="113" w:type="dxa"/>
              <w:left w:w="113" w:type="dxa"/>
              <w:bottom w:w="113" w:type="dxa"/>
              <w:right w:w="113" w:type="dxa"/>
            </w:tcMar>
          </w:tcPr>
          <w:p w14:paraId="16E64E9C"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color w:val="FFFFFF"/>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In our opinion, the accompanying individual financial statements present fairly, in all material respects, the individual financial position of BB </w:t>
            </w:r>
            <w:proofErr w:type="spellStart"/>
            <w:r w:rsidRPr="002F4D1A">
              <w:rPr>
                <w:rFonts w:ascii="Univers LT Std 45 Light" w:eastAsia="Times New Roman" w:hAnsi="Univers LT Std 45 Light" w:cs="Univers LT Std 45 Light"/>
                <w:color w:val="000000"/>
                <w:sz w:val="19"/>
                <w:szCs w:val="19"/>
                <w:lang w:val="en-US" w:eastAsia="en-NZ"/>
              </w:rPr>
              <w:t>Seguridade</w:t>
            </w:r>
            <w:proofErr w:type="spellEnd"/>
            <w:r w:rsidRPr="002F4D1A">
              <w:rPr>
                <w:rFonts w:ascii="Univers LT Std 45 Light" w:eastAsia="Times New Roman" w:hAnsi="Univers LT Std 45 Light" w:cs="Univers LT Std 45 Light"/>
                <w:color w:val="000000"/>
                <w:sz w:val="19"/>
                <w:szCs w:val="19"/>
                <w:lang w:val="en-US" w:eastAsia="en-NZ"/>
              </w:rPr>
              <w:t xml:space="preserve"> as of December 31, 2024, and its individual financial performance and its individual cash flows for the year then ended, in accordance with accounting practices adopted in Brazil.</w:t>
            </w:r>
          </w:p>
        </w:tc>
      </w:tr>
      <w:tr w:rsidR="002F4D1A" w:rsidRPr="001A7DD8" w14:paraId="4AD6DB59" w14:textId="77777777" w:rsidTr="0051296A">
        <w:trPr>
          <w:trHeight w:val="60"/>
        </w:trPr>
        <w:tc>
          <w:tcPr>
            <w:tcW w:w="8504" w:type="dxa"/>
            <w:gridSpan w:val="2"/>
            <w:shd w:val="solid" w:color="004E98" w:fill="auto"/>
            <w:tcMar>
              <w:top w:w="113" w:type="dxa"/>
              <w:left w:w="113" w:type="dxa"/>
              <w:bottom w:w="113" w:type="dxa"/>
              <w:right w:w="113" w:type="dxa"/>
            </w:tcMar>
          </w:tcPr>
          <w:p w14:paraId="0A99D6EC"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US" w:eastAsia="en-NZ"/>
              </w:rPr>
            </w:pPr>
            <w:r w:rsidRPr="002F4D1A">
              <w:rPr>
                <w:rFonts w:ascii="Univers LT Std 45 Light" w:eastAsia="Times New Roman" w:hAnsi="Univers LT Std 45 Light" w:cs="Univers LT Std 45 Light"/>
                <w:b/>
                <w:bCs/>
                <w:color w:val="FFFFFF"/>
                <w:sz w:val="19"/>
                <w:szCs w:val="19"/>
                <w:lang w:val="en-US" w:eastAsia="en-NZ"/>
              </w:rPr>
              <w:t>Opinion on the consolidated financial statements</w:t>
            </w:r>
          </w:p>
        </w:tc>
      </w:tr>
      <w:tr w:rsidR="002F4D1A" w:rsidRPr="001A7DD8" w14:paraId="1F511E90" w14:textId="77777777" w:rsidTr="0051296A">
        <w:trPr>
          <w:trHeight w:val="1298"/>
        </w:trPr>
        <w:tc>
          <w:tcPr>
            <w:tcW w:w="8504" w:type="dxa"/>
            <w:gridSpan w:val="2"/>
            <w:shd w:val="clear" w:color="auto" w:fill="auto"/>
            <w:tcMar>
              <w:top w:w="113" w:type="dxa"/>
              <w:left w:w="113" w:type="dxa"/>
              <w:bottom w:w="113" w:type="dxa"/>
              <w:right w:w="113" w:type="dxa"/>
            </w:tcMar>
          </w:tcPr>
          <w:p w14:paraId="2FA9C757"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In our opinion, the accompanying consolidated financial statements present fairly, in all material respects, the consolidated financial position of BB </w:t>
            </w:r>
            <w:proofErr w:type="spellStart"/>
            <w:r w:rsidRPr="002F4D1A">
              <w:rPr>
                <w:rFonts w:ascii="Univers LT Std 45 Light" w:eastAsia="Times New Roman" w:hAnsi="Univers LT Std 45 Light" w:cs="Univers LT Std 45 Light"/>
                <w:color w:val="000000"/>
                <w:sz w:val="19"/>
                <w:szCs w:val="19"/>
                <w:lang w:val="en-US" w:eastAsia="en-NZ"/>
              </w:rPr>
              <w:t>Seguridade</w:t>
            </w:r>
            <w:proofErr w:type="spellEnd"/>
            <w:r w:rsidRPr="002F4D1A">
              <w:rPr>
                <w:rFonts w:ascii="Univers LT Std 45 Light" w:eastAsia="Times New Roman" w:hAnsi="Univers LT Std 45 Light" w:cs="Univers LT Std 45 Light"/>
                <w:color w:val="000000"/>
                <w:sz w:val="19"/>
                <w:szCs w:val="19"/>
                <w:lang w:val="en-US" w:eastAsia="en-NZ"/>
              </w:rPr>
              <w:t xml:space="preserve"> as of December 31, 2024, and its consolidated financial performance and its consolidated cash flows for the year then ended, in accordance with accounting practices adopted in Brazil.</w:t>
            </w:r>
          </w:p>
        </w:tc>
      </w:tr>
      <w:tr w:rsidR="002F4D1A" w:rsidRPr="002F4D1A" w14:paraId="6A9A7D8F" w14:textId="77777777" w:rsidTr="0051296A">
        <w:trPr>
          <w:trHeight w:val="60"/>
        </w:trPr>
        <w:tc>
          <w:tcPr>
            <w:tcW w:w="8504" w:type="dxa"/>
            <w:gridSpan w:val="2"/>
            <w:shd w:val="solid" w:color="004E98" w:fill="auto"/>
            <w:tcMar>
              <w:top w:w="113" w:type="dxa"/>
              <w:left w:w="113" w:type="dxa"/>
              <w:bottom w:w="113" w:type="dxa"/>
              <w:right w:w="113" w:type="dxa"/>
            </w:tcMar>
          </w:tcPr>
          <w:p w14:paraId="060E3882"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GB" w:eastAsia="en-NZ"/>
              </w:rPr>
            </w:pPr>
            <w:r w:rsidRPr="002F4D1A">
              <w:rPr>
                <w:rFonts w:ascii="Univers LT Std 45 Light" w:eastAsia="Times New Roman" w:hAnsi="Univers LT Std 45 Light" w:cs="Univers LT Std 45 Light"/>
                <w:b/>
                <w:bCs/>
                <w:color w:val="FFFFFF"/>
                <w:sz w:val="19"/>
                <w:szCs w:val="19"/>
                <w:lang w:val="en-GB" w:eastAsia="en-NZ"/>
              </w:rPr>
              <w:t>Basis for opinion</w:t>
            </w:r>
          </w:p>
        </w:tc>
      </w:tr>
      <w:tr w:rsidR="002F4D1A" w:rsidRPr="001A7DD8" w14:paraId="1558BD8B" w14:textId="77777777" w:rsidTr="0051296A">
        <w:trPr>
          <w:trHeight w:val="60"/>
        </w:trPr>
        <w:tc>
          <w:tcPr>
            <w:tcW w:w="8504" w:type="dxa"/>
            <w:gridSpan w:val="2"/>
            <w:tcMar>
              <w:top w:w="113" w:type="dxa"/>
              <w:left w:w="113" w:type="dxa"/>
              <w:bottom w:w="170" w:type="dxa"/>
              <w:right w:w="113" w:type="dxa"/>
            </w:tcMar>
          </w:tcPr>
          <w:p w14:paraId="43CFC8D7" w14:textId="77777777" w:rsidR="002F4D1A" w:rsidRPr="002F4D1A" w:rsidRDefault="002F4D1A" w:rsidP="002F4D1A">
            <w:pPr>
              <w:spacing w:after="160" w:line="259" w:lineRule="auto"/>
              <w:rPr>
                <w:rFonts w:ascii="Univers LT Std 45 Light" w:eastAsia="Times New Roman" w:hAnsi="Univers LT Std 45 Light" w:cs="Univers LT Std 45 Light"/>
                <w:color w:val="000000"/>
                <w:sz w:val="19"/>
                <w:szCs w:val="19"/>
                <w:lang w:val="en-US" w:eastAsia="en-NZ"/>
              </w:rPr>
            </w:pPr>
            <w:r w:rsidRPr="002F4D1A">
              <w:rPr>
                <w:rFonts w:ascii="Calibri" w:eastAsia="Times New Roman" w:hAnsi="Calibri" w:cs="Times New Roman"/>
                <w:sz w:val="19"/>
                <w:szCs w:val="19"/>
                <w:lang w:val="en-US" w:eastAsia="en-NZ"/>
              </w:rPr>
              <w:t xml:space="preserve">We conducted our audit in accordance with International and Brazilian Standards on Auditing. Our responsibilities under those standards are further described in the “Auditors' Responsibilities for the Audit </w:t>
            </w:r>
            <w:r w:rsidRPr="002F4D1A">
              <w:rPr>
                <w:rFonts w:ascii="Calibri" w:eastAsia="Times New Roman" w:hAnsi="Calibri" w:cs="Times New Roman"/>
                <w:sz w:val="19"/>
                <w:szCs w:val="19"/>
                <w:lang w:val="en-US" w:eastAsia="en-NZ"/>
              </w:rPr>
              <w:lastRenderedPageBreak/>
              <w:t xml:space="preserve">of the Individual and Consolidated Financial Statements” section of our report. We are independent of BB </w:t>
            </w:r>
            <w:proofErr w:type="spellStart"/>
            <w:r w:rsidRPr="002F4D1A">
              <w:rPr>
                <w:rFonts w:ascii="Calibri" w:eastAsia="Times New Roman" w:hAnsi="Calibri" w:cs="Times New Roman"/>
                <w:sz w:val="19"/>
                <w:szCs w:val="19"/>
                <w:lang w:val="en-US" w:eastAsia="en-NZ"/>
              </w:rPr>
              <w:t>Seguridade</w:t>
            </w:r>
            <w:proofErr w:type="spellEnd"/>
            <w:r w:rsidRPr="002F4D1A">
              <w:rPr>
                <w:rFonts w:ascii="Calibri" w:eastAsia="Times New Roman" w:hAnsi="Calibri" w:cs="Times New Roman"/>
                <w:sz w:val="19"/>
                <w:szCs w:val="19"/>
                <w:lang w:val="en-US" w:eastAsia="en-NZ"/>
              </w:rPr>
              <w:t xml:space="preserve"> and its subsidiaries in accordance with relevant ethical principles established in the Accountant's Professional Ethics Code and in the professional standards issued by the Federal Accounting Council, and we have fulfilled our ethical responsibilities in accordance with these requirements. We believe that the audit evidence we have obtained is sufficient and appropriate to provide a basis for our opinion.</w:t>
            </w:r>
          </w:p>
        </w:tc>
      </w:tr>
      <w:tr w:rsidR="002F4D1A" w:rsidRPr="002F4D1A" w14:paraId="3C8810A2" w14:textId="77777777" w:rsidTr="0051296A">
        <w:trPr>
          <w:trHeight w:val="60"/>
        </w:trPr>
        <w:tc>
          <w:tcPr>
            <w:tcW w:w="8504" w:type="dxa"/>
            <w:gridSpan w:val="2"/>
            <w:shd w:val="solid" w:color="004E98" w:fill="auto"/>
            <w:tcMar>
              <w:top w:w="113" w:type="dxa"/>
              <w:left w:w="113" w:type="dxa"/>
              <w:bottom w:w="113" w:type="dxa"/>
              <w:right w:w="113" w:type="dxa"/>
            </w:tcMar>
          </w:tcPr>
          <w:p w14:paraId="086C4462"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GB" w:eastAsia="en-NZ"/>
              </w:rPr>
            </w:pPr>
            <w:r w:rsidRPr="002F4D1A">
              <w:rPr>
                <w:rFonts w:ascii="Univers LT Std 45 Light" w:eastAsia="Times New Roman" w:hAnsi="Univers LT Std 45 Light" w:cs="Univers LT Std 45 Light"/>
                <w:b/>
                <w:bCs/>
                <w:color w:val="FFFFFF"/>
                <w:sz w:val="19"/>
                <w:szCs w:val="19"/>
                <w:lang w:val="en-GB" w:eastAsia="en-NZ"/>
              </w:rPr>
              <w:lastRenderedPageBreak/>
              <w:t>Key audit matters</w:t>
            </w:r>
          </w:p>
        </w:tc>
      </w:tr>
      <w:tr w:rsidR="002F4D1A" w:rsidRPr="001A7DD8" w14:paraId="65FCDCFA" w14:textId="77777777" w:rsidTr="0051296A">
        <w:trPr>
          <w:trHeight w:val="60"/>
        </w:trPr>
        <w:tc>
          <w:tcPr>
            <w:tcW w:w="8504" w:type="dxa"/>
            <w:gridSpan w:val="2"/>
            <w:tcMar>
              <w:top w:w="113" w:type="dxa"/>
              <w:left w:w="113" w:type="dxa"/>
              <w:bottom w:w="227" w:type="dxa"/>
              <w:right w:w="113" w:type="dxa"/>
            </w:tcMar>
          </w:tcPr>
          <w:p w14:paraId="4AF2F70F"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Key audit matters are those that, in our professional judgment, were of most significance in our audit of the individual and consolidated financial statements of the current year. These matters were addressed in the context of our audit of the individual and consolidated financial </w:t>
            </w:r>
            <w:proofErr w:type="gramStart"/>
            <w:r w:rsidRPr="002F4D1A">
              <w:rPr>
                <w:rFonts w:ascii="Univers LT Std 45 Light" w:eastAsia="Times New Roman" w:hAnsi="Univers LT Std 45 Light" w:cs="Univers LT Std 45 Light"/>
                <w:color w:val="000000"/>
                <w:sz w:val="19"/>
                <w:szCs w:val="19"/>
                <w:lang w:val="en-US" w:eastAsia="en-NZ"/>
              </w:rPr>
              <w:t>statements as a whole, and</w:t>
            </w:r>
            <w:proofErr w:type="gramEnd"/>
            <w:r w:rsidRPr="002F4D1A">
              <w:rPr>
                <w:rFonts w:ascii="Univers LT Std 45 Light" w:eastAsia="Times New Roman" w:hAnsi="Univers LT Std 45 Light" w:cs="Univers LT Std 45 Light"/>
                <w:color w:val="000000"/>
                <w:sz w:val="19"/>
                <w:szCs w:val="19"/>
                <w:lang w:val="en-US" w:eastAsia="en-NZ"/>
              </w:rPr>
              <w:t xml:space="preserve"> in forming our opinion thereon, and, therefore, we do not provide a separate opinion on these matters.</w:t>
            </w:r>
          </w:p>
        </w:tc>
      </w:tr>
      <w:tr w:rsidR="002F4D1A" w:rsidRPr="001A7DD8" w14:paraId="09464938" w14:textId="77777777" w:rsidTr="0051296A">
        <w:trPr>
          <w:trHeight w:val="6833"/>
        </w:trPr>
        <w:tc>
          <w:tcPr>
            <w:tcW w:w="8504" w:type="dxa"/>
            <w:gridSpan w:val="2"/>
            <w:tcMar>
              <w:top w:w="113" w:type="dxa"/>
              <w:left w:w="113" w:type="dxa"/>
              <w:bottom w:w="227" w:type="dxa"/>
              <w:right w:w="113" w:type="dxa"/>
            </w:tcMar>
          </w:tcPr>
          <w:p w14:paraId="30B65D8E"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bCs/>
                <w:color w:val="000000"/>
                <w:sz w:val="19"/>
                <w:szCs w:val="19"/>
                <w:lang w:val="en-US" w:eastAsia="en-NZ"/>
              </w:rPr>
            </w:pPr>
            <w:r w:rsidRPr="002F4D1A">
              <w:rPr>
                <w:rFonts w:ascii="Univers LT Std 45 Light" w:eastAsia="Times New Roman" w:hAnsi="Univers LT Std 45 Light" w:cs="Univers LT Std 45 Light"/>
                <w:b/>
                <w:bCs/>
                <w:color w:val="000000"/>
                <w:sz w:val="19"/>
                <w:szCs w:val="19"/>
                <w:lang w:val="en-US" w:eastAsia="en-NZ"/>
              </w:rPr>
              <w:t xml:space="preserve">Recognition of </w:t>
            </w:r>
            <w:proofErr w:type="spellStart"/>
            <w:r w:rsidRPr="002F4D1A">
              <w:rPr>
                <w:rFonts w:ascii="Univers LT Std 45 Light" w:eastAsia="Times New Roman" w:hAnsi="Univers LT Std 45 Light" w:cs="Univers LT Std 45 Light"/>
                <w:b/>
                <w:bCs/>
                <w:color w:val="000000"/>
                <w:sz w:val="19"/>
                <w:szCs w:val="19"/>
                <w:lang w:val="en-US" w:eastAsia="en-NZ"/>
              </w:rPr>
              <w:t>comissions</w:t>
            </w:r>
            <w:proofErr w:type="spellEnd"/>
            <w:r w:rsidRPr="002F4D1A">
              <w:rPr>
                <w:rFonts w:ascii="Univers LT Std 45 Light" w:eastAsia="Times New Roman" w:hAnsi="Univers LT Std 45 Light" w:cs="Univers LT Std 45 Light"/>
                <w:b/>
                <w:bCs/>
                <w:color w:val="000000"/>
                <w:sz w:val="19"/>
                <w:szCs w:val="19"/>
                <w:lang w:val="en-US" w:eastAsia="en-NZ"/>
              </w:rPr>
              <w:t xml:space="preserve"> income</w:t>
            </w:r>
          </w:p>
          <w:p w14:paraId="5F2FD84A"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As mentioned in explanatory notes no. 3(a2) and 8 of the individual and consolidated financial statements, the commission revenues of BB </w:t>
            </w:r>
            <w:proofErr w:type="spellStart"/>
            <w:r w:rsidRPr="002F4D1A">
              <w:rPr>
                <w:rFonts w:ascii="Univers LT Std 45 Light" w:eastAsia="Times New Roman" w:hAnsi="Univers LT Std 45 Light" w:cs="Univers LT Std 45 Light"/>
                <w:color w:val="000000"/>
                <w:sz w:val="19"/>
                <w:szCs w:val="19"/>
                <w:lang w:val="en-US" w:eastAsia="en-NZ"/>
              </w:rPr>
              <w:t>Seguridade</w:t>
            </w:r>
            <w:proofErr w:type="spellEnd"/>
            <w:r w:rsidRPr="002F4D1A">
              <w:rPr>
                <w:rFonts w:ascii="Univers LT Std 45 Light" w:eastAsia="Times New Roman" w:hAnsi="Univers LT Std 45 Light" w:cs="Univers LT Std 45 Light"/>
                <w:color w:val="000000"/>
                <w:sz w:val="19"/>
                <w:szCs w:val="19"/>
                <w:lang w:val="en-US" w:eastAsia="en-NZ"/>
              </w:rPr>
              <w:t xml:space="preserve">, derived from the provision of services by its subsidiary BB </w:t>
            </w:r>
            <w:proofErr w:type="spellStart"/>
            <w:r w:rsidRPr="002F4D1A">
              <w:rPr>
                <w:rFonts w:ascii="Univers LT Std 45 Light" w:eastAsia="Times New Roman" w:hAnsi="Univers LT Std 45 Light" w:cs="Univers LT Std 45 Light"/>
                <w:color w:val="000000"/>
                <w:sz w:val="19"/>
                <w:szCs w:val="19"/>
                <w:lang w:val="en-US" w:eastAsia="en-NZ"/>
              </w:rPr>
              <w:t>Corretora</w:t>
            </w:r>
            <w:proofErr w:type="spellEnd"/>
            <w:r w:rsidRPr="002F4D1A">
              <w:rPr>
                <w:rFonts w:ascii="Univers LT Std 45 Light" w:eastAsia="Times New Roman" w:hAnsi="Univers LT Std 45 Light" w:cs="Univers LT Std 45 Light"/>
                <w:color w:val="000000"/>
                <w:sz w:val="19"/>
                <w:szCs w:val="19"/>
                <w:lang w:val="en-US" w:eastAsia="en-NZ"/>
              </w:rPr>
              <w:t xml:space="preserve"> de </w:t>
            </w:r>
            <w:proofErr w:type="spellStart"/>
            <w:r w:rsidRPr="002F4D1A">
              <w:rPr>
                <w:rFonts w:ascii="Univers LT Std 45 Light" w:eastAsia="Times New Roman" w:hAnsi="Univers LT Std 45 Light" w:cs="Univers LT Std 45 Light"/>
                <w:color w:val="000000"/>
                <w:sz w:val="19"/>
                <w:szCs w:val="19"/>
                <w:lang w:val="en-US" w:eastAsia="en-NZ"/>
              </w:rPr>
              <w:t>Seguros</w:t>
            </w:r>
            <w:proofErr w:type="spellEnd"/>
            <w:r w:rsidRPr="002F4D1A">
              <w:rPr>
                <w:rFonts w:ascii="Univers LT Std 45 Light" w:eastAsia="Times New Roman" w:hAnsi="Univers LT Std 45 Light" w:cs="Univers LT Std 45 Light"/>
                <w:color w:val="000000"/>
                <w:sz w:val="19"/>
                <w:szCs w:val="19"/>
                <w:lang w:val="en-US" w:eastAsia="en-NZ"/>
              </w:rPr>
              <w:t xml:space="preserve"> e </w:t>
            </w:r>
            <w:proofErr w:type="spellStart"/>
            <w:r w:rsidRPr="002F4D1A">
              <w:rPr>
                <w:rFonts w:ascii="Univers LT Std 45 Light" w:eastAsia="Times New Roman" w:hAnsi="Univers LT Std 45 Light" w:cs="Univers LT Std 45 Light"/>
                <w:color w:val="000000"/>
                <w:sz w:val="19"/>
                <w:szCs w:val="19"/>
                <w:lang w:val="en-US" w:eastAsia="en-NZ"/>
              </w:rPr>
              <w:t>Administradora</w:t>
            </w:r>
            <w:proofErr w:type="spellEnd"/>
            <w:r w:rsidRPr="002F4D1A">
              <w:rPr>
                <w:rFonts w:ascii="Univers LT Std 45 Light" w:eastAsia="Times New Roman" w:hAnsi="Univers LT Std 45 Light" w:cs="Univers LT Std 45 Light"/>
                <w:color w:val="000000"/>
                <w:sz w:val="19"/>
                <w:szCs w:val="19"/>
                <w:lang w:val="en-US" w:eastAsia="en-NZ"/>
              </w:rPr>
              <w:t xml:space="preserve"> de Bens S.A. (“BB </w:t>
            </w:r>
            <w:proofErr w:type="spellStart"/>
            <w:r w:rsidRPr="002F4D1A">
              <w:rPr>
                <w:rFonts w:ascii="Univers LT Std 45 Light" w:eastAsia="Times New Roman" w:hAnsi="Univers LT Std 45 Light" w:cs="Univers LT Std 45 Light"/>
                <w:color w:val="000000"/>
                <w:sz w:val="19"/>
                <w:szCs w:val="19"/>
                <w:lang w:val="en-US" w:eastAsia="en-NZ"/>
              </w:rPr>
              <w:t>Corretora</w:t>
            </w:r>
            <w:proofErr w:type="spellEnd"/>
            <w:r w:rsidRPr="002F4D1A">
              <w:rPr>
                <w:rFonts w:ascii="Univers LT Std 45 Light" w:eastAsia="Times New Roman" w:hAnsi="Univers LT Std 45 Light" w:cs="Univers LT Std 45 Light"/>
                <w:color w:val="000000"/>
                <w:sz w:val="19"/>
                <w:szCs w:val="19"/>
                <w:lang w:val="en-US" w:eastAsia="en-NZ"/>
              </w:rPr>
              <w:t>”), are recognized in accordance with CPC 47 (IFRS 15) - Revenue from Contracts with Customers, considering the following steps: (</w:t>
            </w:r>
            <w:proofErr w:type="spellStart"/>
            <w:r w:rsidRPr="002F4D1A">
              <w:rPr>
                <w:rFonts w:ascii="Univers LT Std 45 Light" w:eastAsia="Times New Roman" w:hAnsi="Univers LT Std 45 Light" w:cs="Univers LT Std 45 Light"/>
                <w:color w:val="000000"/>
                <w:sz w:val="19"/>
                <w:szCs w:val="19"/>
                <w:lang w:val="en-US" w:eastAsia="en-NZ"/>
              </w:rPr>
              <w:t>i</w:t>
            </w:r>
            <w:proofErr w:type="spellEnd"/>
            <w:r w:rsidRPr="002F4D1A">
              <w:rPr>
                <w:rFonts w:ascii="Univers LT Std 45 Light" w:eastAsia="Times New Roman" w:hAnsi="Univers LT Std 45 Light" w:cs="Univers LT Std 45 Light"/>
                <w:color w:val="000000"/>
                <w:sz w:val="19"/>
                <w:szCs w:val="19"/>
                <w:lang w:val="en-US" w:eastAsia="en-NZ"/>
              </w:rPr>
              <w:t xml:space="preserve">) identification of the contract; (ii) identification of performance obligations; (iii) determination of the transaction price; (iv) allocation of the transaction price; and (v) revenue recognition. </w:t>
            </w:r>
          </w:p>
          <w:p w14:paraId="49898891"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Commission revenues come from the segments of life insurance, property and casualty insurance, pension plans, capitalization, and health insurance and are derived from various contracts with specific characteristics. Depending on the nature and characteristics of the product, these revenues can be recognized over time or at a specific point in time. </w:t>
            </w:r>
          </w:p>
          <w:p w14:paraId="3C48FBEA"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Mainly due to the relevance of the volume of commission revenues to BB </w:t>
            </w:r>
            <w:proofErr w:type="spellStart"/>
            <w:r w:rsidRPr="002F4D1A">
              <w:rPr>
                <w:rFonts w:ascii="Univers LT Std 45 Light" w:eastAsia="Times New Roman" w:hAnsi="Univers LT Std 45 Light" w:cs="Univers LT Std 45 Light"/>
                <w:color w:val="000000"/>
                <w:sz w:val="19"/>
                <w:szCs w:val="19"/>
                <w:lang w:val="en-US" w:eastAsia="en-NZ"/>
              </w:rPr>
              <w:t>Seguridade's</w:t>
            </w:r>
            <w:proofErr w:type="spellEnd"/>
            <w:r w:rsidRPr="002F4D1A">
              <w:rPr>
                <w:rFonts w:ascii="Univers LT Std 45 Light" w:eastAsia="Times New Roman" w:hAnsi="Univers LT Std 45 Light" w:cs="Univers LT Std 45 Light"/>
                <w:color w:val="000000"/>
                <w:sz w:val="19"/>
                <w:szCs w:val="19"/>
                <w:lang w:val="en-US" w:eastAsia="en-NZ"/>
              </w:rPr>
              <w:t xml:space="preserve"> results and the different specificities of each contract and each marketed product that can directly impact the proper recognition of commission revenue in the individual and consolidated financial statements and the value of the investment recorded by the equity method in the parent company's financial statements, we consider this matter significant for our audit.</w:t>
            </w:r>
          </w:p>
          <w:p w14:paraId="56F526A9"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bCs/>
                <w:color w:val="000000"/>
                <w:sz w:val="19"/>
                <w:szCs w:val="19"/>
                <w:lang w:val="en-US" w:eastAsia="en-NZ"/>
              </w:rPr>
            </w:pPr>
            <w:r w:rsidRPr="002F4D1A">
              <w:rPr>
                <w:rFonts w:ascii="Univers LT Std 45 Light" w:eastAsia="Times New Roman" w:hAnsi="Univers LT Std 45 Light" w:cs="Univers LT Std 45 Light"/>
                <w:b/>
                <w:bCs/>
                <w:color w:val="000000"/>
                <w:sz w:val="19"/>
                <w:szCs w:val="19"/>
                <w:lang w:val="en-US" w:eastAsia="en-NZ"/>
              </w:rPr>
              <w:t>How our audit approached this matter</w:t>
            </w:r>
          </w:p>
          <w:p w14:paraId="15D8F564"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Our audit procedures included, among others: </w:t>
            </w:r>
          </w:p>
          <w:p w14:paraId="3F4AC88E" w14:textId="77777777" w:rsidR="002F4D1A" w:rsidRPr="002F4D1A" w:rsidRDefault="002F4D1A" w:rsidP="002F4D1A">
            <w:pPr>
              <w:widowControl w:val="0"/>
              <w:suppressAutoHyphens/>
              <w:autoSpaceDE w:val="0"/>
              <w:autoSpaceDN w:val="0"/>
              <w:adjustRightInd w:val="0"/>
              <w:spacing w:after="120" w:line="240" w:lineRule="atLeast"/>
              <w:ind w:left="198"/>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Evaluation of the company's accounting policy for the recognition of commission revenues in relation to CPC 47 (IFRS 15), including reading the operational agreements on costs and commissions, agreed between BB </w:t>
            </w:r>
            <w:proofErr w:type="spellStart"/>
            <w:r w:rsidRPr="002F4D1A">
              <w:rPr>
                <w:rFonts w:ascii="Univers LT Std 45 Light" w:eastAsia="Times New Roman" w:hAnsi="Univers LT Std 45 Light" w:cs="Univers LT Std 45 Light"/>
                <w:color w:val="000000"/>
                <w:sz w:val="19"/>
                <w:szCs w:val="19"/>
                <w:lang w:val="en-US" w:eastAsia="en-NZ"/>
              </w:rPr>
              <w:t>Corretora</w:t>
            </w:r>
            <w:proofErr w:type="spellEnd"/>
            <w:r w:rsidRPr="002F4D1A">
              <w:rPr>
                <w:rFonts w:ascii="Univers LT Std 45 Light" w:eastAsia="Times New Roman" w:hAnsi="Univers LT Std 45 Light" w:cs="Univers LT Std 45 Light"/>
                <w:color w:val="000000"/>
                <w:sz w:val="19"/>
                <w:szCs w:val="19"/>
                <w:lang w:val="en-US" w:eastAsia="en-NZ"/>
              </w:rPr>
              <w:t xml:space="preserve">, Banco do </w:t>
            </w:r>
            <w:proofErr w:type="spellStart"/>
            <w:r w:rsidRPr="002F4D1A">
              <w:rPr>
                <w:rFonts w:ascii="Univers LT Std 45 Light" w:eastAsia="Times New Roman" w:hAnsi="Univers LT Std 45 Light" w:cs="Univers LT Std 45 Light"/>
                <w:color w:val="000000"/>
                <w:sz w:val="19"/>
                <w:szCs w:val="19"/>
                <w:lang w:val="en-US" w:eastAsia="en-NZ"/>
              </w:rPr>
              <w:t>Brasil</w:t>
            </w:r>
            <w:proofErr w:type="spellEnd"/>
            <w:r w:rsidRPr="002F4D1A">
              <w:rPr>
                <w:rFonts w:ascii="Univers LT Std 45 Light" w:eastAsia="Times New Roman" w:hAnsi="Univers LT Std 45 Light" w:cs="Univers LT Std 45 Light"/>
                <w:color w:val="000000"/>
                <w:sz w:val="19"/>
                <w:szCs w:val="19"/>
                <w:lang w:val="en-US" w:eastAsia="en-NZ"/>
              </w:rPr>
              <w:t xml:space="preserve"> S.A., and the insurance companies. </w:t>
            </w:r>
          </w:p>
          <w:p w14:paraId="32FCD783" w14:textId="77777777" w:rsidR="002F4D1A" w:rsidRPr="002F4D1A" w:rsidRDefault="002F4D1A" w:rsidP="002F4D1A">
            <w:pPr>
              <w:widowControl w:val="0"/>
              <w:suppressAutoHyphens/>
              <w:autoSpaceDE w:val="0"/>
              <w:autoSpaceDN w:val="0"/>
              <w:adjustRightInd w:val="0"/>
              <w:spacing w:after="120" w:line="240" w:lineRule="atLeast"/>
              <w:ind w:left="198"/>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Documentary inspection, based on a sample, of the information related to commission revenues, rates agreed between the parties, and financial settlement. </w:t>
            </w:r>
          </w:p>
          <w:p w14:paraId="28E493F5" w14:textId="77777777" w:rsidR="002F4D1A" w:rsidRPr="002F4D1A" w:rsidRDefault="002F4D1A" w:rsidP="002F4D1A">
            <w:pPr>
              <w:widowControl w:val="0"/>
              <w:suppressAutoHyphens/>
              <w:autoSpaceDE w:val="0"/>
              <w:autoSpaceDN w:val="0"/>
              <w:adjustRightInd w:val="0"/>
              <w:spacing w:after="120" w:line="240" w:lineRule="atLeast"/>
              <w:ind w:left="198"/>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Evaluation, based on a sample, of the company's conclusion regarding the timing of the satisfaction of the performance obligation of the inspected contracts. </w:t>
            </w:r>
          </w:p>
          <w:p w14:paraId="640CEFE6" w14:textId="77777777" w:rsidR="002F4D1A" w:rsidRPr="002F4D1A" w:rsidRDefault="002F4D1A" w:rsidP="002F4D1A">
            <w:pPr>
              <w:widowControl w:val="0"/>
              <w:suppressAutoHyphens/>
              <w:autoSpaceDE w:val="0"/>
              <w:autoSpaceDN w:val="0"/>
              <w:adjustRightInd w:val="0"/>
              <w:spacing w:after="120" w:line="240" w:lineRule="atLeast"/>
              <w:ind w:left="198"/>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Recalculation, based on a sample, of the appropriation of commission revenues in accordance with the concepts of the technical pronouncement CPC 47 (IFRS 15); and </w:t>
            </w:r>
          </w:p>
          <w:p w14:paraId="5F5C38D9" w14:textId="77777777" w:rsidR="002F4D1A" w:rsidRPr="002F4D1A" w:rsidRDefault="002F4D1A" w:rsidP="002F4D1A">
            <w:pPr>
              <w:widowControl w:val="0"/>
              <w:suppressAutoHyphens/>
              <w:autoSpaceDE w:val="0"/>
              <w:autoSpaceDN w:val="0"/>
              <w:adjustRightInd w:val="0"/>
              <w:spacing w:after="120" w:line="240" w:lineRule="atLeast"/>
              <w:ind w:left="198"/>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Evaluation of whether the disclosures in the individual and consolidated financial statements are in accordance with the requirements of the applicable accounting standard and consider all relevant information. </w:t>
            </w:r>
          </w:p>
          <w:p w14:paraId="6FFDC50E"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Based on the evidence obtained through the procedures summarized above, we consider the recognition of commission revenues acceptable in the context of the individual and consolidated financial statements for the year ended December 31, 2024, as well as the respective disclosures.</w:t>
            </w:r>
          </w:p>
          <w:p w14:paraId="6F096113"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bCs/>
                <w:color w:val="000000"/>
                <w:sz w:val="19"/>
                <w:szCs w:val="19"/>
                <w:lang w:val="en-US" w:eastAsia="en-NZ"/>
              </w:rPr>
            </w:pPr>
            <w:r w:rsidRPr="002F4D1A">
              <w:rPr>
                <w:rFonts w:ascii="Univers LT Std 45 Light" w:eastAsia="Times New Roman" w:hAnsi="Univers LT Std 45 Light" w:cs="Univers LT Std 45 Light"/>
                <w:b/>
                <w:bCs/>
                <w:color w:val="000000"/>
                <w:sz w:val="19"/>
                <w:szCs w:val="19"/>
                <w:lang w:val="en-US" w:eastAsia="en-NZ"/>
              </w:rPr>
              <w:lastRenderedPageBreak/>
              <w:t>Insurance contracts in investees evaluated using the equity method</w:t>
            </w:r>
          </w:p>
          <w:p w14:paraId="55DE13B5"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As mentioned in explanatory notes 3(h) and 7 of the individual and consolidated financial statements, BB </w:t>
            </w:r>
            <w:proofErr w:type="spellStart"/>
            <w:r w:rsidRPr="002F4D1A">
              <w:rPr>
                <w:rFonts w:ascii="Univers LT Std 45 Light" w:eastAsia="Times New Roman" w:hAnsi="Univers LT Std 45 Light" w:cs="Univers LT Std 45 Light"/>
                <w:color w:val="000000"/>
                <w:sz w:val="19"/>
                <w:szCs w:val="19"/>
                <w:lang w:val="en-US" w:eastAsia="en-NZ"/>
              </w:rPr>
              <w:t>Seguridade</w:t>
            </w:r>
            <w:proofErr w:type="spellEnd"/>
            <w:r w:rsidRPr="002F4D1A">
              <w:rPr>
                <w:rFonts w:ascii="Univers LT Std 45 Light" w:eastAsia="Times New Roman" w:hAnsi="Univers LT Std 45 Light" w:cs="Univers LT Std 45 Light"/>
                <w:color w:val="000000"/>
                <w:sz w:val="19"/>
                <w:szCs w:val="19"/>
                <w:lang w:val="en-US" w:eastAsia="en-NZ"/>
              </w:rPr>
              <w:t xml:space="preserve"> holds significant equity interests in </w:t>
            </w:r>
            <w:proofErr w:type="spellStart"/>
            <w:r w:rsidRPr="002F4D1A">
              <w:rPr>
                <w:rFonts w:ascii="Univers LT Std 45 Light" w:eastAsia="Times New Roman" w:hAnsi="Univers LT Std 45 Light" w:cs="Univers LT Std 45 Light"/>
                <w:color w:val="000000"/>
                <w:sz w:val="19"/>
                <w:szCs w:val="19"/>
                <w:lang w:val="en-US" w:eastAsia="en-NZ"/>
              </w:rPr>
              <w:t>Brasilseg</w:t>
            </w:r>
            <w:proofErr w:type="spellEnd"/>
            <w:r w:rsidRPr="002F4D1A">
              <w:rPr>
                <w:rFonts w:ascii="Univers LT Std 45 Light" w:eastAsia="Times New Roman" w:hAnsi="Univers LT Std 45 Light" w:cs="Univers LT Std 45 Light"/>
                <w:color w:val="000000"/>
                <w:sz w:val="19"/>
                <w:szCs w:val="19"/>
                <w:lang w:val="en-US" w:eastAsia="en-NZ"/>
              </w:rPr>
              <w:t xml:space="preserve"> Companhia de </w:t>
            </w:r>
            <w:proofErr w:type="spellStart"/>
            <w:r w:rsidRPr="002F4D1A">
              <w:rPr>
                <w:rFonts w:ascii="Univers LT Std 45 Light" w:eastAsia="Times New Roman" w:hAnsi="Univers LT Std 45 Light" w:cs="Univers LT Std 45 Light"/>
                <w:color w:val="000000"/>
                <w:sz w:val="19"/>
                <w:szCs w:val="19"/>
                <w:lang w:val="en-US" w:eastAsia="en-NZ"/>
              </w:rPr>
              <w:t>Seguros</w:t>
            </w:r>
            <w:proofErr w:type="spellEnd"/>
            <w:r w:rsidRPr="002F4D1A">
              <w:rPr>
                <w:rFonts w:ascii="Univers LT Std 45 Light" w:eastAsia="Times New Roman" w:hAnsi="Univers LT Std 45 Light" w:cs="Univers LT Std 45 Light"/>
                <w:color w:val="000000"/>
                <w:sz w:val="19"/>
                <w:szCs w:val="19"/>
                <w:lang w:val="en-US" w:eastAsia="en-NZ"/>
              </w:rPr>
              <w:t xml:space="preserve"> and </w:t>
            </w:r>
            <w:proofErr w:type="spellStart"/>
            <w:r w:rsidRPr="002F4D1A">
              <w:rPr>
                <w:rFonts w:ascii="Univers LT Std 45 Light" w:eastAsia="Times New Roman" w:hAnsi="Univers LT Std 45 Light" w:cs="Univers LT Std 45 Light"/>
                <w:color w:val="000000"/>
                <w:sz w:val="19"/>
                <w:szCs w:val="19"/>
                <w:lang w:val="en-US" w:eastAsia="en-NZ"/>
              </w:rPr>
              <w:t>Brasilprev</w:t>
            </w:r>
            <w:proofErr w:type="spellEnd"/>
            <w:r w:rsidRPr="002F4D1A">
              <w:rPr>
                <w:rFonts w:ascii="Univers LT Std 45 Light" w:eastAsia="Times New Roman" w:hAnsi="Univers LT Std 45 Light" w:cs="Univers LT Std 45 Light"/>
                <w:color w:val="000000"/>
                <w:sz w:val="19"/>
                <w:szCs w:val="19"/>
                <w:lang w:val="en-US" w:eastAsia="en-NZ"/>
              </w:rPr>
              <w:t xml:space="preserve"> </w:t>
            </w:r>
            <w:proofErr w:type="spellStart"/>
            <w:r w:rsidRPr="002F4D1A">
              <w:rPr>
                <w:rFonts w:ascii="Univers LT Std 45 Light" w:eastAsia="Times New Roman" w:hAnsi="Univers LT Std 45 Light" w:cs="Univers LT Std 45 Light"/>
                <w:color w:val="000000"/>
                <w:sz w:val="19"/>
                <w:szCs w:val="19"/>
                <w:lang w:val="en-US" w:eastAsia="en-NZ"/>
              </w:rPr>
              <w:t>Seguros</w:t>
            </w:r>
            <w:proofErr w:type="spellEnd"/>
            <w:r w:rsidRPr="002F4D1A">
              <w:rPr>
                <w:rFonts w:ascii="Univers LT Std 45 Light" w:eastAsia="Times New Roman" w:hAnsi="Univers LT Std 45 Light" w:cs="Univers LT Std 45 Light"/>
                <w:color w:val="000000"/>
                <w:sz w:val="19"/>
                <w:szCs w:val="19"/>
                <w:lang w:val="en-US" w:eastAsia="en-NZ"/>
              </w:rPr>
              <w:t xml:space="preserve"> e </w:t>
            </w:r>
            <w:proofErr w:type="spellStart"/>
            <w:r w:rsidRPr="002F4D1A">
              <w:rPr>
                <w:rFonts w:ascii="Univers LT Std 45 Light" w:eastAsia="Times New Roman" w:hAnsi="Univers LT Std 45 Light" w:cs="Univers LT Std 45 Light"/>
                <w:color w:val="000000"/>
                <w:sz w:val="19"/>
                <w:szCs w:val="19"/>
                <w:lang w:val="en-US" w:eastAsia="en-NZ"/>
              </w:rPr>
              <w:t>Previdência</w:t>
            </w:r>
            <w:proofErr w:type="spellEnd"/>
            <w:r w:rsidRPr="002F4D1A">
              <w:rPr>
                <w:rFonts w:ascii="Univers LT Std 45 Light" w:eastAsia="Times New Roman" w:hAnsi="Univers LT Std 45 Light" w:cs="Univers LT Std 45 Light"/>
                <w:color w:val="000000"/>
                <w:sz w:val="19"/>
                <w:szCs w:val="19"/>
                <w:lang w:val="en-US" w:eastAsia="en-NZ"/>
              </w:rPr>
              <w:t xml:space="preserve"> S.A. (“operational investees”), which are recognized using the equity method. These operational investees have insurance contracts whose measurement and recognition are carried out in accordance with the criteria defined in CPC 50 (IFRS 17) – Insurance Contracts. </w:t>
            </w:r>
          </w:p>
          <w:p w14:paraId="43A6DFB2"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To measure insurance contracts, the operational investees consider estimates related to future cash flow projections, adjustments to present value, and non-financial risks, among others. </w:t>
            </w:r>
          </w:p>
          <w:p w14:paraId="73E07A71"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Due to the relevance of the investment and results of these operational investees, as well as the uncertainties related to the estimates and the impact that any changes in the assumptions of these estimates could generate in BB </w:t>
            </w:r>
            <w:proofErr w:type="spellStart"/>
            <w:r w:rsidRPr="002F4D1A">
              <w:rPr>
                <w:rFonts w:ascii="Univers LT Std 45 Light" w:eastAsia="Times New Roman" w:hAnsi="Univers LT Std 45 Light" w:cs="Univers LT Std 45 Light"/>
                <w:color w:val="000000"/>
                <w:sz w:val="19"/>
                <w:szCs w:val="19"/>
                <w:lang w:val="en-US" w:eastAsia="en-NZ"/>
              </w:rPr>
              <w:t>Seguridade's</w:t>
            </w:r>
            <w:proofErr w:type="spellEnd"/>
            <w:r w:rsidRPr="002F4D1A">
              <w:rPr>
                <w:rFonts w:ascii="Univers LT Std 45 Light" w:eastAsia="Times New Roman" w:hAnsi="Univers LT Std 45 Light" w:cs="Univers LT Std 45 Light"/>
                <w:color w:val="000000"/>
                <w:sz w:val="19"/>
                <w:szCs w:val="19"/>
                <w:lang w:val="en-US" w:eastAsia="en-NZ"/>
              </w:rPr>
              <w:t xml:space="preserve"> individual and consolidated financial statements, we consider this matter significant for our audit.</w:t>
            </w:r>
          </w:p>
          <w:p w14:paraId="05C62589"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p w14:paraId="1D9A9C37"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bCs/>
                <w:color w:val="000000"/>
                <w:sz w:val="19"/>
                <w:szCs w:val="19"/>
                <w:lang w:val="en-US" w:eastAsia="en-NZ"/>
              </w:rPr>
            </w:pPr>
            <w:r w:rsidRPr="002F4D1A">
              <w:rPr>
                <w:rFonts w:ascii="Univers LT Std 45 Light" w:eastAsia="Times New Roman" w:hAnsi="Univers LT Std 45 Light" w:cs="Univers LT Std 45 Light"/>
                <w:b/>
                <w:bCs/>
                <w:color w:val="000000"/>
                <w:sz w:val="19"/>
                <w:szCs w:val="19"/>
                <w:lang w:val="en-US" w:eastAsia="en-NZ"/>
              </w:rPr>
              <w:t>How our audit approached this matter</w:t>
            </w:r>
          </w:p>
          <w:p w14:paraId="4F679A3C"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We sent audit instructions to the auditors of the selected operational investees for group audit scope and participated in the discussions of risk assessment and planning of audit procedures, among other communications. </w:t>
            </w:r>
          </w:p>
          <w:p w14:paraId="5494C8BC"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We held meetings during the audit period with the auditors of the operational investees and monitored the progress of the audit work carried out on the estimates used in the measurement of insurance contracts. </w:t>
            </w:r>
          </w:p>
          <w:p w14:paraId="6AE5C570"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We analyzed the communications and reports sent by the auditors of the selected operational investees for group audit scope, including the procedures for evaluating relevant internal controls, involvement of actuarial specialists in evaluating the estimates used in the measurement of insurance contracts, and the procedures and conclusions obtained. </w:t>
            </w:r>
          </w:p>
          <w:p w14:paraId="0BD43E2B"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 We evaluated whether the disclosures in the individual and consolidated financial statements consider all relevant information. </w:t>
            </w:r>
          </w:p>
          <w:p w14:paraId="6861C16C"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Based on the evidence obtained through the procedures summarized above, we consider the insurance contracts in investees evaluated using the equity method acceptable in the context of the individual and consolidated financial statements taken as a whole, for the year ended December 31, 2024.</w:t>
            </w:r>
          </w:p>
        </w:tc>
      </w:tr>
      <w:tr w:rsidR="002F4D1A" w:rsidRPr="001A7DD8" w14:paraId="22C2C112" w14:textId="77777777" w:rsidTr="002F4D1A">
        <w:trPr>
          <w:trHeight w:val="17"/>
        </w:trPr>
        <w:tc>
          <w:tcPr>
            <w:tcW w:w="4252" w:type="dxa"/>
            <w:tcBorders>
              <w:top w:val="single" w:sz="4" w:space="0" w:color="FFFFFF"/>
              <w:bottom w:val="single" w:sz="4" w:space="0" w:color="FFFFFF"/>
            </w:tcBorders>
            <w:tcMar>
              <w:top w:w="113" w:type="dxa"/>
              <w:left w:w="113" w:type="dxa"/>
              <w:bottom w:w="113" w:type="dxa"/>
              <w:right w:w="113" w:type="dxa"/>
            </w:tcMar>
          </w:tcPr>
          <w:p w14:paraId="68739BEB" w14:textId="77777777" w:rsidR="002F4D1A" w:rsidRPr="002F4D1A" w:rsidRDefault="002F4D1A" w:rsidP="002F4D1A">
            <w:pPr>
              <w:widowControl w:val="0"/>
              <w:autoSpaceDE w:val="0"/>
              <w:autoSpaceDN w:val="0"/>
              <w:adjustRightInd w:val="0"/>
              <w:spacing w:after="0" w:line="240" w:lineRule="auto"/>
              <w:rPr>
                <w:rFonts w:ascii="KPMG Extralight" w:eastAsia="Times New Roman" w:hAnsi="KPMG Extralight" w:cs="Times New Roman"/>
                <w:sz w:val="24"/>
                <w:szCs w:val="24"/>
                <w:lang w:val="en-US" w:eastAsia="en-NZ"/>
              </w:rPr>
            </w:pPr>
          </w:p>
        </w:tc>
        <w:tc>
          <w:tcPr>
            <w:tcW w:w="4252" w:type="dxa"/>
            <w:tcMar>
              <w:top w:w="113" w:type="dxa"/>
              <w:left w:w="113" w:type="dxa"/>
              <w:bottom w:w="113" w:type="dxa"/>
              <w:right w:w="113" w:type="dxa"/>
            </w:tcMar>
          </w:tcPr>
          <w:p w14:paraId="36317784" w14:textId="77777777" w:rsidR="002F4D1A" w:rsidRPr="002F4D1A" w:rsidRDefault="002F4D1A" w:rsidP="002F4D1A">
            <w:pPr>
              <w:widowControl w:val="0"/>
              <w:autoSpaceDE w:val="0"/>
              <w:autoSpaceDN w:val="0"/>
              <w:adjustRightInd w:val="0"/>
              <w:spacing w:after="0" w:line="240" w:lineRule="auto"/>
              <w:rPr>
                <w:rFonts w:ascii="KPMG Extralight" w:eastAsia="Times New Roman" w:hAnsi="KPMG Extralight" w:cs="Times New Roman"/>
                <w:sz w:val="24"/>
                <w:szCs w:val="24"/>
                <w:lang w:val="en-US" w:eastAsia="en-NZ"/>
              </w:rPr>
            </w:pPr>
          </w:p>
        </w:tc>
      </w:tr>
      <w:tr w:rsidR="002F4D1A" w:rsidRPr="002F4D1A" w14:paraId="4E85BBB7" w14:textId="77777777" w:rsidTr="002F4D1A">
        <w:trPr>
          <w:trHeight w:val="60"/>
        </w:trPr>
        <w:tc>
          <w:tcPr>
            <w:tcW w:w="8504" w:type="dxa"/>
            <w:gridSpan w:val="2"/>
            <w:tcBorders>
              <w:top w:val="single" w:sz="4" w:space="0" w:color="FFFFFF"/>
            </w:tcBorders>
            <w:shd w:val="solid" w:color="004E98" w:fill="auto"/>
            <w:tcMar>
              <w:top w:w="113" w:type="dxa"/>
              <w:left w:w="113" w:type="dxa"/>
              <w:bottom w:w="113" w:type="dxa"/>
              <w:right w:w="113" w:type="dxa"/>
            </w:tcMar>
          </w:tcPr>
          <w:p w14:paraId="24759945"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GB" w:eastAsia="en-NZ"/>
              </w:rPr>
            </w:pPr>
            <w:r w:rsidRPr="002F4D1A">
              <w:rPr>
                <w:rFonts w:ascii="Univers LT Std 45 Light" w:eastAsia="Times New Roman" w:hAnsi="Univers LT Std 45 Light" w:cs="Univers LT Std 45 Light"/>
                <w:b/>
                <w:bCs/>
                <w:color w:val="FFFFFF"/>
                <w:sz w:val="19"/>
                <w:szCs w:val="19"/>
                <w:lang w:val="en-GB" w:eastAsia="en-NZ"/>
              </w:rPr>
              <w:t>Other matters</w:t>
            </w:r>
          </w:p>
        </w:tc>
      </w:tr>
      <w:tr w:rsidR="002F4D1A" w:rsidRPr="001A7DD8" w14:paraId="597E172C" w14:textId="77777777" w:rsidTr="0051296A">
        <w:trPr>
          <w:trHeight w:val="60"/>
        </w:trPr>
        <w:tc>
          <w:tcPr>
            <w:tcW w:w="8504" w:type="dxa"/>
            <w:gridSpan w:val="2"/>
            <w:tcMar>
              <w:top w:w="113" w:type="dxa"/>
              <w:left w:w="113" w:type="dxa"/>
              <w:bottom w:w="170" w:type="dxa"/>
              <w:right w:w="113" w:type="dxa"/>
            </w:tcMar>
          </w:tcPr>
          <w:p w14:paraId="7B7F388A"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color w:val="000000"/>
                <w:sz w:val="19"/>
                <w:szCs w:val="19"/>
                <w:lang w:val="en-US" w:eastAsia="en-NZ"/>
              </w:rPr>
            </w:pPr>
            <w:r w:rsidRPr="002F4D1A">
              <w:rPr>
                <w:rFonts w:ascii="Univers LT Std 45 Light" w:eastAsia="Times New Roman" w:hAnsi="Univers LT Std 45 Light" w:cs="Univers LT Std 45 Light"/>
                <w:b/>
                <w:color w:val="000000"/>
                <w:sz w:val="19"/>
                <w:szCs w:val="19"/>
                <w:lang w:val="en-US" w:eastAsia="en-NZ"/>
              </w:rPr>
              <w:t>Individual and consolidated statements of value added</w:t>
            </w:r>
          </w:p>
          <w:p w14:paraId="5AA8F6E6"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The individual and consolidated statements of value added for the year ended December 31, 2024, prepared under the responsibility of Bank's management, and presented as supplementary information under IFRS, were submitted to the same audit procedures applied together with the audit of the individual and consolidated financial statements of the Bank. </w:t>
            </w:r>
            <w:proofErr w:type="gramStart"/>
            <w:r w:rsidRPr="002F4D1A">
              <w:rPr>
                <w:rFonts w:ascii="Univers LT Std 45 Light" w:eastAsia="Times New Roman" w:hAnsi="Univers LT Std 45 Light" w:cs="Univers LT Std 45 Light"/>
                <w:color w:val="000000"/>
                <w:sz w:val="19"/>
                <w:szCs w:val="19"/>
                <w:lang w:val="en-US" w:eastAsia="en-NZ"/>
              </w:rPr>
              <w:t>In order to</w:t>
            </w:r>
            <w:proofErr w:type="gramEnd"/>
            <w:r w:rsidRPr="002F4D1A">
              <w:rPr>
                <w:rFonts w:ascii="Univers LT Std 45 Light" w:eastAsia="Times New Roman" w:hAnsi="Univers LT Std 45 Light" w:cs="Univers LT Std 45 Light"/>
                <w:color w:val="000000"/>
                <w:sz w:val="19"/>
                <w:szCs w:val="19"/>
                <w:lang w:val="en-US" w:eastAsia="en-NZ"/>
              </w:rPr>
              <w:t xml:space="preserve"> form our opinion, we evaluated whether this statement is reconciled to the individual and consolidated financial statements and to accounting records, as applicable, and whether their form and content are in accordance with the criteria set on Technical Pronouncement CPC 09 - Statement of Value Added. In our opinion, this statement of value added have been adequately prepared, in all material respects, according to the criteria set on this Technical Pronouncement and are consistent with the individual and consolidated financial statements taken as a whole.</w:t>
            </w:r>
          </w:p>
          <w:p w14:paraId="1F14BDA2"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color w:val="000000"/>
                <w:sz w:val="19"/>
                <w:szCs w:val="19"/>
                <w:lang w:val="en-US" w:eastAsia="en-NZ"/>
              </w:rPr>
            </w:pPr>
            <w:r w:rsidRPr="002F4D1A">
              <w:rPr>
                <w:rFonts w:ascii="Univers LT Std 45 Light" w:eastAsia="Times New Roman" w:hAnsi="Univers LT Std 45 Light" w:cs="Univers LT Std 45 Light"/>
                <w:b/>
                <w:color w:val="000000"/>
                <w:sz w:val="19"/>
                <w:szCs w:val="19"/>
                <w:lang w:val="en-US" w:eastAsia="en-NZ"/>
              </w:rPr>
              <w:t>Audit of the individual and consolidated financial statements for the year ended December 31, 2023</w:t>
            </w:r>
          </w:p>
          <w:p w14:paraId="79BBAECA"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The individual and consolidated balance sheets as of December 31, 2023 and the individual and consolidated  statements of income, comprehensive income, changes in shareholders' equity and cash flows and related notes for the year ended December 31, 2023, presented as related amounts in the </w:t>
            </w:r>
            <w:r w:rsidRPr="002F4D1A">
              <w:rPr>
                <w:rFonts w:ascii="Univers LT Std 45 Light" w:eastAsia="Times New Roman" w:hAnsi="Univers LT Std 45 Light" w:cs="Univers LT Std 45 Light"/>
                <w:color w:val="000000"/>
                <w:sz w:val="19"/>
                <w:szCs w:val="19"/>
                <w:lang w:val="en-US" w:eastAsia="en-NZ"/>
              </w:rPr>
              <w:lastRenderedPageBreak/>
              <w:t xml:space="preserve">individual and consolidated financial statements for the current year, were previously audited by other independent auditors, who issued reports dated February 7, 2024, without modification. The related amounts for the individual and consolidated financial statements of value added for the year ended December 31, </w:t>
            </w:r>
            <w:proofErr w:type="gramStart"/>
            <w:r w:rsidRPr="002F4D1A">
              <w:rPr>
                <w:rFonts w:ascii="Univers LT Std 45 Light" w:eastAsia="Times New Roman" w:hAnsi="Univers LT Std 45 Light" w:cs="Univers LT Std 45 Light"/>
                <w:color w:val="000000"/>
                <w:sz w:val="19"/>
                <w:szCs w:val="19"/>
                <w:lang w:val="en-US" w:eastAsia="en-NZ"/>
              </w:rPr>
              <w:t>2023</w:t>
            </w:r>
            <w:proofErr w:type="gramEnd"/>
            <w:r w:rsidRPr="002F4D1A">
              <w:rPr>
                <w:rFonts w:ascii="Univers LT Std 45 Light" w:eastAsia="Times New Roman" w:hAnsi="Univers LT Std 45 Light" w:cs="Univers LT Std 45 Light"/>
                <w:color w:val="000000"/>
                <w:sz w:val="19"/>
                <w:szCs w:val="19"/>
                <w:lang w:val="en-US" w:eastAsia="en-NZ"/>
              </w:rPr>
              <w:t xml:space="preserve"> were submitted to the same audit procedures by those independent auditors and, based on their audit, they issued their report without modification.</w:t>
            </w:r>
          </w:p>
          <w:p w14:paraId="302D6B67"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1A7DD8" w14:paraId="5A22939F" w14:textId="77777777" w:rsidTr="0051296A">
        <w:trPr>
          <w:trHeight w:val="60"/>
        </w:trPr>
        <w:tc>
          <w:tcPr>
            <w:tcW w:w="8504" w:type="dxa"/>
            <w:gridSpan w:val="2"/>
            <w:shd w:val="solid" w:color="004E98" w:fill="auto"/>
            <w:tcMar>
              <w:top w:w="113" w:type="dxa"/>
              <w:left w:w="113" w:type="dxa"/>
              <w:bottom w:w="113" w:type="dxa"/>
              <w:right w:w="113" w:type="dxa"/>
            </w:tcMar>
          </w:tcPr>
          <w:p w14:paraId="554BDB22" w14:textId="77777777" w:rsidR="002F4D1A" w:rsidRPr="002F4D1A" w:rsidRDefault="002F4D1A" w:rsidP="002F4D1A">
            <w:pPr>
              <w:widowControl w:val="0"/>
              <w:autoSpaceDE w:val="0"/>
              <w:autoSpaceDN w:val="0"/>
              <w:adjustRightInd w:val="0"/>
              <w:spacing w:after="0" w:line="240" w:lineRule="atLeast"/>
              <w:textAlignment w:val="center"/>
              <w:rPr>
                <w:rFonts w:ascii="Univers LT Std 45 Light" w:eastAsia="Times New Roman" w:hAnsi="Univers LT Std 45 Light" w:cs="Univers LT Std 45 Light"/>
                <w:b/>
                <w:bCs/>
                <w:color w:val="FFFFFF"/>
                <w:sz w:val="19"/>
                <w:szCs w:val="19"/>
                <w:lang w:val="en-US" w:eastAsia="en-NZ"/>
              </w:rPr>
            </w:pPr>
            <w:r w:rsidRPr="002F4D1A">
              <w:rPr>
                <w:rFonts w:ascii="Univers LT Std 45 Light" w:eastAsia="Times New Roman" w:hAnsi="Univers LT Std 45 Light" w:cs="Univers LT Std 45 Light"/>
                <w:b/>
                <w:bCs/>
                <w:color w:val="FFFFFF"/>
                <w:sz w:val="19"/>
                <w:szCs w:val="19"/>
                <w:lang w:val="en-US" w:eastAsia="en-NZ"/>
              </w:rPr>
              <w:lastRenderedPageBreak/>
              <w:t>Other information that accompanies the individual and consolidated financial statements and the independent auditors' report</w:t>
            </w:r>
          </w:p>
        </w:tc>
      </w:tr>
      <w:tr w:rsidR="002F4D1A" w:rsidRPr="002F4D1A" w14:paraId="4DAC5358" w14:textId="77777777" w:rsidTr="0051296A">
        <w:trPr>
          <w:trHeight w:val="60"/>
        </w:trPr>
        <w:tc>
          <w:tcPr>
            <w:tcW w:w="8504" w:type="dxa"/>
            <w:gridSpan w:val="2"/>
            <w:tcMar>
              <w:top w:w="113" w:type="dxa"/>
              <w:left w:w="113" w:type="dxa"/>
              <w:bottom w:w="170" w:type="dxa"/>
              <w:right w:w="113" w:type="dxa"/>
            </w:tcMar>
          </w:tcPr>
          <w:p w14:paraId="7B8626A8"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The Management is responsible for the other information. The other information comprises the Management Report.</w:t>
            </w:r>
          </w:p>
          <w:p w14:paraId="6485EA73"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Our opinion on the individual and consolidated financial statements does not cover the other information and we do not express any form of assurance conclusion thereon.</w:t>
            </w:r>
          </w:p>
          <w:p w14:paraId="00801B84"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eastAsia="en-NZ"/>
              </w:rPr>
            </w:pPr>
            <w:r w:rsidRPr="002F4D1A">
              <w:rPr>
                <w:rFonts w:ascii="Univers LT Std 45 Light" w:eastAsia="Times New Roman" w:hAnsi="Univers LT Std 45 Light" w:cs="Univers LT Std 45 Light"/>
                <w:color w:val="000000"/>
                <w:sz w:val="19"/>
                <w:szCs w:val="19"/>
                <w:lang w:val="en-US" w:eastAsia="en-NZ"/>
              </w:rPr>
              <w:t xml:space="preserve">In connection with our audit of the individual and consolidated financial statements, our responsibility is to read the other information and, in doing so, consider whether the other information is materially inconsistent with the individual and consolidated financial </w:t>
            </w:r>
            <w:proofErr w:type="gramStart"/>
            <w:r w:rsidRPr="002F4D1A">
              <w:rPr>
                <w:rFonts w:ascii="Univers LT Std 45 Light" w:eastAsia="Times New Roman" w:hAnsi="Univers LT Std 45 Light" w:cs="Univers LT Std 45 Light"/>
                <w:color w:val="000000"/>
                <w:sz w:val="19"/>
                <w:szCs w:val="19"/>
                <w:lang w:val="en-US" w:eastAsia="en-NZ"/>
              </w:rPr>
              <w:t>statements</w:t>
            </w:r>
            <w:proofErr w:type="gramEnd"/>
            <w:r w:rsidRPr="002F4D1A">
              <w:rPr>
                <w:rFonts w:ascii="Univers LT Std 45 Light" w:eastAsia="Times New Roman" w:hAnsi="Univers LT Std 45 Light" w:cs="Univers LT Std 45 Light"/>
                <w:color w:val="000000"/>
                <w:sz w:val="19"/>
                <w:szCs w:val="19"/>
                <w:lang w:val="en-US" w:eastAsia="en-NZ"/>
              </w:rPr>
              <w:t xml:space="preserve"> or our knowledge obtained in the audit, or otherwise appears to be materially misstated. If, based on the work performed, we conclude that there is material misstatement of the Management Report, we are required to report on such fact. </w:t>
            </w:r>
            <w:proofErr w:type="spellStart"/>
            <w:r w:rsidRPr="002F4D1A">
              <w:rPr>
                <w:rFonts w:ascii="Univers LT Std 45 Light" w:eastAsia="Times New Roman" w:hAnsi="Univers LT Std 45 Light" w:cs="Univers LT Std 45 Light"/>
                <w:color w:val="000000"/>
                <w:sz w:val="19"/>
                <w:szCs w:val="19"/>
                <w:lang w:eastAsia="en-NZ"/>
              </w:rPr>
              <w:t>We</w:t>
            </w:r>
            <w:proofErr w:type="spellEnd"/>
            <w:r w:rsidRPr="002F4D1A">
              <w:rPr>
                <w:rFonts w:ascii="Univers LT Std 45 Light" w:eastAsia="Times New Roman" w:hAnsi="Univers LT Std 45 Light" w:cs="Univers LT Std 45 Light"/>
                <w:color w:val="000000"/>
                <w:sz w:val="19"/>
                <w:szCs w:val="19"/>
                <w:lang w:eastAsia="en-NZ"/>
              </w:rPr>
              <w:t xml:space="preserve"> </w:t>
            </w:r>
            <w:proofErr w:type="spellStart"/>
            <w:r w:rsidRPr="002F4D1A">
              <w:rPr>
                <w:rFonts w:ascii="Univers LT Std 45 Light" w:eastAsia="Times New Roman" w:hAnsi="Univers LT Std 45 Light" w:cs="Univers LT Std 45 Light"/>
                <w:color w:val="000000"/>
                <w:sz w:val="19"/>
                <w:szCs w:val="19"/>
                <w:lang w:eastAsia="en-NZ"/>
              </w:rPr>
              <w:t>have</w:t>
            </w:r>
            <w:proofErr w:type="spellEnd"/>
            <w:r w:rsidRPr="002F4D1A">
              <w:rPr>
                <w:rFonts w:ascii="Univers LT Std 45 Light" w:eastAsia="Times New Roman" w:hAnsi="Univers LT Std 45 Light" w:cs="Univers LT Std 45 Light"/>
                <w:color w:val="000000"/>
                <w:sz w:val="19"/>
                <w:szCs w:val="19"/>
                <w:lang w:eastAsia="en-NZ"/>
              </w:rPr>
              <w:t xml:space="preserve"> </w:t>
            </w:r>
            <w:proofErr w:type="spellStart"/>
            <w:r w:rsidRPr="002F4D1A">
              <w:rPr>
                <w:rFonts w:ascii="Univers LT Std 45 Light" w:eastAsia="Times New Roman" w:hAnsi="Univers LT Std 45 Light" w:cs="Univers LT Std 45 Light"/>
                <w:color w:val="000000"/>
                <w:sz w:val="19"/>
                <w:szCs w:val="19"/>
                <w:lang w:eastAsia="en-NZ"/>
              </w:rPr>
              <w:t>nothing</w:t>
            </w:r>
            <w:proofErr w:type="spellEnd"/>
            <w:r w:rsidRPr="002F4D1A">
              <w:rPr>
                <w:rFonts w:ascii="Univers LT Std 45 Light" w:eastAsia="Times New Roman" w:hAnsi="Univers LT Std 45 Light" w:cs="Univers LT Std 45 Light"/>
                <w:color w:val="000000"/>
                <w:sz w:val="19"/>
                <w:szCs w:val="19"/>
                <w:lang w:eastAsia="en-NZ"/>
              </w:rPr>
              <w:t xml:space="preserve"> </w:t>
            </w:r>
            <w:proofErr w:type="spellStart"/>
            <w:r w:rsidRPr="002F4D1A">
              <w:rPr>
                <w:rFonts w:ascii="Univers LT Std 45 Light" w:eastAsia="Times New Roman" w:hAnsi="Univers LT Std 45 Light" w:cs="Univers LT Std 45 Light"/>
                <w:color w:val="000000"/>
                <w:sz w:val="19"/>
                <w:szCs w:val="19"/>
                <w:lang w:eastAsia="en-NZ"/>
              </w:rPr>
              <w:t>to</w:t>
            </w:r>
            <w:proofErr w:type="spellEnd"/>
            <w:r w:rsidRPr="002F4D1A">
              <w:rPr>
                <w:rFonts w:ascii="Univers LT Std 45 Light" w:eastAsia="Times New Roman" w:hAnsi="Univers LT Std 45 Light" w:cs="Univers LT Std 45 Light"/>
                <w:color w:val="000000"/>
                <w:sz w:val="19"/>
                <w:szCs w:val="19"/>
                <w:lang w:eastAsia="en-NZ"/>
              </w:rPr>
              <w:t xml:space="preserve"> </w:t>
            </w:r>
            <w:proofErr w:type="spellStart"/>
            <w:r w:rsidRPr="002F4D1A">
              <w:rPr>
                <w:rFonts w:ascii="Univers LT Std 45 Light" w:eastAsia="Times New Roman" w:hAnsi="Univers LT Std 45 Light" w:cs="Univers LT Std 45 Light"/>
                <w:color w:val="000000"/>
                <w:sz w:val="19"/>
                <w:szCs w:val="19"/>
                <w:lang w:eastAsia="en-NZ"/>
              </w:rPr>
              <w:t>report</w:t>
            </w:r>
            <w:proofErr w:type="spellEnd"/>
            <w:r w:rsidRPr="002F4D1A">
              <w:rPr>
                <w:rFonts w:ascii="Univers LT Std 45 Light" w:eastAsia="Times New Roman" w:hAnsi="Univers LT Std 45 Light" w:cs="Univers LT Std 45 Light"/>
                <w:color w:val="000000"/>
                <w:sz w:val="19"/>
                <w:szCs w:val="19"/>
                <w:lang w:eastAsia="en-NZ"/>
              </w:rPr>
              <w:t xml:space="preserve"> </w:t>
            </w:r>
            <w:proofErr w:type="spellStart"/>
            <w:r w:rsidRPr="002F4D1A">
              <w:rPr>
                <w:rFonts w:ascii="Univers LT Std 45 Light" w:eastAsia="Times New Roman" w:hAnsi="Univers LT Std 45 Light" w:cs="Univers LT Std 45 Light"/>
                <w:color w:val="000000"/>
                <w:sz w:val="19"/>
                <w:szCs w:val="19"/>
                <w:lang w:eastAsia="en-NZ"/>
              </w:rPr>
              <w:t>on</w:t>
            </w:r>
            <w:proofErr w:type="spellEnd"/>
            <w:r w:rsidRPr="002F4D1A">
              <w:rPr>
                <w:rFonts w:ascii="Univers LT Std 45 Light" w:eastAsia="Times New Roman" w:hAnsi="Univers LT Std 45 Light" w:cs="Univers LT Std 45 Light"/>
                <w:color w:val="000000"/>
                <w:sz w:val="19"/>
                <w:szCs w:val="19"/>
                <w:lang w:eastAsia="en-NZ"/>
              </w:rPr>
              <w:t xml:space="preserve"> </w:t>
            </w:r>
            <w:proofErr w:type="spellStart"/>
            <w:r w:rsidRPr="002F4D1A">
              <w:rPr>
                <w:rFonts w:ascii="Univers LT Std 45 Light" w:eastAsia="Times New Roman" w:hAnsi="Univers LT Std 45 Light" w:cs="Univers LT Std 45 Light"/>
                <w:color w:val="000000"/>
                <w:sz w:val="19"/>
                <w:szCs w:val="19"/>
                <w:lang w:eastAsia="en-NZ"/>
              </w:rPr>
              <w:t>this</w:t>
            </w:r>
            <w:proofErr w:type="spellEnd"/>
            <w:r w:rsidRPr="002F4D1A">
              <w:rPr>
                <w:rFonts w:ascii="Univers LT Std 45 Light" w:eastAsia="Times New Roman" w:hAnsi="Univers LT Std 45 Light" w:cs="Univers LT Std 45 Light"/>
                <w:color w:val="000000"/>
                <w:sz w:val="19"/>
                <w:szCs w:val="19"/>
                <w:lang w:eastAsia="en-NZ"/>
              </w:rPr>
              <w:t>.</w:t>
            </w:r>
          </w:p>
        </w:tc>
      </w:tr>
      <w:tr w:rsidR="002F4D1A" w:rsidRPr="001A7DD8" w14:paraId="75DB77B1" w14:textId="77777777" w:rsidTr="0051296A">
        <w:trPr>
          <w:trHeight w:val="60"/>
        </w:trPr>
        <w:tc>
          <w:tcPr>
            <w:tcW w:w="8504" w:type="dxa"/>
            <w:gridSpan w:val="2"/>
            <w:shd w:val="solid" w:color="004E98" w:fill="auto"/>
            <w:tcMar>
              <w:top w:w="113" w:type="dxa"/>
              <w:left w:w="113" w:type="dxa"/>
              <w:bottom w:w="170" w:type="dxa"/>
              <w:right w:w="113" w:type="dxa"/>
            </w:tcMar>
          </w:tcPr>
          <w:p w14:paraId="6706403E"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bCs/>
                <w:color w:val="000000"/>
                <w:sz w:val="19"/>
                <w:szCs w:val="19"/>
                <w:lang w:val="en-US" w:eastAsia="en-NZ"/>
              </w:rPr>
            </w:pPr>
            <w:r w:rsidRPr="002F4D1A">
              <w:rPr>
                <w:rFonts w:ascii="Univers LT Std 45 Light" w:eastAsia="Times New Roman" w:hAnsi="Univers LT Std 45 Light" w:cs="Univers LT Std 45 Light"/>
                <w:b/>
                <w:bCs/>
                <w:color w:val="FFFFFF"/>
                <w:sz w:val="19"/>
                <w:szCs w:val="19"/>
                <w:lang w:val="en-US" w:eastAsia="en-NZ"/>
              </w:rPr>
              <w:t>Responsibilities of Management and Those Charged with Governance for the Individual and Consolidated Financial Statements</w:t>
            </w:r>
          </w:p>
        </w:tc>
      </w:tr>
      <w:tr w:rsidR="002F4D1A" w:rsidRPr="001A7DD8" w14:paraId="50B80301" w14:textId="77777777" w:rsidTr="0051296A">
        <w:trPr>
          <w:trHeight w:val="3548"/>
        </w:trPr>
        <w:tc>
          <w:tcPr>
            <w:tcW w:w="8504" w:type="dxa"/>
            <w:gridSpan w:val="2"/>
            <w:tcMar>
              <w:top w:w="113" w:type="dxa"/>
              <w:left w:w="113" w:type="dxa"/>
              <w:bottom w:w="170" w:type="dxa"/>
              <w:right w:w="113" w:type="dxa"/>
            </w:tcMar>
          </w:tcPr>
          <w:p w14:paraId="7F8BB416"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Management is responsible for the preparation and fair presentation of these individual and consolidated financial statements in accordance with International Financial Reporting Standards (IFRS) issued by the International Accounting Standards Board (IASB), and for such internal control as management determines is necessary to enable the preparation of consolidated financial statements that are free from material misstatement, whether due to fraud or error.</w:t>
            </w:r>
          </w:p>
          <w:p w14:paraId="2D88BAB0"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In preparing the consolidated financial statements, management is responsible for assessing the Bank's ability to continue as a going concern, disclosing, as applicable, matters related to going concern and using the going concern basis of accounting unless management either intends to liquidate the Bank or to cease operations, or has no realistic alternative but to do so.</w:t>
            </w:r>
          </w:p>
          <w:p w14:paraId="716EADCD"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Those charged with governance are responsible for overseeing the Bank's and its subsidiaries' financial reporting process.</w:t>
            </w:r>
          </w:p>
          <w:p w14:paraId="3E0E96B2"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1A7DD8" w14:paraId="55620D58" w14:textId="77777777" w:rsidTr="0051296A">
        <w:trPr>
          <w:trHeight w:val="60"/>
        </w:trPr>
        <w:tc>
          <w:tcPr>
            <w:tcW w:w="8504" w:type="dxa"/>
            <w:gridSpan w:val="2"/>
            <w:shd w:val="solid" w:color="004E98" w:fill="auto"/>
            <w:tcMar>
              <w:top w:w="113" w:type="dxa"/>
              <w:left w:w="113" w:type="dxa"/>
              <w:bottom w:w="170" w:type="dxa"/>
              <w:right w:w="113" w:type="dxa"/>
            </w:tcMar>
          </w:tcPr>
          <w:p w14:paraId="3E581D1F"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b/>
                <w:bCs/>
                <w:color w:val="000000"/>
                <w:sz w:val="19"/>
                <w:szCs w:val="19"/>
                <w:lang w:val="en-US" w:eastAsia="en-NZ"/>
              </w:rPr>
            </w:pPr>
            <w:r w:rsidRPr="002F4D1A">
              <w:rPr>
                <w:rFonts w:ascii="Univers LT Std 45 Light" w:eastAsia="Times New Roman" w:hAnsi="Univers LT Std 45 Light" w:cs="Univers LT Std 45 Light"/>
                <w:b/>
                <w:bCs/>
                <w:color w:val="FFFFFF"/>
                <w:sz w:val="19"/>
                <w:szCs w:val="19"/>
                <w:lang w:val="en-US" w:eastAsia="en-NZ"/>
              </w:rPr>
              <w:t>Auditors' Responsibilities for the Audit of the Individual and Consolidated Financial Statements</w:t>
            </w:r>
          </w:p>
        </w:tc>
      </w:tr>
      <w:tr w:rsidR="002F4D1A" w:rsidRPr="001A7DD8" w14:paraId="75876329" w14:textId="77777777" w:rsidTr="0051296A">
        <w:trPr>
          <w:trHeight w:val="60"/>
        </w:trPr>
        <w:tc>
          <w:tcPr>
            <w:tcW w:w="8504" w:type="dxa"/>
            <w:gridSpan w:val="2"/>
            <w:tcMar>
              <w:top w:w="113" w:type="dxa"/>
              <w:left w:w="113" w:type="dxa"/>
              <w:bottom w:w="170" w:type="dxa"/>
              <w:right w:w="113" w:type="dxa"/>
            </w:tcMar>
          </w:tcPr>
          <w:p w14:paraId="2DA6D611"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Our objectives are to obtain reasonable assurance about whether individual and the consolidated financial statements </w:t>
            </w:r>
            <w:proofErr w:type="gramStart"/>
            <w:r w:rsidRPr="002F4D1A">
              <w:rPr>
                <w:rFonts w:ascii="Univers LT Std 45 Light" w:eastAsia="Times New Roman" w:hAnsi="Univers LT Std 45 Light" w:cs="Univers LT Std 45 Light"/>
                <w:color w:val="000000"/>
                <w:sz w:val="19"/>
                <w:szCs w:val="19"/>
                <w:lang w:val="en-US" w:eastAsia="en-NZ"/>
              </w:rPr>
              <w:t>as a whole are</w:t>
            </w:r>
            <w:proofErr w:type="gramEnd"/>
            <w:r w:rsidRPr="002F4D1A">
              <w:rPr>
                <w:rFonts w:ascii="Univers LT Std 45 Light" w:eastAsia="Times New Roman" w:hAnsi="Univers LT Std 45 Light" w:cs="Univers LT Std 45 Light"/>
                <w:color w:val="000000"/>
                <w:sz w:val="19"/>
                <w:szCs w:val="19"/>
                <w:lang w:val="en-US" w:eastAsia="en-NZ"/>
              </w:rPr>
              <w:t xml:space="preserve"> free from material misstatement, whether due to fraud or error, and to issue an auditors' report that includes our opinion. 'Reasonable assurance' is a high level of assurance but is not a guarantee that an audit conducted in accordance with Brazilian and International standards on auditing will always detect a material misstatement when it exists. Misstatements can arise from fraud or error and are considered material if, individually or in aggregate, they could reasonably be expected to influence the economic decisions of users taken </w:t>
            </w:r>
            <w:proofErr w:type="gramStart"/>
            <w:r w:rsidRPr="002F4D1A">
              <w:rPr>
                <w:rFonts w:ascii="Univers LT Std 45 Light" w:eastAsia="Times New Roman" w:hAnsi="Univers LT Std 45 Light" w:cs="Univers LT Std 45 Light"/>
                <w:color w:val="000000"/>
                <w:sz w:val="19"/>
                <w:szCs w:val="19"/>
                <w:lang w:val="en-US" w:eastAsia="en-NZ"/>
              </w:rPr>
              <w:t>on the basis of</w:t>
            </w:r>
            <w:proofErr w:type="gramEnd"/>
            <w:r w:rsidRPr="002F4D1A">
              <w:rPr>
                <w:rFonts w:ascii="Univers LT Std 45 Light" w:eastAsia="Times New Roman" w:hAnsi="Univers LT Std 45 Light" w:cs="Univers LT Std 45 Light"/>
                <w:color w:val="000000"/>
                <w:sz w:val="19"/>
                <w:szCs w:val="19"/>
                <w:lang w:val="en-US" w:eastAsia="en-NZ"/>
              </w:rPr>
              <w:t xml:space="preserve"> these individual and consolidated financial statements. As part of an audit in accordance with the Brazilian and International standards on auditing, we exercise professional judgment and maintain professional skepticism throughout the audit. In addition:</w:t>
            </w:r>
          </w:p>
          <w:p w14:paraId="746F0FA2" w14:textId="77777777" w:rsidR="002F4D1A" w:rsidRPr="002F4D1A" w:rsidRDefault="002F4D1A" w:rsidP="002F4D1A">
            <w:pPr>
              <w:widowControl w:val="0"/>
              <w:numPr>
                <w:ilvl w:val="0"/>
                <w:numId w:val="57"/>
              </w:numPr>
              <w:spacing w:after="120" w:line="240" w:lineRule="atLeast"/>
              <w:ind w:left="204" w:hanging="204"/>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Identify and assess the risks of material misstatement of the individual and consolidated financial </w:t>
            </w:r>
            <w:r w:rsidRPr="002F4D1A">
              <w:rPr>
                <w:rFonts w:ascii="Univers LT Std 45 Light" w:eastAsia="Times New Roman" w:hAnsi="Univers LT Std 45 Light" w:cs="Univers LT Std 45 Light"/>
                <w:color w:val="000000"/>
                <w:sz w:val="19"/>
                <w:szCs w:val="19"/>
                <w:lang w:val="en-US" w:eastAsia="en-NZ"/>
              </w:rPr>
              <w:lastRenderedPageBreak/>
              <w:t>statements, whether due to fraud or error, design and perform audit procedures responsive to those risks, and obtain audit evidence that is sufficient and appropriate to provide a basis for our opinion. The risk of not detecting material misstatement resulting from fraud is higher than for one resulting from error, as fraud may involve collusion, forgery, intentional omissions, misrepresentations or the collusion, misrepresentation of internal control.</w:t>
            </w:r>
          </w:p>
          <w:p w14:paraId="63B7A24D" w14:textId="77777777" w:rsidR="002F4D1A" w:rsidRPr="002F4D1A" w:rsidRDefault="002F4D1A" w:rsidP="002F4D1A">
            <w:pPr>
              <w:widowControl w:val="0"/>
              <w:numPr>
                <w:ilvl w:val="0"/>
                <w:numId w:val="57"/>
              </w:numPr>
              <w:spacing w:after="120" w:line="240" w:lineRule="atLeast"/>
              <w:ind w:left="204" w:hanging="204"/>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Obtain an understanding of internal control relevant to the audit </w:t>
            </w:r>
            <w:proofErr w:type="gramStart"/>
            <w:r w:rsidRPr="002F4D1A">
              <w:rPr>
                <w:rFonts w:ascii="Univers LT Std 45 Light" w:eastAsia="Times New Roman" w:hAnsi="Univers LT Std 45 Light" w:cs="Univers LT Std 45 Light"/>
                <w:color w:val="000000"/>
                <w:sz w:val="19"/>
                <w:szCs w:val="19"/>
                <w:lang w:val="en-US" w:eastAsia="en-NZ"/>
              </w:rPr>
              <w:t>in order to</w:t>
            </w:r>
            <w:proofErr w:type="gramEnd"/>
            <w:r w:rsidRPr="002F4D1A">
              <w:rPr>
                <w:rFonts w:ascii="Univers LT Std 45 Light" w:eastAsia="Times New Roman" w:hAnsi="Univers LT Std 45 Light" w:cs="Univers LT Std 45 Light"/>
                <w:color w:val="000000"/>
                <w:sz w:val="19"/>
                <w:szCs w:val="19"/>
                <w:lang w:val="en-US" w:eastAsia="en-NZ"/>
              </w:rPr>
              <w:t xml:space="preserve"> design audit procedures that are appropriate in the circumstances, but not for the purpose of expressing an opinion on the effectiveness of the Company's and its subsidiaries' internal controls.</w:t>
            </w:r>
          </w:p>
          <w:p w14:paraId="16DA45E8" w14:textId="77777777" w:rsidR="002F4D1A" w:rsidRPr="002F4D1A" w:rsidRDefault="002F4D1A" w:rsidP="002F4D1A">
            <w:pPr>
              <w:widowControl w:val="0"/>
              <w:numPr>
                <w:ilvl w:val="0"/>
                <w:numId w:val="57"/>
              </w:numPr>
              <w:spacing w:after="120" w:line="240" w:lineRule="atLeast"/>
              <w:ind w:left="204" w:hanging="204"/>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Evaluate the appropriateness of accounting policies used and the reasonableness of accounting estimates and related disclosures made by management.</w:t>
            </w:r>
          </w:p>
          <w:p w14:paraId="4EB89844" w14:textId="77777777" w:rsidR="002F4D1A" w:rsidRPr="002F4D1A" w:rsidRDefault="002F4D1A" w:rsidP="002F4D1A">
            <w:pPr>
              <w:widowControl w:val="0"/>
              <w:numPr>
                <w:ilvl w:val="0"/>
                <w:numId w:val="57"/>
              </w:numPr>
              <w:spacing w:after="120" w:line="240" w:lineRule="atLeast"/>
              <w:ind w:left="204" w:hanging="204"/>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Conclude on the appropriateness of management's use of the going concern basis of accounting and, based on the audit evidence obtained, whether a material uncertainty exists related to events or conditions that may cast significant doubt on the Company's and its subsidiaries' ability to continue as a going concern. If we conclude that a material uncertainty exists, then we are required to draw attention in our auditors' report to the related disclosures in the individual and consolidated financial statements or, if such disclosures are inadequate, to modify our opinion. Our conclusions are based on the audit evidence obtained up to the date of our report. However, future events or conditions may cause the Company to cease to continue as a going concern.</w:t>
            </w:r>
          </w:p>
          <w:p w14:paraId="1AB65161" w14:textId="77777777" w:rsidR="002F4D1A" w:rsidRPr="002F4D1A" w:rsidRDefault="002F4D1A" w:rsidP="002F4D1A">
            <w:pPr>
              <w:widowControl w:val="0"/>
              <w:numPr>
                <w:ilvl w:val="0"/>
                <w:numId w:val="57"/>
              </w:numPr>
              <w:spacing w:after="120" w:line="240" w:lineRule="atLeast"/>
              <w:ind w:left="204" w:hanging="204"/>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Evaluate the overall presentation, structure and content of the individual and consolidated financial statements, including the disclosures, and whether the individual and consolidated financial statements represent the corresponding transactions and events in a manner that achieves fair presentation.</w:t>
            </w:r>
          </w:p>
          <w:p w14:paraId="5F5CC68F" w14:textId="77777777" w:rsidR="002F4D1A" w:rsidRPr="002F4D1A" w:rsidRDefault="002F4D1A" w:rsidP="002F4D1A">
            <w:pPr>
              <w:widowControl w:val="0"/>
              <w:numPr>
                <w:ilvl w:val="0"/>
                <w:numId w:val="57"/>
              </w:numPr>
              <w:spacing w:after="120" w:line="240" w:lineRule="atLeast"/>
              <w:ind w:left="204" w:hanging="204"/>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Obtain sufficient appropriate audit evidence regarding the financial information of the entities or business activities within the group to express an opinion on the individual and consolidated financial statements. We are responsible for the direction, supervision and performance of the group audit, and therefore for our audit opinion.</w:t>
            </w:r>
          </w:p>
          <w:p w14:paraId="053A515E"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We communicate with management regarding, among other matters, the scope and timing of the planned audit and significant audit findings, including any significant deficiencies in internal control that we identify during our audit.</w:t>
            </w:r>
          </w:p>
          <w:p w14:paraId="29502877"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We also provide those charged with governance with a statement that we have complied with relevant ethical and independence requirements and communicate with them all relationships or issues that could substantially affect our independence, including, when applicable, the actions taken to eliminate the threats or safeguards applied by the Company. </w:t>
            </w:r>
          </w:p>
          <w:p w14:paraId="032D223E"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2F4D1A">
              <w:rPr>
                <w:rFonts w:ascii="Univers LT Std 45 Light" w:eastAsia="Times New Roman" w:hAnsi="Univers LT Std 45 Light" w:cs="Univers LT Std 45 Light"/>
                <w:color w:val="000000"/>
                <w:sz w:val="19"/>
                <w:szCs w:val="19"/>
                <w:lang w:val="en-US" w:eastAsia="en-NZ"/>
              </w:rPr>
              <w:t xml:space="preserve">From the matters communicated with those charged with governance, we determine those matters that were of most significance in the audit of the individual and consolidated financial statements of the current year and are therefore the key audit matters. We describe these matters in our auditors' report unless law or regulation prohibits public disclosure of the matter, or when, in extremely rare circumstances, we determine that the matter should not be communicated in our report because the adverse consequences of doing so may reasonably be expected to outweigh the public interest benefits of such communication. </w:t>
            </w:r>
          </w:p>
        </w:tc>
      </w:tr>
      <w:tr w:rsidR="002F4D1A" w:rsidRPr="001A7DD8" w14:paraId="600C5D96" w14:textId="77777777" w:rsidTr="0051296A">
        <w:trPr>
          <w:trHeight w:val="60"/>
        </w:trPr>
        <w:tc>
          <w:tcPr>
            <w:tcW w:w="8504" w:type="dxa"/>
            <w:gridSpan w:val="2"/>
            <w:tcMar>
              <w:top w:w="113" w:type="dxa"/>
              <w:left w:w="113" w:type="dxa"/>
              <w:bottom w:w="170" w:type="dxa"/>
              <w:right w:w="113" w:type="dxa"/>
            </w:tcMar>
          </w:tcPr>
          <w:p w14:paraId="65F41667"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2F4D1A" w14:paraId="574CE103" w14:textId="77777777" w:rsidTr="0051296A">
        <w:trPr>
          <w:trHeight w:val="60"/>
        </w:trPr>
        <w:tc>
          <w:tcPr>
            <w:tcW w:w="8504" w:type="dxa"/>
            <w:gridSpan w:val="2"/>
            <w:tcMar>
              <w:top w:w="113" w:type="dxa"/>
              <w:left w:w="113" w:type="dxa"/>
              <w:bottom w:w="170" w:type="dxa"/>
              <w:right w:w="113" w:type="dxa"/>
            </w:tcMar>
          </w:tcPr>
          <w:p w14:paraId="556F1A1C" w14:textId="77777777" w:rsid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eastAsia="en-NZ"/>
              </w:rPr>
            </w:pPr>
            <w:r w:rsidRPr="002F4D1A">
              <w:rPr>
                <w:rFonts w:ascii="Univers LT Std 45 Light" w:eastAsia="Times New Roman" w:hAnsi="Univers LT Std 45 Light" w:cs="Univers LT Std 45 Light"/>
                <w:color w:val="000000"/>
                <w:sz w:val="19"/>
                <w:szCs w:val="19"/>
                <w:lang w:eastAsia="en-NZ"/>
              </w:rPr>
              <w:t xml:space="preserve">Brasília, </w:t>
            </w:r>
            <w:proofErr w:type="spellStart"/>
            <w:r w:rsidRPr="002F4D1A">
              <w:rPr>
                <w:rFonts w:ascii="Univers LT Std 45 Light" w:eastAsia="Times New Roman" w:hAnsi="Univers LT Std 45 Light" w:cs="Univers LT Std 45 Light"/>
                <w:color w:val="000000"/>
                <w:sz w:val="19"/>
                <w:szCs w:val="19"/>
                <w:lang w:eastAsia="en-NZ"/>
              </w:rPr>
              <w:t>February</w:t>
            </w:r>
            <w:proofErr w:type="spellEnd"/>
            <w:r w:rsidRPr="002F4D1A">
              <w:rPr>
                <w:rFonts w:ascii="Univers LT Std 45 Light" w:eastAsia="Times New Roman" w:hAnsi="Univers LT Std 45 Light" w:cs="Univers LT Std 45 Light"/>
                <w:color w:val="000000"/>
                <w:sz w:val="19"/>
                <w:szCs w:val="19"/>
                <w:lang w:eastAsia="en-NZ"/>
              </w:rPr>
              <w:t xml:space="preserve"> 14, 2025</w:t>
            </w:r>
          </w:p>
          <w:p w14:paraId="78518C4F" w14:textId="77777777" w:rsidR="002F4D1A" w:rsidRPr="002F4D1A" w:rsidRDefault="002F4D1A" w:rsidP="002F4D1A">
            <w:pPr>
              <w:widowControl w:val="0"/>
              <w:suppressAutoHyphens/>
              <w:autoSpaceDE w:val="0"/>
              <w:autoSpaceDN w:val="0"/>
              <w:adjustRightInd w:val="0"/>
              <w:spacing w:after="0" w:line="240" w:lineRule="atLeast"/>
              <w:textAlignment w:val="center"/>
              <w:rPr>
                <w:rFonts w:ascii="Univers LT Std 45 Light" w:eastAsia="Times New Roman" w:hAnsi="Univers LT Std 45 Light" w:cs="Univers LT Std 45 Light"/>
                <w:color w:val="000000"/>
                <w:sz w:val="19"/>
                <w:szCs w:val="19"/>
                <w:lang w:eastAsia="en-NZ"/>
              </w:rPr>
            </w:pPr>
            <w:r w:rsidRPr="002F4D1A">
              <w:rPr>
                <w:rFonts w:ascii="Univers LT Std 45 Light" w:eastAsia="Times New Roman" w:hAnsi="Univers LT Std 45 Light" w:cs="Univers LT Std 45 Light"/>
                <w:color w:val="000000"/>
                <w:sz w:val="19"/>
                <w:szCs w:val="19"/>
                <w:lang w:eastAsia="en-NZ"/>
              </w:rPr>
              <w:t>KPMG Auditores Independentes</w:t>
            </w:r>
          </w:p>
          <w:p w14:paraId="6B80BD8A" w14:textId="77777777" w:rsidR="002F4D1A" w:rsidRPr="002F4D1A" w:rsidRDefault="002F4D1A" w:rsidP="002F4D1A">
            <w:pPr>
              <w:widowControl w:val="0"/>
              <w:suppressAutoHyphens/>
              <w:autoSpaceDE w:val="0"/>
              <w:autoSpaceDN w:val="0"/>
              <w:adjustRightInd w:val="0"/>
              <w:spacing w:after="0" w:line="240" w:lineRule="atLeast"/>
              <w:textAlignment w:val="center"/>
              <w:rPr>
                <w:rFonts w:ascii="Univers LT Std 45 Light" w:eastAsia="Times New Roman" w:hAnsi="Univers LT Std 45 Light" w:cs="Univers LT Std 45 Light"/>
                <w:color w:val="000000"/>
                <w:sz w:val="19"/>
                <w:szCs w:val="19"/>
                <w:lang w:eastAsia="en-NZ"/>
              </w:rPr>
            </w:pPr>
            <w:r w:rsidRPr="002F4D1A">
              <w:rPr>
                <w:rFonts w:ascii="Univers LT Std 45 Light" w:eastAsia="Times New Roman" w:hAnsi="Univers LT Std 45 Light" w:cs="Univers LT Std 45 Light"/>
                <w:color w:val="000000"/>
                <w:sz w:val="19"/>
                <w:szCs w:val="19"/>
                <w:lang w:eastAsia="en-NZ"/>
              </w:rPr>
              <w:t>CRC SP No. 014428/F-0</w:t>
            </w:r>
          </w:p>
          <w:p w14:paraId="44F4474D" w14:textId="77777777" w:rsidR="002F4D1A" w:rsidRPr="002F4D1A" w:rsidRDefault="002F4D1A"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4"/>
                <w:szCs w:val="4"/>
                <w:lang w:eastAsia="en-NZ"/>
              </w:rPr>
            </w:pPr>
          </w:p>
          <w:p w14:paraId="6A602BAA" w14:textId="77777777" w:rsidR="002F4D1A" w:rsidRPr="002F4D1A" w:rsidRDefault="002F4D1A" w:rsidP="002F4D1A">
            <w:pPr>
              <w:widowControl w:val="0"/>
              <w:suppressAutoHyphens/>
              <w:autoSpaceDE w:val="0"/>
              <w:autoSpaceDN w:val="0"/>
              <w:adjustRightInd w:val="0"/>
              <w:spacing w:after="0" w:line="240" w:lineRule="atLeast"/>
              <w:textAlignment w:val="center"/>
              <w:rPr>
                <w:rFonts w:ascii="Univers LT Std 45 Light" w:eastAsia="Times New Roman" w:hAnsi="Univers LT Std 45 Light" w:cs="Univers LT Std 45 Light"/>
                <w:i/>
                <w:iCs/>
                <w:color w:val="000000"/>
                <w:sz w:val="19"/>
                <w:szCs w:val="19"/>
                <w:lang w:val="en-US" w:eastAsia="en-NZ"/>
              </w:rPr>
            </w:pPr>
            <w:r w:rsidRPr="002F4D1A">
              <w:rPr>
                <w:rFonts w:ascii="Univers LT Std 45 Light" w:eastAsia="Times New Roman" w:hAnsi="Univers LT Std 45 Light" w:cs="Univers LT Std 45 Light"/>
                <w:i/>
                <w:iCs/>
                <w:color w:val="000000"/>
                <w:sz w:val="19"/>
                <w:szCs w:val="19"/>
                <w:lang w:val="en-US" w:eastAsia="en-NZ"/>
              </w:rPr>
              <w:t>Original report in Portuguese signed by</w:t>
            </w:r>
          </w:p>
          <w:p w14:paraId="0677F8AB" w14:textId="77777777" w:rsidR="002F4D1A" w:rsidRPr="002F4D1A" w:rsidRDefault="002F4D1A" w:rsidP="002F4D1A">
            <w:pPr>
              <w:widowControl w:val="0"/>
              <w:suppressAutoHyphens/>
              <w:autoSpaceDE w:val="0"/>
              <w:autoSpaceDN w:val="0"/>
              <w:adjustRightInd w:val="0"/>
              <w:spacing w:after="0" w:line="240" w:lineRule="atLeast"/>
              <w:textAlignment w:val="center"/>
              <w:rPr>
                <w:rFonts w:ascii="Univers LT Std 45 Light" w:eastAsia="Times New Roman" w:hAnsi="Univers LT Std 45 Light" w:cs="Univers LT Std 45 Light"/>
                <w:color w:val="000000"/>
                <w:sz w:val="19"/>
                <w:szCs w:val="19"/>
                <w:lang w:eastAsia="en-NZ"/>
              </w:rPr>
            </w:pPr>
            <w:r w:rsidRPr="002F4D1A">
              <w:rPr>
                <w:rFonts w:ascii="Univers LT Std 45 Light" w:eastAsia="Times New Roman" w:hAnsi="Univers LT Std 45 Light" w:cs="Univers LT Std 45 Light"/>
                <w:color w:val="000000"/>
                <w:sz w:val="19"/>
                <w:szCs w:val="19"/>
                <w:lang w:eastAsia="en-NZ"/>
              </w:rPr>
              <w:t>Pedro Henrique Moura Machado</w:t>
            </w:r>
          </w:p>
          <w:p w14:paraId="598B7D25" w14:textId="5E763420" w:rsidR="002F4D1A" w:rsidRPr="002F4D1A" w:rsidRDefault="002F4D1A" w:rsidP="0023270A">
            <w:pPr>
              <w:widowControl w:val="0"/>
              <w:suppressAutoHyphens/>
              <w:autoSpaceDE w:val="0"/>
              <w:autoSpaceDN w:val="0"/>
              <w:adjustRightInd w:val="0"/>
              <w:spacing w:after="0" w:line="240" w:lineRule="atLeast"/>
              <w:textAlignment w:val="center"/>
              <w:rPr>
                <w:rFonts w:ascii="Univers LT Std 45 Light" w:eastAsia="Times New Roman" w:hAnsi="Univers LT Std 45 Light" w:cs="Univers LT Std 45 Light"/>
                <w:color w:val="000000"/>
                <w:sz w:val="19"/>
                <w:szCs w:val="19"/>
                <w:lang w:eastAsia="en-NZ"/>
              </w:rPr>
            </w:pPr>
            <w:proofErr w:type="spellStart"/>
            <w:r w:rsidRPr="002F4D1A">
              <w:rPr>
                <w:rFonts w:ascii="Univers LT Std 45 Light" w:eastAsia="Times New Roman" w:hAnsi="Univers LT Std 45 Light" w:cs="Univers LT Std 45 Light"/>
                <w:color w:val="000000"/>
                <w:sz w:val="19"/>
                <w:szCs w:val="19"/>
                <w:lang w:eastAsia="en-NZ"/>
              </w:rPr>
              <w:t>Accountant</w:t>
            </w:r>
            <w:proofErr w:type="spellEnd"/>
            <w:r w:rsidRPr="002F4D1A">
              <w:rPr>
                <w:rFonts w:ascii="Univers LT Std 45 Light" w:eastAsia="Times New Roman" w:hAnsi="Univers LT Std 45 Light" w:cs="Univers LT Std 45 Light"/>
                <w:color w:val="000000"/>
                <w:sz w:val="19"/>
                <w:szCs w:val="19"/>
                <w:lang w:eastAsia="en-NZ"/>
              </w:rPr>
              <w:t xml:space="preserve"> CRC GO-022139/O-4</w:t>
            </w:r>
          </w:p>
        </w:tc>
      </w:tr>
    </w:tbl>
    <w:p w14:paraId="08561E40" w14:textId="77777777" w:rsidR="002F4D1A" w:rsidRPr="002F4D1A" w:rsidRDefault="002F4D1A" w:rsidP="00572581">
      <w:pPr>
        <w:spacing w:before="120" w:after="120" w:line="276" w:lineRule="auto"/>
        <w:rPr>
          <w:rFonts w:ascii="Arial" w:hAnsi="Arial" w:cs="Arial"/>
          <w:b/>
          <w:bCs/>
          <w:color w:val="1F3864" w:themeColor="accent1" w:themeShade="80"/>
          <w:sz w:val="18"/>
          <w:szCs w:val="18"/>
        </w:rPr>
        <w:sectPr w:rsidR="002F4D1A" w:rsidRPr="002F4D1A" w:rsidSect="0023270A">
          <w:headerReference w:type="default" r:id="rId24"/>
          <w:footerReference w:type="default" r:id="rId25"/>
          <w:headerReference w:type="first" r:id="rId26"/>
          <w:footerReference w:type="first" r:id="rId27"/>
          <w:pgSz w:w="11907" w:h="16840" w:code="9"/>
          <w:pgMar w:top="1440" w:right="1440" w:bottom="1440" w:left="1440" w:header="709" w:footer="709" w:gutter="0"/>
          <w:pgNumType w:start="2"/>
          <w:cols w:space="720"/>
          <w:titlePg/>
          <w:docGrid w:linePitch="299"/>
        </w:sectPr>
      </w:pPr>
    </w:p>
    <w:p w14:paraId="067218E4" w14:textId="2F54E33B" w:rsidR="00572581" w:rsidRDefault="00572581" w:rsidP="00572581">
      <w:pPr>
        <w:spacing w:before="120" w:after="120" w:line="276" w:lineRule="auto"/>
        <w:rPr>
          <w:rFonts w:ascii="Arial" w:hAnsi="Arial" w:cs="Arial"/>
          <w:b/>
          <w:bCs/>
          <w:color w:val="1F3864" w:themeColor="accent1" w:themeShade="80"/>
          <w:sz w:val="18"/>
          <w:szCs w:val="18"/>
          <w:lang w:val="en-US"/>
        </w:rPr>
      </w:pPr>
      <w:bookmarkStart w:id="126" w:name="AUDIT"/>
      <w:r w:rsidRPr="002A027C">
        <w:rPr>
          <w:rFonts w:ascii="Arial" w:hAnsi="Arial" w:cs="Arial"/>
          <w:b/>
          <w:bCs/>
          <w:color w:val="1F3864" w:themeColor="accent1" w:themeShade="80"/>
          <w:sz w:val="18"/>
          <w:szCs w:val="18"/>
          <w:lang w:val="en-US"/>
        </w:rPr>
        <w:lastRenderedPageBreak/>
        <w:t>AUDIT</w:t>
      </w:r>
      <w:bookmarkEnd w:id="126"/>
      <w:r w:rsidRPr="002A027C">
        <w:rPr>
          <w:rFonts w:ascii="Arial" w:hAnsi="Arial" w:cs="Arial"/>
          <w:b/>
          <w:bCs/>
          <w:color w:val="1F3864" w:themeColor="accent1" w:themeShade="80"/>
          <w:sz w:val="18"/>
          <w:szCs w:val="18"/>
          <w:lang w:val="en-US"/>
        </w:rPr>
        <w:t xml:space="preserve"> COMMITTEE REPORT SUMMARY - FISCAL YEAR 202</w:t>
      </w:r>
      <w:r w:rsidR="001408C9">
        <w:rPr>
          <w:rFonts w:ascii="Arial" w:hAnsi="Arial" w:cs="Arial"/>
          <w:b/>
          <w:bCs/>
          <w:color w:val="1F3864" w:themeColor="accent1" w:themeShade="80"/>
          <w:sz w:val="18"/>
          <w:szCs w:val="18"/>
          <w:lang w:val="en-US"/>
        </w:rPr>
        <w:t>4</w:t>
      </w:r>
    </w:p>
    <w:p w14:paraId="3C0AC159" w14:textId="77777777" w:rsidR="00572581" w:rsidRPr="00572581" w:rsidRDefault="00572581" w:rsidP="00572581">
      <w:pPr>
        <w:spacing w:before="240" w:after="240"/>
        <w:rPr>
          <w:rFonts w:ascii="Arial" w:hAnsi="Arial" w:cs="Arial"/>
          <w:color w:val="1F3864" w:themeColor="accent1" w:themeShade="80"/>
          <w:sz w:val="18"/>
          <w:szCs w:val="18"/>
          <w:lang w:val="en-US"/>
        </w:rPr>
      </w:pPr>
      <w:r w:rsidRPr="00572581">
        <w:rPr>
          <w:rFonts w:ascii="Arial" w:hAnsi="Arial" w:cs="Arial"/>
          <w:b/>
          <w:bCs/>
          <w:color w:val="1F3864" w:themeColor="accent1" w:themeShade="80"/>
          <w:sz w:val="18"/>
          <w:szCs w:val="18"/>
          <w:lang w:val="en-US"/>
        </w:rPr>
        <w:t>Introduction</w:t>
      </w:r>
      <w:r w:rsidRPr="00572581">
        <w:rPr>
          <w:rFonts w:ascii="Arial" w:hAnsi="Arial" w:cs="Arial"/>
          <w:color w:val="1F3864" w:themeColor="accent1" w:themeShade="80"/>
          <w:sz w:val="18"/>
          <w:szCs w:val="18"/>
          <w:lang w:val="en-US"/>
        </w:rPr>
        <w:t xml:space="preserve"> </w:t>
      </w:r>
    </w:p>
    <w:p w14:paraId="03A84888"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 xml:space="preserve">The Audit Committee was established at BB </w:t>
      </w:r>
      <w:proofErr w:type="spellStart"/>
      <w:r w:rsidRPr="00572581">
        <w:rPr>
          <w:rFonts w:ascii="Arial" w:hAnsi="Arial" w:cs="Arial"/>
          <w:sz w:val="18"/>
          <w:szCs w:val="18"/>
          <w:lang w:val="en-US"/>
        </w:rPr>
        <w:t>Seguridade</w:t>
      </w:r>
      <w:proofErr w:type="spellEnd"/>
      <w:r w:rsidRPr="00572581">
        <w:rPr>
          <w:rFonts w:ascii="Arial" w:hAnsi="Arial" w:cs="Arial"/>
          <w:sz w:val="18"/>
          <w:szCs w:val="18"/>
          <w:lang w:val="en-US"/>
        </w:rPr>
        <w:t xml:space="preserve"> </w:t>
      </w:r>
      <w:proofErr w:type="spellStart"/>
      <w:r w:rsidRPr="00572581">
        <w:rPr>
          <w:rFonts w:ascii="Arial" w:hAnsi="Arial" w:cs="Arial"/>
          <w:sz w:val="18"/>
          <w:szCs w:val="18"/>
          <w:lang w:val="en-US"/>
        </w:rPr>
        <w:t>Participações</w:t>
      </w:r>
      <w:proofErr w:type="spellEnd"/>
      <w:r w:rsidRPr="00572581">
        <w:rPr>
          <w:rFonts w:ascii="Arial" w:hAnsi="Arial" w:cs="Arial"/>
          <w:sz w:val="18"/>
          <w:szCs w:val="18"/>
          <w:lang w:val="en-US"/>
        </w:rPr>
        <w:t xml:space="preserve"> S.A. in 2015. It is a statutory body that advises the Board of Directors, acting permanently and independently, with the primary purpose of evaluating and expressing opinions on the quality and integrity of the Company's financial statements; the effectiveness of the internal control system and Internal Audit; the performance of the External Auditor; the Company's risk exposures; and the adequacy of transactions with related parties. The Internal Regulations of the Committee, approved by the Board of Directors, are available at BB </w:t>
      </w:r>
      <w:proofErr w:type="spellStart"/>
      <w:r w:rsidRPr="00572581">
        <w:rPr>
          <w:rFonts w:ascii="Arial" w:hAnsi="Arial" w:cs="Arial"/>
          <w:sz w:val="18"/>
          <w:szCs w:val="18"/>
          <w:lang w:val="en-US"/>
        </w:rPr>
        <w:t>Seguridade's</w:t>
      </w:r>
      <w:proofErr w:type="spellEnd"/>
      <w:r w:rsidRPr="00572581">
        <w:rPr>
          <w:rFonts w:ascii="Arial" w:hAnsi="Arial" w:cs="Arial"/>
          <w:sz w:val="18"/>
          <w:szCs w:val="18"/>
          <w:lang w:val="en-US"/>
        </w:rPr>
        <w:t xml:space="preserve"> website (</w:t>
      </w:r>
      <w:hyperlink r:id="rId28" w:history="1">
        <w:r w:rsidRPr="00572581">
          <w:rPr>
            <w:rStyle w:val="Hyperlink"/>
            <w:rFonts w:ascii="Arial" w:hAnsi="Arial" w:cs="Arial"/>
            <w:sz w:val="18"/>
            <w:szCs w:val="18"/>
            <w:lang w:val="en-US"/>
          </w:rPr>
          <w:t>https://www.bbseguridaderi.com.br/sustentabilidade-e-governanca/administracao-e-comites/</w:t>
        </w:r>
      </w:hyperlink>
      <w:r w:rsidRPr="00572581">
        <w:rPr>
          <w:rFonts w:ascii="Arial" w:hAnsi="Arial" w:cs="Arial"/>
          <w:sz w:val="18"/>
          <w:szCs w:val="18"/>
          <w:lang w:val="en-US"/>
        </w:rPr>
        <w:t xml:space="preserve">) </w:t>
      </w:r>
    </w:p>
    <w:p w14:paraId="69F32AAC"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As provided in the Internal Regulations, following the adherence of controlled companies to the single Audit Committee, the composition became up to 05 (five) members, with 01 (one) member appointed by the minority shareholders' representative, 01 (one) independent member of the Board of Directors, and the remaining 03 (three) members appointed by other members of the Board of Directors.</w:t>
      </w:r>
    </w:p>
    <w:p w14:paraId="30B8FB33"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The Management is responsible for preparing and ensuring the integrity of the financial statements, managing risks, defining, testing, and maintaining an effective internal control system, and ensuring compliance with legal and regulatory standards.</w:t>
      </w:r>
    </w:p>
    <w:p w14:paraId="4389B0E3"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The Internal Audit is responsible for conducting periodic work, focusing on the main risks, independently evaluating the actions of risk management and the adequacy of governance and internal controls.</w:t>
      </w:r>
    </w:p>
    <w:p w14:paraId="1453DABF"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The External Audit conducts an independent audit of the financial statements. It also evaluates, in the context of the external auditor's work, the quality and adequacy of the internal control system for financial statement purposes and compliance with legal and regulatory provisions.</w:t>
      </w:r>
    </w:p>
    <w:p w14:paraId="6FFB8289" w14:textId="77777777" w:rsidR="00572581" w:rsidRPr="00572581" w:rsidRDefault="00572581" w:rsidP="00572581">
      <w:pPr>
        <w:rPr>
          <w:rFonts w:ascii="Arial" w:hAnsi="Arial" w:cs="Arial"/>
          <w:sz w:val="18"/>
          <w:szCs w:val="18"/>
          <w:lang w:val="en-US"/>
        </w:rPr>
      </w:pPr>
      <w:r w:rsidRPr="00572581">
        <w:rPr>
          <w:rFonts w:ascii="Arial" w:hAnsi="Arial" w:cs="Arial"/>
          <w:b/>
          <w:bCs/>
          <w:sz w:val="18"/>
          <w:szCs w:val="18"/>
          <w:lang w:val="en-US"/>
        </w:rPr>
        <w:t>Main Activities</w:t>
      </w:r>
      <w:r w:rsidRPr="00572581">
        <w:rPr>
          <w:rFonts w:ascii="Arial" w:hAnsi="Arial" w:cs="Arial"/>
          <w:sz w:val="18"/>
          <w:szCs w:val="18"/>
          <w:lang w:val="en-US"/>
        </w:rPr>
        <w:t xml:space="preserve"> </w:t>
      </w:r>
    </w:p>
    <w:p w14:paraId="1ECBC7F8"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 xml:space="preserve">From January 1 to December 31, 2024, the Committee conducted diligences and requested documents and information from the management of BB </w:t>
      </w:r>
      <w:proofErr w:type="spellStart"/>
      <w:r w:rsidRPr="00572581">
        <w:rPr>
          <w:rFonts w:ascii="Arial" w:hAnsi="Arial" w:cs="Arial"/>
          <w:sz w:val="18"/>
          <w:szCs w:val="18"/>
          <w:lang w:val="en-US"/>
        </w:rPr>
        <w:t>Seguridade</w:t>
      </w:r>
      <w:proofErr w:type="spellEnd"/>
      <w:r w:rsidRPr="00572581">
        <w:rPr>
          <w:rFonts w:ascii="Arial" w:hAnsi="Arial" w:cs="Arial"/>
          <w:sz w:val="18"/>
          <w:szCs w:val="18"/>
          <w:lang w:val="en-US"/>
        </w:rPr>
        <w:t xml:space="preserve">, BB </w:t>
      </w:r>
      <w:proofErr w:type="spellStart"/>
      <w:r w:rsidRPr="00572581">
        <w:rPr>
          <w:rFonts w:ascii="Arial" w:hAnsi="Arial" w:cs="Arial"/>
          <w:sz w:val="18"/>
          <w:szCs w:val="18"/>
          <w:lang w:val="en-US"/>
        </w:rPr>
        <w:t>Corretora</w:t>
      </w:r>
      <w:proofErr w:type="spellEnd"/>
      <w:r w:rsidRPr="00572581">
        <w:rPr>
          <w:rFonts w:ascii="Arial" w:hAnsi="Arial" w:cs="Arial"/>
          <w:sz w:val="18"/>
          <w:szCs w:val="18"/>
          <w:lang w:val="en-US"/>
        </w:rPr>
        <w:t xml:space="preserve">, and BB </w:t>
      </w:r>
      <w:proofErr w:type="spellStart"/>
      <w:r w:rsidRPr="00572581">
        <w:rPr>
          <w:rFonts w:ascii="Arial" w:hAnsi="Arial" w:cs="Arial"/>
          <w:sz w:val="18"/>
          <w:szCs w:val="18"/>
          <w:lang w:val="en-US"/>
        </w:rPr>
        <w:t>Seguros</w:t>
      </w:r>
      <w:proofErr w:type="spellEnd"/>
      <w:r w:rsidRPr="00572581">
        <w:rPr>
          <w:rFonts w:ascii="Arial" w:hAnsi="Arial" w:cs="Arial"/>
          <w:sz w:val="18"/>
          <w:szCs w:val="18"/>
          <w:lang w:val="en-US"/>
        </w:rPr>
        <w:t>, the risk and internal control manager, and the internal and external auditors. The activities carried out in 2024, recorded in minutes, covered the set of responsibilities assigned to the body and are summarized below.</w:t>
      </w:r>
    </w:p>
    <w:p w14:paraId="0AC334DC"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The Audit Committee specifically addressed issues related to financial statements, internal control systems, accounting processes, tax processes, risk management (with monitoring of the work of the Risk and Capital Committee), and matters related to transactions with related parties. Where it identified the need for improvement, it recommended enhancements.</w:t>
      </w:r>
    </w:p>
    <w:p w14:paraId="7DCFA57F"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It maintained dialogue with the internal and external audits, during which it reviewed their plans and learned about the results of the main works, their conclusions, and recommendations.</w:t>
      </w:r>
    </w:p>
    <w:p w14:paraId="220D0794"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 xml:space="preserve">It reviewed the financial statements, prior to disclosure, of BB </w:t>
      </w:r>
      <w:proofErr w:type="spellStart"/>
      <w:r w:rsidRPr="00572581">
        <w:rPr>
          <w:rFonts w:ascii="Arial" w:hAnsi="Arial" w:cs="Arial"/>
          <w:sz w:val="18"/>
          <w:szCs w:val="18"/>
          <w:lang w:val="en-US"/>
        </w:rPr>
        <w:t>Seguridade</w:t>
      </w:r>
      <w:proofErr w:type="spellEnd"/>
      <w:r w:rsidRPr="00572581">
        <w:rPr>
          <w:rFonts w:ascii="Arial" w:hAnsi="Arial" w:cs="Arial"/>
          <w:sz w:val="18"/>
          <w:szCs w:val="18"/>
          <w:lang w:val="en-US"/>
        </w:rPr>
        <w:t xml:space="preserve">, BB </w:t>
      </w:r>
      <w:proofErr w:type="spellStart"/>
      <w:r w:rsidRPr="00572581">
        <w:rPr>
          <w:rFonts w:ascii="Arial" w:hAnsi="Arial" w:cs="Arial"/>
          <w:sz w:val="18"/>
          <w:szCs w:val="18"/>
          <w:lang w:val="en-US"/>
        </w:rPr>
        <w:t>Corretora</w:t>
      </w:r>
      <w:proofErr w:type="spellEnd"/>
      <w:r w:rsidRPr="00572581">
        <w:rPr>
          <w:rFonts w:ascii="Arial" w:hAnsi="Arial" w:cs="Arial"/>
          <w:sz w:val="18"/>
          <w:szCs w:val="18"/>
          <w:lang w:val="en-US"/>
        </w:rPr>
        <w:t xml:space="preserve">, and BB </w:t>
      </w:r>
      <w:proofErr w:type="spellStart"/>
      <w:r w:rsidRPr="00572581">
        <w:rPr>
          <w:rFonts w:ascii="Arial" w:hAnsi="Arial" w:cs="Arial"/>
          <w:sz w:val="18"/>
          <w:szCs w:val="18"/>
          <w:lang w:val="en-US"/>
        </w:rPr>
        <w:t>Seguros</w:t>
      </w:r>
      <w:proofErr w:type="spellEnd"/>
      <w:r w:rsidRPr="00572581">
        <w:rPr>
          <w:rFonts w:ascii="Arial" w:hAnsi="Arial" w:cs="Arial"/>
          <w:sz w:val="18"/>
          <w:szCs w:val="18"/>
          <w:lang w:val="en-US"/>
        </w:rPr>
        <w:t>, as well as the explanatory notes and the Management report, and discussed with the external auditor their reports and findings.</w:t>
      </w:r>
    </w:p>
    <w:p w14:paraId="68E877C7" w14:textId="77777777" w:rsidR="00572581" w:rsidRPr="00572581" w:rsidRDefault="00572581" w:rsidP="00572581">
      <w:pPr>
        <w:rPr>
          <w:rFonts w:ascii="Arial" w:hAnsi="Arial" w:cs="Arial"/>
          <w:sz w:val="18"/>
          <w:szCs w:val="18"/>
          <w:lang w:val="en-US"/>
        </w:rPr>
      </w:pPr>
      <w:r w:rsidRPr="00572581">
        <w:rPr>
          <w:rFonts w:ascii="Arial" w:hAnsi="Arial" w:cs="Arial"/>
          <w:b/>
          <w:bCs/>
          <w:sz w:val="18"/>
          <w:szCs w:val="18"/>
          <w:lang w:val="en-US"/>
        </w:rPr>
        <w:t>Conclusions</w:t>
      </w:r>
      <w:r w:rsidRPr="00572581">
        <w:rPr>
          <w:rFonts w:ascii="Arial" w:hAnsi="Arial" w:cs="Arial"/>
          <w:sz w:val="18"/>
          <w:szCs w:val="18"/>
          <w:lang w:val="en-US"/>
        </w:rPr>
        <w:t xml:space="preserve"> </w:t>
      </w:r>
    </w:p>
    <w:p w14:paraId="39480448"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t xml:space="preserve">Based on the activities carried out and considering the responsibilities and limitations inherent to the scope of its activities, the Audit Committee considers that: </w:t>
      </w:r>
    </w:p>
    <w:p w14:paraId="1AD902B8" w14:textId="77777777" w:rsidR="00572581" w:rsidRPr="00572581" w:rsidRDefault="00572581" w:rsidP="00572581">
      <w:pPr>
        <w:ind w:left="708"/>
        <w:rPr>
          <w:rFonts w:ascii="Arial" w:hAnsi="Arial" w:cs="Arial"/>
          <w:sz w:val="18"/>
          <w:szCs w:val="18"/>
          <w:lang w:val="en-US"/>
        </w:rPr>
      </w:pPr>
      <w:r w:rsidRPr="00572581">
        <w:rPr>
          <w:rFonts w:ascii="Arial" w:hAnsi="Arial" w:cs="Arial"/>
          <w:sz w:val="18"/>
          <w:szCs w:val="18"/>
          <w:lang w:val="en-US"/>
        </w:rPr>
        <w:t xml:space="preserve">a) The internal controls of the Companies evolved in 2024 and were adequate to the size and complexity of the businesses and are subject to constant attention by </w:t>
      </w:r>
      <w:proofErr w:type="gramStart"/>
      <w:r w:rsidRPr="00572581">
        <w:rPr>
          <w:rFonts w:ascii="Arial" w:hAnsi="Arial" w:cs="Arial"/>
          <w:sz w:val="18"/>
          <w:szCs w:val="18"/>
          <w:lang w:val="en-US"/>
        </w:rPr>
        <w:t>Management;</w:t>
      </w:r>
      <w:proofErr w:type="gramEnd"/>
      <w:r w:rsidRPr="00572581">
        <w:rPr>
          <w:rFonts w:ascii="Arial" w:hAnsi="Arial" w:cs="Arial"/>
          <w:sz w:val="18"/>
          <w:szCs w:val="18"/>
          <w:lang w:val="en-US"/>
        </w:rPr>
        <w:t xml:space="preserve"> </w:t>
      </w:r>
    </w:p>
    <w:p w14:paraId="124A080A" w14:textId="77777777" w:rsidR="00572581" w:rsidRPr="00572581" w:rsidRDefault="00572581" w:rsidP="00572581">
      <w:pPr>
        <w:ind w:left="708"/>
        <w:rPr>
          <w:rFonts w:ascii="Arial" w:hAnsi="Arial" w:cs="Arial"/>
          <w:sz w:val="18"/>
          <w:szCs w:val="18"/>
          <w:lang w:val="en-US"/>
        </w:rPr>
      </w:pPr>
      <w:r w:rsidRPr="00572581">
        <w:rPr>
          <w:rFonts w:ascii="Arial" w:hAnsi="Arial" w:cs="Arial"/>
          <w:sz w:val="18"/>
          <w:szCs w:val="18"/>
          <w:lang w:val="en-US"/>
        </w:rPr>
        <w:t xml:space="preserve">b) The Internal Audit, with its own budget and structure, performed its functions with independence, objectivity, and </w:t>
      </w:r>
      <w:proofErr w:type="gramStart"/>
      <w:r w:rsidRPr="00572581">
        <w:rPr>
          <w:rFonts w:ascii="Arial" w:hAnsi="Arial" w:cs="Arial"/>
          <w:sz w:val="18"/>
          <w:szCs w:val="18"/>
          <w:lang w:val="en-US"/>
        </w:rPr>
        <w:t>quality;</w:t>
      </w:r>
      <w:proofErr w:type="gramEnd"/>
      <w:r w:rsidRPr="00572581">
        <w:rPr>
          <w:rFonts w:ascii="Arial" w:hAnsi="Arial" w:cs="Arial"/>
          <w:sz w:val="18"/>
          <w:szCs w:val="18"/>
          <w:lang w:val="en-US"/>
        </w:rPr>
        <w:t xml:space="preserve"> </w:t>
      </w:r>
    </w:p>
    <w:p w14:paraId="3D232E24" w14:textId="77777777" w:rsidR="00572581" w:rsidRPr="00572581" w:rsidRDefault="00572581" w:rsidP="00572581">
      <w:pPr>
        <w:ind w:left="708"/>
        <w:rPr>
          <w:rFonts w:ascii="Arial" w:hAnsi="Arial" w:cs="Arial"/>
          <w:sz w:val="18"/>
          <w:szCs w:val="18"/>
          <w:lang w:val="en-US"/>
        </w:rPr>
      </w:pPr>
      <w:r w:rsidRPr="00572581">
        <w:rPr>
          <w:rFonts w:ascii="Arial" w:hAnsi="Arial" w:cs="Arial"/>
          <w:sz w:val="18"/>
          <w:szCs w:val="18"/>
          <w:lang w:val="en-US"/>
        </w:rPr>
        <w:t xml:space="preserve">c) The work and information provided by the External Auditor were adequate and supported the Committee's opinion on the integrity of the financial statements. No occurrences were identified that could compromise its </w:t>
      </w:r>
      <w:proofErr w:type="gramStart"/>
      <w:r w:rsidRPr="00572581">
        <w:rPr>
          <w:rFonts w:ascii="Arial" w:hAnsi="Arial" w:cs="Arial"/>
          <w:sz w:val="18"/>
          <w:szCs w:val="18"/>
          <w:lang w:val="en-US"/>
        </w:rPr>
        <w:t>independence;</w:t>
      </w:r>
      <w:proofErr w:type="gramEnd"/>
      <w:r w:rsidRPr="00572581">
        <w:rPr>
          <w:rFonts w:ascii="Arial" w:hAnsi="Arial" w:cs="Arial"/>
          <w:sz w:val="18"/>
          <w:szCs w:val="18"/>
          <w:lang w:val="en-US"/>
        </w:rPr>
        <w:t xml:space="preserve"> </w:t>
      </w:r>
    </w:p>
    <w:p w14:paraId="09ADF200" w14:textId="77777777" w:rsidR="00572581" w:rsidRPr="00572581" w:rsidRDefault="00572581" w:rsidP="00572581">
      <w:pPr>
        <w:ind w:firstLine="708"/>
        <w:rPr>
          <w:rFonts w:ascii="Arial" w:hAnsi="Arial" w:cs="Arial"/>
          <w:sz w:val="18"/>
          <w:szCs w:val="18"/>
          <w:lang w:val="en-US"/>
        </w:rPr>
      </w:pPr>
      <w:r w:rsidRPr="00572581">
        <w:rPr>
          <w:rFonts w:ascii="Arial" w:hAnsi="Arial" w:cs="Arial"/>
          <w:sz w:val="18"/>
          <w:szCs w:val="18"/>
          <w:lang w:val="en-US"/>
        </w:rPr>
        <w:lastRenderedPageBreak/>
        <w:t xml:space="preserve">d) The internal risk management processes evolved compared to the previous </w:t>
      </w:r>
      <w:proofErr w:type="gramStart"/>
      <w:r w:rsidRPr="00572581">
        <w:rPr>
          <w:rFonts w:ascii="Arial" w:hAnsi="Arial" w:cs="Arial"/>
          <w:sz w:val="18"/>
          <w:szCs w:val="18"/>
          <w:lang w:val="en-US"/>
        </w:rPr>
        <w:t>period;</w:t>
      </w:r>
      <w:proofErr w:type="gramEnd"/>
      <w:r w:rsidRPr="00572581">
        <w:rPr>
          <w:rFonts w:ascii="Arial" w:hAnsi="Arial" w:cs="Arial"/>
          <w:sz w:val="18"/>
          <w:szCs w:val="18"/>
          <w:lang w:val="en-US"/>
        </w:rPr>
        <w:t xml:space="preserve"> </w:t>
      </w:r>
    </w:p>
    <w:p w14:paraId="71299215" w14:textId="77777777" w:rsidR="00572581" w:rsidRPr="00572581" w:rsidRDefault="00572581" w:rsidP="00572581">
      <w:pPr>
        <w:ind w:left="708"/>
        <w:rPr>
          <w:rFonts w:ascii="Arial" w:hAnsi="Arial" w:cs="Arial"/>
          <w:sz w:val="18"/>
          <w:szCs w:val="18"/>
          <w:lang w:val="en-US"/>
        </w:rPr>
      </w:pPr>
      <w:r w:rsidRPr="00572581">
        <w:rPr>
          <w:rFonts w:ascii="Arial" w:hAnsi="Arial" w:cs="Arial"/>
          <w:sz w:val="18"/>
          <w:szCs w:val="18"/>
          <w:lang w:val="en-US"/>
        </w:rPr>
        <w:t>e) Based on the opinion and work carried out by the CTPR, the conclusions of the internal and external audits in this regard, and the disclosures in the explanatory notes of the financial statements for the fiscal year, the transactions with related parties were adequately conducted and disclosed.</w:t>
      </w:r>
    </w:p>
    <w:p w14:paraId="62D636A6" w14:textId="77777777" w:rsidR="00572581" w:rsidRDefault="00572581" w:rsidP="00572581">
      <w:pPr>
        <w:ind w:firstLine="708"/>
        <w:rPr>
          <w:rFonts w:ascii="Arial" w:hAnsi="Arial" w:cs="Arial"/>
          <w:sz w:val="18"/>
          <w:szCs w:val="18"/>
          <w:lang w:val="en-US"/>
        </w:rPr>
      </w:pPr>
      <w:r w:rsidRPr="00572581">
        <w:rPr>
          <w:rFonts w:ascii="Arial" w:hAnsi="Arial" w:cs="Arial"/>
          <w:b/>
          <w:bCs/>
          <w:sz w:val="18"/>
          <w:szCs w:val="18"/>
          <w:lang w:val="en-US"/>
        </w:rPr>
        <w:t>Opinion</w:t>
      </w:r>
      <w:r w:rsidRPr="00572581">
        <w:rPr>
          <w:rFonts w:ascii="Arial" w:hAnsi="Arial" w:cs="Arial"/>
          <w:sz w:val="18"/>
          <w:szCs w:val="18"/>
          <w:lang w:val="en-US"/>
        </w:rPr>
        <w:t xml:space="preserve">: Based on the work and interviews conducted throughout the fiscal year and considering the responsibilities and limitations inherent to the scope of its activities, and considering the internal control system, the work carried out by the internal and external auditors, as well as their report issued without reservations on February 14, 2025, the Audit Committee found no indication or evidence that the individual and consolidated financial statements do not adequately represent, in all material respects, the financial position of BB </w:t>
      </w:r>
      <w:proofErr w:type="spellStart"/>
      <w:r w:rsidRPr="00572581">
        <w:rPr>
          <w:rFonts w:ascii="Arial" w:hAnsi="Arial" w:cs="Arial"/>
          <w:sz w:val="18"/>
          <w:szCs w:val="18"/>
          <w:lang w:val="en-US"/>
        </w:rPr>
        <w:t>Seguridade</w:t>
      </w:r>
      <w:proofErr w:type="spellEnd"/>
      <w:r w:rsidRPr="00572581">
        <w:rPr>
          <w:rFonts w:ascii="Arial" w:hAnsi="Arial" w:cs="Arial"/>
          <w:sz w:val="18"/>
          <w:szCs w:val="18"/>
          <w:lang w:val="en-US"/>
        </w:rPr>
        <w:t xml:space="preserve"> </w:t>
      </w:r>
      <w:proofErr w:type="spellStart"/>
      <w:r w:rsidRPr="00572581">
        <w:rPr>
          <w:rFonts w:ascii="Arial" w:hAnsi="Arial" w:cs="Arial"/>
          <w:sz w:val="18"/>
          <w:szCs w:val="18"/>
          <w:lang w:val="en-US"/>
        </w:rPr>
        <w:t>Participações</w:t>
      </w:r>
      <w:proofErr w:type="spellEnd"/>
      <w:r w:rsidRPr="00572581">
        <w:rPr>
          <w:rFonts w:ascii="Arial" w:hAnsi="Arial" w:cs="Arial"/>
          <w:sz w:val="18"/>
          <w:szCs w:val="18"/>
          <w:lang w:val="en-US"/>
        </w:rPr>
        <w:t xml:space="preserve"> S.A. and its subsidiaries as of December 31, 2024, and the results for the period ended on that date. In this sense, the Committee opines that they are in a condition to be appreciated by the Board of Directors.</w:t>
      </w:r>
    </w:p>
    <w:p w14:paraId="29E398CB" w14:textId="77777777" w:rsidR="001408C9" w:rsidRDefault="001408C9" w:rsidP="00572581">
      <w:pPr>
        <w:ind w:firstLine="708"/>
        <w:rPr>
          <w:rFonts w:ascii="Arial" w:hAnsi="Arial" w:cs="Arial"/>
          <w:sz w:val="18"/>
          <w:szCs w:val="18"/>
          <w:lang w:val="en-US"/>
        </w:rPr>
      </w:pPr>
    </w:p>
    <w:p w14:paraId="11A30D40" w14:textId="19FCB94E" w:rsidR="001408C9" w:rsidRPr="002A027C" w:rsidRDefault="001408C9" w:rsidP="001408C9">
      <w:pPr>
        <w:spacing w:before="120" w:after="120" w:line="276" w:lineRule="auto"/>
        <w:ind w:firstLine="851"/>
        <w:jc w:val="center"/>
        <w:rPr>
          <w:rFonts w:ascii="Arial" w:hAnsi="Arial" w:cs="Arial"/>
          <w:bCs/>
          <w:sz w:val="18"/>
          <w:szCs w:val="18"/>
        </w:rPr>
      </w:pPr>
      <w:r w:rsidRPr="00342E09">
        <w:rPr>
          <w:rFonts w:ascii="Arial" w:hAnsi="Arial" w:cs="Arial"/>
          <w:sz w:val="18"/>
          <w:szCs w:val="18"/>
        </w:rPr>
        <w:t xml:space="preserve">Brasília (DF), </w:t>
      </w:r>
      <w:proofErr w:type="spellStart"/>
      <w:r w:rsidRPr="00342E09">
        <w:rPr>
          <w:rFonts w:ascii="Arial" w:hAnsi="Arial" w:cs="Arial"/>
          <w:sz w:val="18"/>
          <w:szCs w:val="18"/>
        </w:rPr>
        <w:t>February</w:t>
      </w:r>
      <w:proofErr w:type="spellEnd"/>
      <w:r w:rsidRPr="00342E09">
        <w:rPr>
          <w:rFonts w:ascii="Arial" w:hAnsi="Arial" w:cs="Arial"/>
          <w:sz w:val="18"/>
          <w:szCs w:val="18"/>
        </w:rPr>
        <w:t xml:space="preserve"> 14, 2025</w:t>
      </w:r>
      <w:r w:rsidRPr="002A027C">
        <w:rPr>
          <w:rFonts w:ascii="Arial" w:hAnsi="Arial" w:cs="Arial"/>
          <w:bCs/>
          <w:sz w:val="18"/>
          <w:szCs w:val="18"/>
        </w:rPr>
        <w:t>.</w:t>
      </w:r>
    </w:p>
    <w:p w14:paraId="72DC7ED5" w14:textId="77777777" w:rsidR="001408C9" w:rsidRPr="004D7275" w:rsidRDefault="001408C9" w:rsidP="00572581">
      <w:pPr>
        <w:ind w:firstLine="708"/>
        <w:rPr>
          <w:rFonts w:ascii="Arial" w:hAnsi="Arial" w:cs="Arial"/>
          <w:sz w:val="18"/>
          <w:szCs w:val="18"/>
        </w:rPr>
      </w:pPr>
    </w:p>
    <w:p w14:paraId="1E7B9E77" w14:textId="77777777" w:rsidR="001408C9" w:rsidRPr="004D7275" w:rsidRDefault="001408C9" w:rsidP="00572581">
      <w:pPr>
        <w:ind w:firstLine="708"/>
        <w:rPr>
          <w:rFonts w:ascii="Arial" w:hAnsi="Arial" w:cs="Arial"/>
          <w:sz w:val="18"/>
          <w:szCs w:val="18"/>
        </w:rPr>
      </w:pPr>
    </w:p>
    <w:p w14:paraId="0045979D" w14:textId="77777777" w:rsidR="007B0E18" w:rsidRPr="00F714AD" w:rsidRDefault="007B0E18" w:rsidP="007B0E18">
      <w:pPr>
        <w:jc w:val="center"/>
        <w:rPr>
          <w:rFonts w:ascii="Arial" w:hAnsi="Arial" w:cs="Arial"/>
          <w:sz w:val="18"/>
          <w:szCs w:val="18"/>
        </w:rPr>
      </w:pPr>
      <w:r w:rsidRPr="00F714AD">
        <w:rPr>
          <w:rFonts w:ascii="Arial" w:hAnsi="Arial" w:cs="Arial"/>
          <w:sz w:val="18"/>
          <w:szCs w:val="18"/>
        </w:rPr>
        <w:t xml:space="preserve">Antônio </w:t>
      </w:r>
      <w:proofErr w:type="spellStart"/>
      <w:r w:rsidRPr="00F714AD">
        <w:rPr>
          <w:rFonts w:ascii="Arial" w:hAnsi="Arial" w:cs="Arial"/>
          <w:sz w:val="18"/>
          <w:szCs w:val="18"/>
        </w:rPr>
        <w:t>Martiningo</w:t>
      </w:r>
      <w:proofErr w:type="spellEnd"/>
      <w:r w:rsidRPr="00F714AD">
        <w:rPr>
          <w:rFonts w:ascii="Arial" w:hAnsi="Arial" w:cs="Arial"/>
          <w:sz w:val="18"/>
          <w:szCs w:val="18"/>
        </w:rPr>
        <w:t xml:space="preserve"> Filho</w:t>
      </w:r>
      <w:r w:rsidRPr="00F714AD">
        <w:rPr>
          <w:rFonts w:ascii="Arial" w:hAnsi="Arial" w:cs="Arial"/>
          <w:sz w:val="18"/>
          <w:szCs w:val="18"/>
        </w:rPr>
        <w:tab/>
      </w:r>
      <w:r w:rsidRPr="00F714AD">
        <w:rPr>
          <w:rFonts w:ascii="Arial" w:hAnsi="Arial" w:cs="Arial"/>
          <w:sz w:val="18"/>
          <w:szCs w:val="18"/>
        </w:rPr>
        <w:tab/>
      </w:r>
      <w:r w:rsidRPr="00F714AD">
        <w:rPr>
          <w:rFonts w:ascii="Arial" w:hAnsi="Arial" w:cs="Arial"/>
          <w:sz w:val="18"/>
          <w:szCs w:val="18"/>
        </w:rPr>
        <w:tab/>
        <w:t xml:space="preserve">Cícero </w:t>
      </w:r>
      <w:proofErr w:type="spellStart"/>
      <w:r w:rsidRPr="00F714AD">
        <w:rPr>
          <w:rFonts w:ascii="Arial" w:hAnsi="Arial" w:cs="Arial"/>
          <w:sz w:val="18"/>
          <w:szCs w:val="18"/>
        </w:rPr>
        <w:t>Przendsiuk</w:t>
      </w:r>
      <w:proofErr w:type="spellEnd"/>
    </w:p>
    <w:p w14:paraId="08D623D3" w14:textId="77777777" w:rsidR="007B0E18" w:rsidRPr="00F714AD" w:rsidRDefault="007B0E18" w:rsidP="007B0E18">
      <w:pPr>
        <w:jc w:val="center"/>
        <w:rPr>
          <w:rFonts w:ascii="Arial" w:hAnsi="Arial" w:cs="Arial"/>
          <w:sz w:val="18"/>
          <w:szCs w:val="18"/>
        </w:rPr>
      </w:pPr>
      <w:r w:rsidRPr="00F714AD">
        <w:rPr>
          <w:rFonts w:ascii="Arial" w:hAnsi="Arial" w:cs="Arial"/>
          <w:sz w:val="18"/>
          <w:szCs w:val="18"/>
        </w:rPr>
        <w:t xml:space="preserve">Gilberto Lourenço da Aparecida </w:t>
      </w:r>
      <w:r w:rsidRPr="00F714AD">
        <w:rPr>
          <w:rFonts w:ascii="Arial" w:hAnsi="Arial" w:cs="Arial"/>
          <w:sz w:val="18"/>
          <w:szCs w:val="18"/>
        </w:rPr>
        <w:tab/>
      </w:r>
      <w:r w:rsidRPr="00F714AD">
        <w:rPr>
          <w:rFonts w:ascii="Arial" w:hAnsi="Arial" w:cs="Arial"/>
          <w:sz w:val="18"/>
          <w:szCs w:val="18"/>
        </w:rPr>
        <w:tab/>
        <w:t>Manoel Gimenes Ruy</w:t>
      </w:r>
      <w:r w:rsidRPr="00F714AD">
        <w:rPr>
          <w:rFonts w:ascii="Arial" w:hAnsi="Arial" w:cs="Arial"/>
          <w:sz w:val="18"/>
          <w:szCs w:val="18"/>
        </w:rPr>
        <w:tab/>
        <w:t>Roberto Lamb</w:t>
      </w:r>
    </w:p>
    <w:p w14:paraId="57CF054A" w14:textId="77777777" w:rsidR="00572581" w:rsidRPr="00572581" w:rsidRDefault="00572581" w:rsidP="00572581">
      <w:pPr>
        <w:spacing w:before="120" w:after="120" w:line="276" w:lineRule="auto"/>
        <w:rPr>
          <w:rFonts w:ascii="Arial" w:hAnsi="Arial" w:cs="Arial"/>
          <w:b/>
          <w:bCs/>
          <w:color w:val="1F3864" w:themeColor="accent1" w:themeShade="80"/>
          <w:sz w:val="18"/>
          <w:szCs w:val="18"/>
        </w:rPr>
      </w:pPr>
    </w:p>
    <w:p w14:paraId="6BC2DE65" w14:textId="779744EA" w:rsidR="00342E09" w:rsidRPr="00342E09" w:rsidRDefault="00342E09" w:rsidP="00572581">
      <w:pPr>
        <w:pageBreakBefore/>
        <w:spacing w:after="0" w:line="240" w:lineRule="auto"/>
        <w:rPr>
          <w:rFonts w:ascii="Arial" w:hAnsi="Arial" w:cs="Arial"/>
          <w:b/>
          <w:color w:val="1F3864" w:themeColor="accent1" w:themeShade="80"/>
          <w:sz w:val="18"/>
          <w:szCs w:val="18"/>
          <w:lang w:val="en-US"/>
        </w:rPr>
      </w:pPr>
      <w:bookmarkStart w:id="127" w:name="FISCAL"/>
      <w:r w:rsidRPr="00342E09">
        <w:rPr>
          <w:rFonts w:ascii="Arial" w:hAnsi="Arial" w:cs="Arial"/>
          <w:b/>
          <w:color w:val="1F3864" w:themeColor="accent1" w:themeShade="80"/>
          <w:sz w:val="18"/>
          <w:szCs w:val="18"/>
          <w:lang w:val="en-US"/>
        </w:rPr>
        <w:lastRenderedPageBreak/>
        <w:t>FISCAL</w:t>
      </w:r>
      <w:bookmarkEnd w:id="127"/>
      <w:r w:rsidRPr="00342E09">
        <w:rPr>
          <w:rFonts w:ascii="Arial" w:hAnsi="Arial" w:cs="Arial"/>
          <w:b/>
          <w:color w:val="1F3864" w:themeColor="accent1" w:themeShade="80"/>
          <w:sz w:val="18"/>
          <w:szCs w:val="18"/>
          <w:lang w:val="en-US"/>
        </w:rPr>
        <w:t xml:space="preserve"> COUNCIL REPORT</w:t>
      </w:r>
    </w:p>
    <w:p w14:paraId="3DCCC5C4" w14:textId="77777777" w:rsidR="00342E09" w:rsidRDefault="00342E09" w:rsidP="00342E09">
      <w:pPr>
        <w:spacing w:after="0" w:line="240" w:lineRule="auto"/>
        <w:jc w:val="both"/>
        <w:rPr>
          <w:rFonts w:ascii="Arial" w:hAnsi="Arial" w:cs="Arial"/>
          <w:sz w:val="26"/>
          <w:szCs w:val="26"/>
          <w:lang w:val="en-US"/>
        </w:rPr>
      </w:pPr>
    </w:p>
    <w:p w14:paraId="73CBC52B" w14:textId="77777777" w:rsidR="00342E09" w:rsidRPr="00DF3239" w:rsidRDefault="00342E09" w:rsidP="00342E09">
      <w:pPr>
        <w:spacing w:after="0" w:line="240" w:lineRule="auto"/>
        <w:jc w:val="both"/>
        <w:rPr>
          <w:rFonts w:ascii="Arial" w:hAnsi="Arial" w:cs="Arial"/>
          <w:sz w:val="26"/>
          <w:szCs w:val="26"/>
          <w:lang w:val="en-US"/>
        </w:rPr>
      </w:pPr>
    </w:p>
    <w:p w14:paraId="6B580212" w14:textId="77777777" w:rsidR="00342E09" w:rsidRPr="00342E09" w:rsidRDefault="00342E09" w:rsidP="00342E09">
      <w:pPr>
        <w:spacing w:after="0" w:line="240" w:lineRule="auto"/>
        <w:jc w:val="both"/>
        <w:rPr>
          <w:rFonts w:ascii="Arial" w:hAnsi="Arial" w:cs="Arial"/>
          <w:sz w:val="18"/>
          <w:szCs w:val="18"/>
          <w:lang w:val="en-US"/>
        </w:rPr>
      </w:pPr>
      <w:r w:rsidRPr="00342E09">
        <w:rPr>
          <w:rFonts w:ascii="Arial" w:hAnsi="Arial" w:cs="Arial"/>
          <w:sz w:val="18"/>
          <w:szCs w:val="18"/>
          <w:lang w:val="en-US"/>
        </w:rPr>
        <w:t>BB SEGURIDADE PARTICIPAÇÕES S.A.'S FISCAL COUNCIL, due to its legal and statutory duties, examined today the Company's management report ("</w:t>
      </w:r>
      <w:proofErr w:type="spellStart"/>
      <w:r w:rsidRPr="00342E09">
        <w:rPr>
          <w:rFonts w:ascii="Arial" w:hAnsi="Arial" w:cs="Arial"/>
          <w:sz w:val="18"/>
          <w:szCs w:val="18"/>
          <w:lang w:val="en-US"/>
        </w:rPr>
        <w:t>Relatório</w:t>
      </w:r>
      <w:proofErr w:type="spellEnd"/>
      <w:r w:rsidRPr="00342E09">
        <w:rPr>
          <w:rFonts w:ascii="Arial" w:hAnsi="Arial" w:cs="Arial"/>
          <w:sz w:val="18"/>
          <w:szCs w:val="18"/>
          <w:lang w:val="en-US"/>
        </w:rPr>
        <w:t xml:space="preserve"> </w:t>
      </w:r>
      <w:proofErr w:type="spellStart"/>
      <w:r w:rsidRPr="00342E09">
        <w:rPr>
          <w:rFonts w:ascii="Arial" w:hAnsi="Arial" w:cs="Arial"/>
          <w:sz w:val="18"/>
          <w:szCs w:val="18"/>
          <w:lang w:val="en-US"/>
        </w:rPr>
        <w:t>Anual</w:t>
      </w:r>
      <w:proofErr w:type="spellEnd"/>
      <w:r w:rsidRPr="00342E09">
        <w:rPr>
          <w:rFonts w:ascii="Arial" w:hAnsi="Arial" w:cs="Arial"/>
          <w:sz w:val="18"/>
          <w:szCs w:val="18"/>
          <w:lang w:val="en-US"/>
        </w:rPr>
        <w:t xml:space="preserve"> da </w:t>
      </w:r>
      <w:proofErr w:type="spellStart"/>
      <w:r w:rsidRPr="00342E09">
        <w:rPr>
          <w:rFonts w:ascii="Arial" w:hAnsi="Arial" w:cs="Arial"/>
          <w:sz w:val="18"/>
          <w:szCs w:val="18"/>
          <w:lang w:val="en-US"/>
        </w:rPr>
        <w:t>Administração</w:t>
      </w:r>
      <w:proofErr w:type="spellEnd"/>
      <w:r w:rsidRPr="00342E09">
        <w:rPr>
          <w:rFonts w:ascii="Arial" w:hAnsi="Arial" w:cs="Arial"/>
          <w:sz w:val="18"/>
          <w:szCs w:val="18"/>
          <w:lang w:val="en-US"/>
        </w:rPr>
        <w:t xml:space="preserve">"), the individual and consolidated Financial Statements, including the Balance Sheet, the Income Statement, Statement of Comprehensive Income, Statement of Changes on Net Equity, Cash Flow Statement and Added Value Statement, as well as the related Explanatory Notes, the Independent Auditors’ Opinion, the Summary of the Audit Committee Report and a proposal of allocation results, all related to the fiscal year ended December 31st, 2024. </w:t>
      </w:r>
    </w:p>
    <w:p w14:paraId="2A546BB2" w14:textId="77777777" w:rsidR="00342E09" w:rsidRPr="00342E09" w:rsidRDefault="00342E09" w:rsidP="00342E09">
      <w:pPr>
        <w:spacing w:after="0" w:line="240" w:lineRule="auto"/>
        <w:jc w:val="both"/>
        <w:rPr>
          <w:rFonts w:ascii="Arial" w:hAnsi="Arial" w:cs="Arial"/>
          <w:sz w:val="18"/>
          <w:szCs w:val="18"/>
          <w:lang w:val="en-US"/>
        </w:rPr>
      </w:pPr>
    </w:p>
    <w:p w14:paraId="03B44896" w14:textId="77777777" w:rsidR="00342E09" w:rsidRPr="00342E09" w:rsidRDefault="00342E09" w:rsidP="00342E09">
      <w:pPr>
        <w:spacing w:after="0" w:line="240" w:lineRule="auto"/>
        <w:jc w:val="both"/>
        <w:rPr>
          <w:rFonts w:ascii="Arial" w:hAnsi="Arial" w:cs="Arial"/>
          <w:sz w:val="18"/>
          <w:szCs w:val="18"/>
          <w:lang w:val="en-US"/>
        </w:rPr>
      </w:pPr>
      <w:r w:rsidRPr="00342E09">
        <w:rPr>
          <w:rFonts w:ascii="Arial" w:hAnsi="Arial" w:cs="Arial"/>
          <w:sz w:val="18"/>
          <w:szCs w:val="18"/>
          <w:lang w:val="en-US"/>
        </w:rPr>
        <w:t xml:space="preserve">Our analysis of the statements above mentioned were further complemented by additional reports and documents and, mainly, by information and explanations provided to the Fiscal Council by the external auditors, the Audit Committee and the Company's Management. </w:t>
      </w:r>
    </w:p>
    <w:p w14:paraId="36514975" w14:textId="77777777" w:rsidR="00342E09" w:rsidRPr="00342E09" w:rsidRDefault="00342E09" w:rsidP="00342E09">
      <w:pPr>
        <w:spacing w:after="0" w:line="240" w:lineRule="auto"/>
        <w:jc w:val="both"/>
        <w:rPr>
          <w:rFonts w:ascii="Arial" w:hAnsi="Arial" w:cs="Arial"/>
          <w:sz w:val="18"/>
          <w:szCs w:val="18"/>
          <w:lang w:val="en-US"/>
        </w:rPr>
      </w:pPr>
    </w:p>
    <w:p w14:paraId="677BD25C" w14:textId="77777777" w:rsidR="00342E09" w:rsidRPr="00342E09" w:rsidRDefault="00342E09" w:rsidP="00342E09">
      <w:pPr>
        <w:spacing w:after="0" w:line="240" w:lineRule="auto"/>
        <w:jc w:val="both"/>
        <w:rPr>
          <w:rFonts w:ascii="Arial" w:hAnsi="Arial" w:cs="Arial"/>
          <w:sz w:val="18"/>
          <w:szCs w:val="18"/>
          <w:lang w:val="en-US"/>
        </w:rPr>
      </w:pPr>
      <w:r w:rsidRPr="00342E09">
        <w:rPr>
          <w:rFonts w:ascii="Arial" w:hAnsi="Arial" w:cs="Arial"/>
          <w:sz w:val="18"/>
          <w:szCs w:val="18"/>
          <w:lang w:val="en-US"/>
        </w:rPr>
        <w:t xml:space="preserve">Therefore, based on the work and clarifications provided by KPMG Consultores </w:t>
      </w:r>
      <w:proofErr w:type="spellStart"/>
      <w:r w:rsidRPr="00342E09">
        <w:rPr>
          <w:rFonts w:ascii="Arial" w:hAnsi="Arial" w:cs="Arial"/>
          <w:sz w:val="18"/>
          <w:szCs w:val="18"/>
          <w:lang w:val="en-US"/>
        </w:rPr>
        <w:t>Independentes</w:t>
      </w:r>
      <w:proofErr w:type="spellEnd"/>
      <w:r w:rsidRPr="00342E09">
        <w:rPr>
          <w:rFonts w:ascii="Arial" w:hAnsi="Arial" w:cs="Arial"/>
          <w:sz w:val="18"/>
          <w:szCs w:val="18"/>
          <w:lang w:val="en-US"/>
        </w:rPr>
        <w:t xml:space="preserve"> and in the Independent Auditors’ Opinion issued on February 14</w:t>
      </w:r>
      <w:r w:rsidRPr="00342E09">
        <w:rPr>
          <w:rFonts w:ascii="Arial" w:hAnsi="Arial" w:cs="Arial"/>
          <w:sz w:val="18"/>
          <w:szCs w:val="18"/>
          <w:vertAlign w:val="superscript"/>
          <w:lang w:val="en-US"/>
        </w:rPr>
        <w:t>th</w:t>
      </w:r>
      <w:r w:rsidRPr="00342E09">
        <w:rPr>
          <w:rFonts w:ascii="Arial" w:hAnsi="Arial" w:cs="Arial"/>
          <w:sz w:val="18"/>
          <w:szCs w:val="18"/>
          <w:lang w:val="en-US"/>
        </w:rPr>
        <w:t>, 2025, and in the additional clarifications provided by the Management, this Fiscal Council unanimously states that the Financial Statements above mentioned, including the Management Report ("</w:t>
      </w:r>
      <w:proofErr w:type="spellStart"/>
      <w:r w:rsidRPr="00342E09">
        <w:rPr>
          <w:rFonts w:ascii="Arial" w:hAnsi="Arial" w:cs="Arial"/>
          <w:sz w:val="18"/>
          <w:szCs w:val="18"/>
          <w:lang w:val="en-US"/>
        </w:rPr>
        <w:t>Relatório</w:t>
      </w:r>
      <w:proofErr w:type="spellEnd"/>
      <w:r w:rsidRPr="00342E09">
        <w:rPr>
          <w:rFonts w:ascii="Arial" w:hAnsi="Arial" w:cs="Arial"/>
          <w:sz w:val="18"/>
          <w:szCs w:val="18"/>
          <w:lang w:val="en-US"/>
        </w:rPr>
        <w:t xml:space="preserve"> </w:t>
      </w:r>
      <w:proofErr w:type="spellStart"/>
      <w:r w:rsidRPr="00342E09">
        <w:rPr>
          <w:rFonts w:ascii="Arial" w:hAnsi="Arial" w:cs="Arial"/>
          <w:sz w:val="18"/>
          <w:szCs w:val="18"/>
          <w:lang w:val="en-US"/>
        </w:rPr>
        <w:t>Anual</w:t>
      </w:r>
      <w:proofErr w:type="spellEnd"/>
      <w:r w:rsidRPr="00342E09">
        <w:rPr>
          <w:rFonts w:ascii="Arial" w:hAnsi="Arial" w:cs="Arial"/>
          <w:sz w:val="18"/>
          <w:szCs w:val="18"/>
          <w:lang w:val="en-US"/>
        </w:rPr>
        <w:t xml:space="preserve"> da </w:t>
      </w:r>
      <w:proofErr w:type="spellStart"/>
      <w:r w:rsidRPr="00342E09">
        <w:rPr>
          <w:rFonts w:ascii="Arial" w:hAnsi="Arial" w:cs="Arial"/>
          <w:sz w:val="18"/>
          <w:szCs w:val="18"/>
          <w:lang w:val="en-US"/>
        </w:rPr>
        <w:t>Administração</w:t>
      </w:r>
      <w:proofErr w:type="spellEnd"/>
      <w:r w:rsidRPr="00342E09">
        <w:rPr>
          <w:rFonts w:ascii="Arial" w:hAnsi="Arial" w:cs="Arial"/>
          <w:sz w:val="18"/>
          <w:szCs w:val="18"/>
          <w:lang w:val="en-US"/>
        </w:rPr>
        <w:t xml:space="preserve">"), and the proposal of allocation results are properly presented and concludes in favor to its submission to the Shareholders General Meeting deliberation. </w:t>
      </w:r>
    </w:p>
    <w:p w14:paraId="144210DB" w14:textId="77777777" w:rsidR="00342E09" w:rsidRPr="00342E09" w:rsidRDefault="00342E09" w:rsidP="00342E09">
      <w:pPr>
        <w:spacing w:after="0" w:line="240" w:lineRule="auto"/>
        <w:jc w:val="both"/>
        <w:rPr>
          <w:rFonts w:ascii="Arial" w:hAnsi="Arial" w:cs="Arial"/>
          <w:sz w:val="18"/>
          <w:szCs w:val="18"/>
          <w:lang w:val="en-US"/>
        </w:rPr>
      </w:pPr>
    </w:p>
    <w:p w14:paraId="458D5795" w14:textId="1D74E5DE" w:rsidR="00342E09" w:rsidRPr="00342E09" w:rsidRDefault="00342E09" w:rsidP="00342E09">
      <w:pPr>
        <w:spacing w:after="0" w:line="240" w:lineRule="auto"/>
        <w:jc w:val="center"/>
        <w:rPr>
          <w:rFonts w:ascii="Arial" w:hAnsi="Arial" w:cs="Arial"/>
          <w:sz w:val="18"/>
          <w:szCs w:val="18"/>
        </w:rPr>
      </w:pPr>
      <w:r w:rsidRPr="00342E09">
        <w:rPr>
          <w:rFonts w:ascii="Arial" w:hAnsi="Arial" w:cs="Arial"/>
          <w:sz w:val="18"/>
          <w:szCs w:val="18"/>
        </w:rPr>
        <w:t xml:space="preserve">Brasília (DF), </w:t>
      </w:r>
      <w:proofErr w:type="spellStart"/>
      <w:r w:rsidRPr="00342E09">
        <w:rPr>
          <w:rFonts w:ascii="Arial" w:hAnsi="Arial" w:cs="Arial"/>
          <w:sz w:val="18"/>
          <w:szCs w:val="18"/>
        </w:rPr>
        <w:t>February</w:t>
      </w:r>
      <w:proofErr w:type="spellEnd"/>
      <w:r w:rsidRPr="00342E09">
        <w:rPr>
          <w:rFonts w:ascii="Arial" w:hAnsi="Arial" w:cs="Arial"/>
          <w:sz w:val="18"/>
          <w:szCs w:val="18"/>
        </w:rPr>
        <w:t xml:space="preserve"> 14, 2025.</w:t>
      </w:r>
    </w:p>
    <w:p w14:paraId="0EEC93AC" w14:textId="77777777" w:rsidR="00342E09" w:rsidRPr="00342E09" w:rsidRDefault="00342E09" w:rsidP="00342E09">
      <w:pPr>
        <w:rPr>
          <w:rFonts w:ascii="Arial" w:hAnsi="Arial" w:cs="Arial"/>
          <w:sz w:val="18"/>
          <w:szCs w:val="18"/>
        </w:rPr>
      </w:pPr>
    </w:p>
    <w:p w14:paraId="24E9F498" w14:textId="2735F3CA" w:rsidR="00342E09" w:rsidRPr="00342E09" w:rsidRDefault="00342E09" w:rsidP="006632BD">
      <w:pPr>
        <w:spacing w:after="0" w:line="300" w:lineRule="atLeast"/>
        <w:jc w:val="center"/>
        <w:rPr>
          <w:rFonts w:ascii="Arial" w:hAnsi="Arial"/>
          <w:sz w:val="18"/>
          <w:szCs w:val="18"/>
        </w:rPr>
      </w:pPr>
      <w:r w:rsidRPr="00342E09">
        <w:rPr>
          <w:rFonts w:ascii="Arial" w:hAnsi="Arial"/>
          <w:sz w:val="18"/>
          <w:szCs w:val="18"/>
        </w:rPr>
        <w:t xml:space="preserve">Francisco Olinto Velo Schmitt              </w:t>
      </w:r>
      <w:r w:rsidR="006632BD">
        <w:rPr>
          <w:rFonts w:ascii="Arial" w:hAnsi="Arial"/>
          <w:sz w:val="18"/>
          <w:szCs w:val="18"/>
        </w:rPr>
        <w:t xml:space="preserve">    </w:t>
      </w:r>
      <w:r w:rsidRPr="00342E09">
        <w:rPr>
          <w:rFonts w:ascii="Arial" w:hAnsi="Arial"/>
          <w:sz w:val="18"/>
          <w:szCs w:val="18"/>
        </w:rPr>
        <w:t xml:space="preserve">    </w:t>
      </w:r>
      <w:r>
        <w:rPr>
          <w:rFonts w:ascii="Arial" w:hAnsi="Arial"/>
          <w:sz w:val="18"/>
          <w:szCs w:val="18"/>
        </w:rPr>
        <w:t xml:space="preserve">            </w:t>
      </w:r>
      <w:r w:rsidRPr="00342E09">
        <w:rPr>
          <w:rFonts w:ascii="Arial" w:hAnsi="Arial"/>
          <w:sz w:val="18"/>
          <w:szCs w:val="18"/>
        </w:rPr>
        <w:t xml:space="preserve">   Rafael Rezende </w:t>
      </w:r>
      <w:proofErr w:type="spellStart"/>
      <w:r w:rsidRPr="00342E09">
        <w:rPr>
          <w:rFonts w:ascii="Arial" w:hAnsi="Arial"/>
          <w:sz w:val="18"/>
          <w:szCs w:val="18"/>
        </w:rPr>
        <w:t>Brigolini</w:t>
      </w:r>
      <w:proofErr w:type="spellEnd"/>
    </w:p>
    <w:p w14:paraId="3E592D28" w14:textId="38749D71" w:rsidR="00342E09" w:rsidRPr="00342E09" w:rsidRDefault="00342E09" w:rsidP="006632BD">
      <w:pPr>
        <w:spacing w:after="0" w:line="300" w:lineRule="atLeast"/>
        <w:jc w:val="center"/>
        <w:rPr>
          <w:rFonts w:ascii="Arial" w:hAnsi="Arial"/>
          <w:sz w:val="18"/>
          <w:szCs w:val="18"/>
          <w:lang w:val="en-US"/>
        </w:rPr>
      </w:pPr>
      <w:r w:rsidRPr="006632BD">
        <w:rPr>
          <w:rFonts w:ascii="Arial" w:hAnsi="Arial" w:cs="Arial"/>
          <w:sz w:val="18"/>
          <w:szCs w:val="18"/>
        </w:rPr>
        <w:t xml:space="preserve">     </w:t>
      </w:r>
      <w:r w:rsidRPr="00342E09">
        <w:rPr>
          <w:rFonts w:ascii="Arial" w:hAnsi="Arial" w:cs="Arial"/>
          <w:sz w:val="18"/>
          <w:szCs w:val="18"/>
          <w:lang w:val="en-US"/>
        </w:rPr>
        <w:t>Member of the Fiscal Council</w:t>
      </w:r>
      <w:r w:rsidRPr="00342E09">
        <w:rPr>
          <w:rFonts w:ascii="Arial" w:hAnsi="Arial"/>
          <w:sz w:val="18"/>
          <w:szCs w:val="18"/>
          <w:lang w:val="en-US"/>
        </w:rPr>
        <w:t xml:space="preserve">                 </w:t>
      </w:r>
      <w:r w:rsidR="006632BD">
        <w:rPr>
          <w:rFonts w:ascii="Arial" w:hAnsi="Arial"/>
          <w:sz w:val="18"/>
          <w:szCs w:val="18"/>
          <w:lang w:val="en-US"/>
        </w:rPr>
        <w:t xml:space="preserve">    </w:t>
      </w:r>
      <w:r>
        <w:rPr>
          <w:rFonts w:ascii="Arial" w:hAnsi="Arial"/>
          <w:sz w:val="18"/>
          <w:szCs w:val="18"/>
          <w:lang w:val="en-US"/>
        </w:rPr>
        <w:t xml:space="preserve">             </w:t>
      </w:r>
      <w:r w:rsidRPr="00342E09">
        <w:rPr>
          <w:rFonts w:ascii="Arial" w:hAnsi="Arial"/>
          <w:sz w:val="18"/>
          <w:szCs w:val="18"/>
          <w:lang w:val="en-US"/>
        </w:rPr>
        <w:t xml:space="preserve">  </w:t>
      </w:r>
      <w:r w:rsidRPr="00342E09">
        <w:rPr>
          <w:rFonts w:ascii="Arial" w:hAnsi="Arial" w:cs="Arial"/>
          <w:sz w:val="18"/>
          <w:szCs w:val="18"/>
          <w:lang w:val="en-US"/>
        </w:rPr>
        <w:t>Member of the Fiscal Council</w:t>
      </w:r>
    </w:p>
    <w:p w14:paraId="7E262B5F" w14:textId="77777777" w:rsidR="00342E09" w:rsidRPr="00342E09" w:rsidRDefault="00342E09" w:rsidP="00342E09">
      <w:pPr>
        <w:jc w:val="both"/>
        <w:rPr>
          <w:rFonts w:ascii="Arial" w:hAnsi="Arial"/>
          <w:sz w:val="18"/>
          <w:szCs w:val="18"/>
          <w:lang w:val="en-US"/>
        </w:rPr>
      </w:pPr>
    </w:p>
    <w:p w14:paraId="195AE588" w14:textId="77777777" w:rsidR="00342E09" w:rsidRPr="00342E09" w:rsidRDefault="00342E09" w:rsidP="00342E09">
      <w:pPr>
        <w:jc w:val="both"/>
        <w:rPr>
          <w:rFonts w:ascii="Arial" w:hAnsi="Arial"/>
          <w:sz w:val="18"/>
          <w:szCs w:val="18"/>
          <w:lang w:val="en-US"/>
        </w:rPr>
      </w:pPr>
    </w:p>
    <w:p w14:paraId="4F245C5C" w14:textId="77777777" w:rsidR="00342E09" w:rsidRPr="00342E09" w:rsidRDefault="00342E09" w:rsidP="006632BD">
      <w:pPr>
        <w:spacing w:after="0" w:line="300" w:lineRule="atLeast"/>
        <w:jc w:val="center"/>
        <w:rPr>
          <w:rFonts w:ascii="Arial" w:hAnsi="Arial"/>
          <w:sz w:val="18"/>
          <w:szCs w:val="18"/>
        </w:rPr>
      </w:pPr>
      <w:r w:rsidRPr="00342E09">
        <w:rPr>
          <w:rFonts w:ascii="Arial" w:hAnsi="Arial"/>
          <w:sz w:val="18"/>
          <w:szCs w:val="18"/>
        </w:rPr>
        <w:t>Marcelo Henrique Gomes da Silva</w:t>
      </w:r>
    </w:p>
    <w:p w14:paraId="40F819FA" w14:textId="77777777" w:rsidR="00342E09" w:rsidRPr="006B282B" w:rsidRDefault="00342E09" w:rsidP="006632BD">
      <w:pPr>
        <w:spacing w:after="0" w:line="300" w:lineRule="atLeast"/>
        <w:jc w:val="center"/>
        <w:rPr>
          <w:rFonts w:ascii="Arial" w:hAnsi="Arial" w:cs="Arial"/>
          <w:sz w:val="26"/>
          <w:szCs w:val="26"/>
        </w:rPr>
      </w:pPr>
      <w:proofErr w:type="spellStart"/>
      <w:r w:rsidRPr="00342E09">
        <w:rPr>
          <w:rFonts w:ascii="Arial" w:hAnsi="Arial" w:cs="Arial"/>
          <w:sz w:val="18"/>
          <w:szCs w:val="18"/>
        </w:rPr>
        <w:t>President</w:t>
      </w:r>
      <w:proofErr w:type="spellEnd"/>
      <w:r w:rsidRPr="00342E09">
        <w:rPr>
          <w:rFonts w:ascii="Arial" w:hAnsi="Arial" w:cs="Arial"/>
          <w:sz w:val="18"/>
          <w:szCs w:val="18"/>
        </w:rPr>
        <w:t xml:space="preserve"> </w:t>
      </w:r>
      <w:proofErr w:type="spellStart"/>
      <w:r w:rsidRPr="00342E09">
        <w:rPr>
          <w:rFonts w:ascii="Arial" w:hAnsi="Arial" w:cs="Arial"/>
          <w:sz w:val="18"/>
          <w:szCs w:val="18"/>
        </w:rPr>
        <w:t>of</w:t>
      </w:r>
      <w:proofErr w:type="spellEnd"/>
      <w:r w:rsidRPr="00342E09">
        <w:rPr>
          <w:rFonts w:ascii="Arial" w:hAnsi="Arial" w:cs="Arial"/>
          <w:sz w:val="18"/>
          <w:szCs w:val="18"/>
        </w:rPr>
        <w:t xml:space="preserve"> </w:t>
      </w:r>
      <w:proofErr w:type="spellStart"/>
      <w:r w:rsidRPr="00342E09">
        <w:rPr>
          <w:rFonts w:ascii="Arial" w:hAnsi="Arial" w:cs="Arial"/>
          <w:sz w:val="18"/>
          <w:szCs w:val="18"/>
        </w:rPr>
        <w:t>the</w:t>
      </w:r>
      <w:proofErr w:type="spellEnd"/>
      <w:r w:rsidRPr="00342E09">
        <w:rPr>
          <w:rFonts w:ascii="Arial" w:hAnsi="Arial" w:cs="Arial"/>
          <w:sz w:val="18"/>
          <w:szCs w:val="18"/>
        </w:rPr>
        <w:t xml:space="preserve"> Fiscal </w:t>
      </w:r>
      <w:proofErr w:type="spellStart"/>
      <w:r w:rsidRPr="00342E09">
        <w:rPr>
          <w:rFonts w:ascii="Arial" w:hAnsi="Arial" w:cs="Arial"/>
          <w:sz w:val="18"/>
          <w:szCs w:val="18"/>
        </w:rPr>
        <w:t>Council</w:t>
      </w:r>
      <w:proofErr w:type="spellEnd"/>
    </w:p>
    <w:p w14:paraId="163CD167" w14:textId="77777777" w:rsidR="00342E09" w:rsidRDefault="00342E09" w:rsidP="00342E09"/>
    <w:p w14:paraId="5BACE25B" w14:textId="77777777" w:rsidR="00433C24" w:rsidRPr="00433C24" w:rsidRDefault="00433C24" w:rsidP="00433C24"/>
    <w:p w14:paraId="1FF5AE66" w14:textId="77777777" w:rsidR="00433C24" w:rsidRPr="00433C24" w:rsidRDefault="00433C24" w:rsidP="00433C24"/>
    <w:p w14:paraId="69260505" w14:textId="77777777" w:rsidR="00433C24" w:rsidRPr="00433C24" w:rsidRDefault="00433C24" w:rsidP="00433C24"/>
    <w:p w14:paraId="5522BDF8" w14:textId="77777777" w:rsidR="00433C24" w:rsidRPr="00433C24" w:rsidRDefault="00433C24" w:rsidP="00433C24"/>
    <w:p w14:paraId="6CD8F93F" w14:textId="77777777" w:rsidR="00433C24" w:rsidRPr="00433C24" w:rsidRDefault="00433C24" w:rsidP="00433C24"/>
    <w:p w14:paraId="34788EBE" w14:textId="77777777" w:rsidR="00433C24" w:rsidRPr="00433C24" w:rsidRDefault="00433C24" w:rsidP="00433C24"/>
    <w:p w14:paraId="3D454136" w14:textId="77777777" w:rsidR="00433C24" w:rsidRPr="00433C24" w:rsidRDefault="00433C24" w:rsidP="00433C24"/>
    <w:p w14:paraId="4A557F3C" w14:textId="77777777" w:rsidR="00433C24" w:rsidRPr="00433C24" w:rsidRDefault="00433C24" w:rsidP="00433C24"/>
    <w:p w14:paraId="6C667672" w14:textId="77777777" w:rsidR="00433C24" w:rsidRPr="00433C24" w:rsidRDefault="00433C24" w:rsidP="00433C24"/>
    <w:p w14:paraId="357F0037" w14:textId="77777777" w:rsidR="00433C24" w:rsidRPr="00433C24" w:rsidRDefault="00433C24" w:rsidP="00433C24"/>
    <w:p w14:paraId="56A348B6" w14:textId="77777777" w:rsidR="00433C24" w:rsidRPr="00433C24" w:rsidRDefault="00433C24" w:rsidP="00433C24"/>
    <w:p w14:paraId="3852ACD3" w14:textId="77777777" w:rsidR="00433C24" w:rsidRPr="00433C24" w:rsidRDefault="00433C24" w:rsidP="00433C24"/>
    <w:p w14:paraId="25EEA622" w14:textId="4F683746" w:rsidR="00433C24" w:rsidRPr="00433C24" w:rsidRDefault="00433C24" w:rsidP="00433C24">
      <w:pPr>
        <w:tabs>
          <w:tab w:val="left" w:pos="3439"/>
        </w:tabs>
      </w:pPr>
      <w:r>
        <w:tab/>
      </w:r>
    </w:p>
    <w:p w14:paraId="12D3B28C" w14:textId="26C6DC2D" w:rsidR="00641C00" w:rsidRPr="00794410" w:rsidRDefault="00641C00" w:rsidP="00342E09">
      <w:pPr>
        <w:pStyle w:val="Ttulo2"/>
        <w:keepNext w:val="0"/>
        <w:keepLines w:val="0"/>
        <w:pageBreakBefore/>
        <w:jc w:val="both"/>
        <w:rPr>
          <w:rFonts w:ascii="Arial" w:hAnsi="Arial" w:cs="Arial"/>
          <w:b/>
          <w:bCs/>
          <w:color w:val="1F3864" w:themeColor="accent1" w:themeShade="80"/>
          <w:sz w:val="20"/>
          <w:szCs w:val="20"/>
          <w:lang w:val="en-US"/>
        </w:rPr>
      </w:pPr>
      <w:bookmarkStart w:id="128" w:name="DECLARATIONOF"/>
      <w:r w:rsidRPr="00794410">
        <w:rPr>
          <w:rFonts w:ascii="Arial" w:hAnsi="Arial" w:cs="Arial"/>
          <w:b/>
          <w:bCs/>
          <w:color w:val="1F3864" w:themeColor="accent1" w:themeShade="80"/>
          <w:sz w:val="20"/>
          <w:szCs w:val="20"/>
          <w:lang w:val="en-US"/>
        </w:rPr>
        <w:lastRenderedPageBreak/>
        <w:t xml:space="preserve">DECLARATION OF </w:t>
      </w:r>
      <w:bookmarkEnd w:id="128"/>
      <w:r w:rsidRPr="00794410">
        <w:rPr>
          <w:rFonts w:ascii="Arial" w:hAnsi="Arial" w:cs="Arial"/>
          <w:b/>
          <w:bCs/>
          <w:color w:val="1F3864" w:themeColor="accent1" w:themeShade="80"/>
          <w:sz w:val="20"/>
          <w:szCs w:val="20"/>
          <w:lang w:val="en-US"/>
        </w:rPr>
        <w:t>THE MEMBERS OF THE EXECUTIVE BOARD ABOUT THE FINANCIAL STATEMENTS</w:t>
      </w:r>
    </w:p>
    <w:p w14:paraId="5E756393" w14:textId="77777777" w:rsidR="00641C00" w:rsidRPr="004C5A7A" w:rsidRDefault="00641C00" w:rsidP="00641C00">
      <w:pPr>
        <w:spacing w:after="0" w:line="240" w:lineRule="auto"/>
        <w:jc w:val="both"/>
        <w:rPr>
          <w:rFonts w:ascii="Arial" w:eastAsia="Times New Roman" w:hAnsi="Arial" w:cs="Arial"/>
          <w:kern w:val="20"/>
          <w:sz w:val="20"/>
          <w:szCs w:val="20"/>
          <w:lang w:val="en-US" w:eastAsia="en-GB"/>
        </w:rPr>
      </w:pPr>
    </w:p>
    <w:p w14:paraId="5879D984" w14:textId="77777777" w:rsidR="00641C00" w:rsidRPr="004C5A7A" w:rsidRDefault="00641C00" w:rsidP="00641C00">
      <w:pPr>
        <w:pStyle w:val="Body"/>
        <w:spacing w:after="0" w:line="240" w:lineRule="auto"/>
        <w:rPr>
          <w:rFonts w:cs="Arial"/>
          <w:sz w:val="18"/>
          <w:szCs w:val="18"/>
          <w:lang w:val="en-US"/>
        </w:rPr>
      </w:pPr>
      <w:r w:rsidRPr="004C5A7A">
        <w:rPr>
          <w:rFonts w:cs="Arial"/>
          <w:sz w:val="18"/>
          <w:szCs w:val="18"/>
          <w:lang w:val="en-US"/>
        </w:rPr>
        <w:t xml:space="preserve">In accordance with Article 27 of CVM Rule 80, dated March 29, 2022, I declare that I have reviewed the Financial Statements for the fiscal year ended on December 31, 2024, of the BB </w:t>
      </w:r>
      <w:proofErr w:type="spellStart"/>
      <w:r w:rsidRPr="004C5A7A">
        <w:rPr>
          <w:rFonts w:cs="Arial"/>
          <w:sz w:val="18"/>
          <w:szCs w:val="18"/>
          <w:lang w:val="en-US"/>
        </w:rPr>
        <w:t>Seguridade</w:t>
      </w:r>
      <w:proofErr w:type="spellEnd"/>
      <w:r w:rsidRPr="004C5A7A">
        <w:rPr>
          <w:rFonts w:cs="Arial"/>
          <w:sz w:val="18"/>
          <w:szCs w:val="18"/>
          <w:lang w:val="en-US"/>
        </w:rPr>
        <w:t xml:space="preserve"> </w:t>
      </w:r>
      <w:proofErr w:type="spellStart"/>
      <w:r w:rsidRPr="004C5A7A">
        <w:rPr>
          <w:rFonts w:cs="Arial"/>
          <w:sz w:val="18"/>
          <w:szCs w:val="18"/>
          <w:lang w:val="en-US"/>
        </w:rPr>
        <w:t>Participações</w:t>
      </w:r>
      <w:proofErr w:type="spellEnd"/>
      <w:r w:rsidRPr="004C5A7A">
        <w:rPr>
          <w:rFonts w:cs="Arial"/>
          <w:sz w:val="18"/>
          <w:szCs w:val="18"/>
          <w:lang w:val="en-US"/>
        </w:rPr>
        <w:t xml:space="preserve"> S.A. and, based on subsequent discussions, I agree that such statements reflect fairly, in all material respects, the financial position for the period presented.</w:t>
      </w:r>
    </w:p>
    <w:p w14:paraId="559A71FF" w14:textId="77777777" w:rsidR="00641C00" w:rsidRPr="004C5A7A" w:rsidRDefault="00641C00" w:rsidP="00641C00">
      <w:pPr>
        <w:pStyle w:val="Body"/>
        <w:tabs>
          <w:tab w:val="left" w:pos="2393"/>
        </w:tabs>
        <w:spacing w:after="0" w:line="240" w:lineRule="auto"/>
        <w:rPr>
          <w:rFonts w:cs="Arial"/>
          <w:sz w:val="18"/>
          <w:szCs w:val="18"/>
          <w:lang w:val="en-US"/>
        </w:rPr>
      </w:pPr>
    </w:p>
    <w:p w14:paraId="211423B2" w14:textId="77777777" w:rsidR="00641C00" w:rsidRPr="004C5A7A" w:rsidRDefault="00641C00" w:rsidP="00641C00">
      <w:pPr>
        <w:pStyle w:val="Body"/>
        <w:spacing w:after="0" w:line="240" w:lineRule="auto"/>
        <w:rPr>
          <w:rFonts w:cs="Arial"/>
          <w:sz w:val="18"/>
          <w:szCs w:val="18"/>
          <w:lang w:val="en-US"/>
        </w:rPr>
      </w:pPr>
    </w:p>
    <w:p w14:paraId="1CAA3843" w14:textId="77777777" w:rsidR="00641C00" w:rsidRPr="004C5A7A" w:rsidRDefault="00641C00" w:rsidP="00641C00">
      <w:pPr>
        <w:pStyle w:val="Body"/>
        <w:spacing w:after="0" w:line="240" w:lineRule="auto"/>
        <w:rPr>
          <w:rFonts w:cs="Arial"/>
          <w:sz w:val="18"/>
          <w:szCs w:val="18"/>
        </w:rPr>
      </w:pPr>
      <w:r w:rsidRPr="004C5A7A">
        <w:rPr>
          <w:rFonts w:cs="Arial"/>
          <w:sz w:val="18"/>
          <w:szCs w:val="18"/>
        </w:rPr>
        <w:t xml:space="preserve">Brasília, </w:t>
      </w:r>
      <w:bookmarkStart w:id="129" w:name="_Hlk78441283"/>
      <w:proofErr w:type="spellStart"/>
      <w:r w:rsidRPr="004C5A7A">
        <w:rPr>
          <w:rFonts w:cs="Arial"/>
          <w:sz w:val="18"/>
          <w:szCs w:val="18"/>
        </w:rPr>
        <w:t>February</w:t>
      </w:r>
      <w:proofErr w:type="spellEnd"/>
      <w:r w:rsidRPr="004C5A7A">
        <w:rPr>
          <w:rFonts w:cs="Arial"/>
          <w:sz w:val="18"/>
          <w:szCs w:val="18"/>
        </w:rPr>
        <w:t xml:space="preserve"> 14, 202</w:t>
      </w:r>
      <w:bookmarkEnd w:id="129"/>
      <w:r w:rsidRPr="004C5A7A">
        <w:rPr>
          <w:rFonts w:cs="Arial"/>
          <w:sz w:val="18"/>
          <w:szCs w:val="18"/>
        </w:rPr>
        <w:t>5.</w:t>
      </w:r>
    </w:p>
    <w:p w14:paraId="493D1896" w14:textId="77777777" w:rsidR="00641C00" w:rsidRPr="004C5A7A" w:rsidRDefault="00641C00" w:rsidP="00641C00">
      <w:pPr>
        <w:pStyle w:val="Body"/>
        <w:tabs>
          <w:tab w:val="left" w:pos="3083"/>
        </w:tabs>
        <w:spacing w:after="0" w:line="240" w:lineRule="auto"/>
        <w:rPr>
          <w:rFonts w:cs="Arial"/>
          <w:sz w:val="18"/>
          <w:szCs w:val="18"/>
        </w:rPr>
      </w:pPr>
    </w:p>
    <w:p w14:paraId="47E51FD0" w14:textId="77777777" w:rsidR="00641C00" w:rsidRPr="004C5A7A" w:rsidRDefault="00641C00" w:rsidP="00641C00">
      <w:pPr>
        <w:pStyle w:val="Body"/>
        <w:tabs>
          <w:tab w:val="left" w:pos="3083"/>
        </w:tabs>
        <w:spacing w:after="0" w:line="240" w:lineRule="auto"/>
        <w:rPr>
          <w:rFonts w:cs="Arial"/>
          <w:sz w:val="18"/>
          <w:szCs w:val="18"/>
        </w:rPr>
      </w:pPr>
    </w:p>
    <w:p w14:paraId="3C0248ED" w14:textId="77777777" w:rsidR="00641C00" w:rsidRPr="004C5A7A" w:rsidRDefault="00641C00" w:rsidP="00641C00">
      <w:pPr>
        <w:pStyle w:val="Body"/>
        <w:spacing w:after="0" w:line="240" w:lineRule="auto"/>
        <w:rPr>
          <w:rFonts w:cs="Arial"/>
          <w:sz w:val="18"/>
          <w:szCs w:val="18"/>
        </w:rPr>
      </w:pPr>
      <w:bookmarkStart w:id="130" w:name="_Hlk78441167"/>
      <w:r w:rsidRPr="004C5A7A">
        <w:rPr>
          <w:rFonts w:cs="Arial"/>
          <w:sz w:val="18"/>
          <w:szCs w:val="18"/>
        </w:rPr>
        <w:t xml:space="preserve">André Gustavo Borba Assumpção </w:t>
      </w:r>
      <w:proofErr w:type="spellStart"/>
      <w:r w:rsidRPr="004C5A7A">
        <w:rPr>
          <w:rFonts w:cs="Arial"/>
          <w:sz w:val="18"/>
          <w:szCs w:val="18"/>
        </w:rPr>
        <w:t>Haui</w:t>
      </w:r>
      <w:proofErr w:type="spellEnd"/>
      <w:r w:rsidRPr="004C5A7A">
        <w:rPr>
          <w:rFonts w:cs="Arial"/>
          <w:sz w:val="18"/>
          <w:szCs w:val="18"/>
        </w:rPr>
        <w:t xml:space="preserve"> </w:t>
      </w:r>
    </w:p>
    <w:p w14:paraId="3EB4882F" w14:textId="77777777" w:rsidR="00641C00" w:rsidRPr="004C5A7A" w:rsidRDefault="00641C00" w:rsidP="00641C00">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2ED955FB" w14:textId="77777777" w:rsidR="00641C00" w:rsidRPr="004C5A7A" w:rsidRDefault="00641C00" w:rsidP="00641C00">
      <w:pPr>
        <w:pStyle w:val="Body"/>
        <w:spacing w:after="0" w:line="240" w:lineRule="auto"/>
        <w:rPr>
          <w:rFonts w:cs="Arial"/>
          <w:sz w:val="18"/>
          <w:szCs w:val="18"/>
        </w:rPr>
      </w:pPr>
    </w:p>
    <w:p w14:paraId="62C44F08" w14:textId="77777777" w:rsidR="00641C00" w:rsidRPr="004C5A7A" w:rsidRDefault="00641C00" w:rsidP="00641C00">
      <w:pPr>
        <w:pStyle w:val="Body"/>
        <w:spacing w:after="0" w:line="240" w:lineRule="auto"/>
        <w:rPr>
          <w:rFonts w:cs="Arial"/>
          <w:sz w:val="18"/>
          <w:szCs w:val="18"/>
        </w:rPr>
      </w:pPr>
    </w:p>
    <w:p w14:paraId="2018BF5F" w14:textId="77777777" w:rsidR="00641C00" w:rsidRPr="004C5A7A" w:rsidRDefault="00641C00" w:rsidP="00641C00">
      <w:pPr>
        <w:pStyle w:val="05-Textonormal"/>
        <w:spacing w:before="0" w:after="0" w:line="240" w:lineRule="auto"/>
        <w:rPr>
          <w:rFonts w:cs="Arial"/>
        </w:rPr>
      </w:pPr>
      <w:r w:rsidRPr="004C5A7A">
        <w:rPr>
          <w:rFonts w:cs="Arial"/>
        </w:rPr>
        <w:t>Bruno Alves do Nascimento</w:t>
      </w:r>
    </w:p>
    <w:p w14:paraId="707274B4" w14:textId="77777777" w:rsidR="00641C00" w:rsidRPr="00723E04" w:rsidRDefault="00641C00" w:rsidP="00641C00">
      <w:pPr>
        <w:spacing w:after="0" w:line="240" w:lineRule="auto"/>
        <w:jc w:val="both"/>
        <w:rPr>
          <w:rFonts w:ascii="Arial" w:eastAsia="Times New Roman" w:hAnsi="Arial" w:cs="Arial"/>
          <w:kern w:val="20"/>
          <w:sz w:val="18"/>
          <w:szCs w:val="18"/>
          <w:lang w:val="en-US" w:eastAsia="en-GB"/>
        </w:rPr>
      </w:pPr>
      <w:r w:rsidRPr="00723E04">
        <w:rPr>
          <w:rFonts w:ascii="Arial" w:eastAsia="Times New Roman" w:hAnsi="Arial" w:cs="Arial"/>
          <w:kern w:val="20"/>
          <w:sz w:val="18"/>
          <w:szCs w:val="18"/>
          <w:lang w:val="en-US" w:eastAsia="en-GB"/>
        </w:rPr>
        <w:t>Chief Strategy Officer</w:t>
      </w:r>
    </w:p>
    <w:p w14:paraId="71F40B62" w14:textId="77777777" w:rsidR="00641C00" w:rsidRPr="004C5A7A" w:rsidRDefault="00641C00" w:rsidP="00641C00">
      <w:pPr>
        <w:pStyle w:val="Body"/>
        <w:spacing w:after="0" w:line="240" w:lineRule="auto"/>
        <w:rPr>
          <w:rFonts w:cs="Arial"/>
          <w:sz w:val="18"/>
          <w:szCs w:val="18"/>
          <w:lang w:val="en-US"/>
        </w:rPr>
      </w:pPr>
    </w:p>
    <w:p w14:paraId="3A65A151" w14:textId="77777777" w:rsidR="00641C00" w:rsidRPr="004C5A7A" w:rsidRDefault="00641C00" w:rsidP="00641C00">
      <w:pPr>
        <w:pStyle w:val="Body"/>
        <w:spacing w:after="0" w:line="240" w:lineRule="auto"/>
        <w:rPr>
          <w:rFonts w:cs="Arial"/>
          <w:sz w:val="18"/>
          <w:szCs w:val="18"/>
          <w:lang w:val="en-US"/>
        </w:rPr>
      </w:pPr>
    </w:p>
    <w:p w14:paraId="67EA7DDC" w14:textId="77777777" w:rsidR="00641C00" w:rsidRPr="004C5A7A" w:rsidRDefault="00641C00" w:rsidP="00641C00">
      <w:pPr>
        <w:pStyle w:val="05-Textonormal"/>
        <w:spacing w:before="0" w:after="0" w:line="240" w:lineRule="auto"/>
        <w:rPr>
          <w:rFonts w:cs="Arial"/>
          <w:snapToGrid w:val="0"/>
          <w:lang w:val="en-US"/>
        </w:rPr>
      </w:pPr>
      <w:r w:rsidRPr="004C5A7A">
        <w:rPr>
          <w:rFonts w:cs="Arial"/>
          <w:snapToGrid w:val="0"/>
          <w:lang w:val="en-US"/>
        </w:rPr>
        <w:t>Allan Trancoso Ferraz Silva</w:t>
      </w:r>
    </w:p>
    <w:p w14:paraId="29EB4E2B" w14:textId="77777777" w:rsidR="00641C00" w:rsidRPr="00B15CC5" w:rsidRDefault="00641C00" w:rsidP="00641C00">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3229B04" w14:textId="77777777" w:rsidR="00641C00" w:rsidRPr="004C5A7A" w:rsidRDefault="00641C00" w:rsidP="00641C00">
      <w:pPr>
        <w:pStyle w:val="Body"/>
        <w:spacing w:after="0" w:line="240" w:lineRule="auto"/>
        <w:rPr>
          <w:rFonts w:cs="Arial"/>
          <w:sz w:val="18"/>
          <w:szCs w:val="18"/>
          <w:lang w:val="en-US"/>
        </w:rPr>
      </w:pPr>
    </w:p>
    <w:p w14:paraId="21A1C8AA" w14:textId="77777777" w:rsidR="00641C00" w:rsidRPr="004C5A7A" w:rsidRDefault="00641C00" w:rsidP="00641C00">
      <w:pPr>
        <w:pStyle w:val="Body"/>
        <w:spacing w:after="0" w:line="240" w:lineRule="auto"/>
        <w:rPr>
          <w:rFonts w:cs="Arial"/>
          <w:sz w:val="18"/>
          <w:szCs w:val="18"/>
          <w:lang w:val="en-US"/>
        </w:rPr>
      </w:pPr>
    </w:p>
    <w:bookmarkEnd w:id="130"/>
    <w:p w14:paraId="569BDDED" w14:textId="77777777" w:rsidR="00641C00" w:rsidRPr="00794410" w:rsidRDefault="00641C00" w:rsidP="00641C00">
      <w:pPr>
        <w:pStyle w:val="05-Textonormal"/>
        <w:spacing w:before="0" w:after="0" w:line="240" w:lineRule="auto"/>
        <w:rPr>
          <w:rFonts w:cs="Arial"/>
          <w:snapToGrid w:val="0"/>
          <w:lang w:val="en-US"/>
        </w:rPr>
      </w:pPr>
      <w:r w:rsidRPr="00794410">
        <w:rPr>
          <w:rFonts w:cs="Arial"/>
          <w:snapToGrid w:val="0"/>
          <w:lang w:val="en-US"/>
        </w:rPr>
        <w:t xml:space="preserve">Rafael Augusto </w:t>
      </w:r>
      <w:proofErr w:type="spellStart"/>
      <w:r w:rsidRPr="00794410">
        <w:rPr>
          <w:rFonts w:cs="Arial"/>
          <w:snapToGrid w:val="0"/>
          <w:lang w:val="en-US"/>
        </w:rPr>
        <w:t>Sperendio</w:t>
      </w:r>
      <w:proofErr w:type="spellEnd"/>
    </w:p>
    <w:p w14:paraId="349DA178" w14:textId="77777777" w:rsidR="00641C00" w:rsidRPr="004C5A7A" w:rsidRDefault="00641C00" w:rsidP="00641C00">
      <w:pPr>
        <w:pStyle w:val="Body"/>
        <w:spacing w:after="0" w:line="240" w:lineRule="auto"/>
        <w:rPr>
          <w:rFonts w:cs="Arial"/>
          <w:sz w:val="18"/>
          <w:szCs w:val="18"/>
          <w:lang w:val="en-US"/>
        </w:rPr>
      </w:pPr>
      <w:r w:rsidRPr="004C5A7A">
        <w:rPr>
          <w:rFonts w:cs="Arial"/>
          <w:sz w:val="18"/>
          <w:szCs w:val="18"/>
          <w:lang w:val="en-US"/>
        </w:rPr>
        <w:t>Chief Financial Officer</w:t>
      </w:r>
    </w:p>
    <w:p w14:paraId="1E48404D" w14:textId="77777777" w:rsidR="00641C00" w:rsidRPr="00B15CC5" w:rsidRDefault="00641C00" w:rsidP="00641C00">
      <w:pPr>
        <w:spacing w:after="0" w:line="240" w:lineRule="auto"/>
        <w:rPr>
          <w:rFonts w:ascii="Arial" w:eastAsia="Times New Roman" w:hAnsi="Arial" w:cs="Arial"/>
          <w:sz w:val="20"/>
          <w:szCs w:val="20"/>
          <w:lang w:val="en-US" w:eastAsia="pt-BR"/>
        </w:rPr>
      </w:pPr>
      <w:r w:rsidRPr="00B15CC5">
        <w:rPr>
          <w:rFonts w:ascii="Arial" w:eastAsia="Times New Roman" w:hAnsi="Arial" w:cs="Arial"/>
          <w:sz w:val="20"/>
          <w:szCs w:val="20"/>
          <w:lang w:val="en-US" w:eastAsia="pt-BR"/>
        </w:rPr>
        <w:br w:type="page"/>
      </w:r>
    </w:p>
    <w:p w14:paraId="6EBA1F7C" w14:textId="77777777" w:rsidR="00641C00" w:rsidRPr="00794410" w:rsidRDefault="00641C00" w:rsidP="00641C00">
      <w:pPr>
        <w:pStyle w:val="Ttulo2"/>
        <w:jc w:val="both"/>
        <w:rPr>
          <w:rFonts w:ascii="Arial" w:hAnsi="Arial" w:cs="Arial"/>
          <w:b/>
          <w:bCs/>
          <w:color w:val="1F3864" w:themeColor="accent1" w:themeShade="80"/>
          <w:sz w:val="20"/>
          <w:szCs w:val="20"/>
          <w:lang w:val="en-US"/>
        </w:rPr>
      </w:pPr>
      <w:bookmarkStart w:id="131" w:name="DECLARATION"/>
      <w:r w:rsidRPr="00794410">
        <w:rPr>
          <w:rFonts w:ascii="Arial" w:hAnsi="Arial" w:cs="Arial"/>
          <w:b/>
          <w:bCs/>
          <w:color w:val="1F3864" w:themeColor="accent1" w:themeShade="80"/>
          <w:sz w:val="20"/>
          <w:szCs w:val="20"/>
          <w:lang w:val="en-US"/>
        </w:rPr>
        <w:lastRenderedPageBreak/>
        <w:t>DECLARATION</w:t>
      </w:r>
      <w:bookmarkEnd w:id="131"/>
      <w:r w:rsidRPr="00794410">
        <w:rPr>
          <w:rFonts w:ascii="Arial" w:hAnsi="Arial" w:cs="Arial"/>
          <w:b/>
          <w:bCs/>
          <w:color w:val="1F3864" w:themeColor="accent1" w:themeShade="80"/>
          <w:sz w:val="20"/>
          <w:szCs w:val="20"/>
          <w:lang w:val="en-US"/>
        </w:rPr>
        <w:t xml:space="preserve"> OF THE MEMBERS OF THE EXECUTIVE BOARD ON THE REPORT OF THE INDEPENDENT AUDITORS</w:t>
      </w:r>
    </w:p>
    <w:p w14:paraId="7556BEB2" w14:textId="77777777" w:rsidR="00641C00" w:rsidRPr="004C5A7A" w:rsidRDefault="00641C00" w:rsidP="00641C00">
      <w:pPr>
        <w:spacing w:after="0" w:line="240" w:lineRule="auto"/>
        <w:jc w:val="both"/>
        <w:rPr>
          <w:rFonts w:ascii="Arial" w:eastAsia="Times New Roman" w:hAnsi="Arial" w:cs="Arial"/>
          <w:kern w:val="20"/>
          <w:sz w:val="20"/>
          <w:szCs w:val="24"/>
          <w:lang w:val="en" w:eastAsia="en-GB"/>
        </w:rPr>
      </w:pPr>
    </w:p>
    <w:p w14:paraId="1BDEAD2D" w14:textId="77777777" w:rsidR="00641C00" w:rsidRPr="004C5A7A" w:rsidRDefault="00641C00" w:rsidP="00641C00">
      <w:pPr>
        <w:pStyle w:val="05-Textonormal"/>
        <w:spacing w:before="0" w:after="0" w:line="240" w:lineRule="auto"/>
        <w:rPr>
          <w:rStyle w:val="hps"/>
          <w:rFonts w:cs="Arial"/>
          <w:lang w:val="en"/>
        </w:rPr>
      </w:pPr>
      <w:r w:rsidRPr="004C5A7A">
        <w:rPr>
          <w:rStyle w:val="hps"/>
          <w:rFonts w:cs="Arial"/>
          <w:lang w:val="en"/>
        </w:rPr>
        <w:t>In accordance with</w:t>
      </w:r>
      <w:r w:rsidRPr="004C5A7A">
        <w:rPr>
          <w:rFonts w:cs="Arial"/>
          <w:lang w:val="en"/>
        </w:rPr>
        <w:t xml:space="preserve"> </w:t>
      </w:r>
      <w:r w:rsidRPr="004C5A7A">
        <w:rPr>
          <w:rStyle w:val="hps"/>
          <w:rFonts w:cs="Arial"/>
          <w:lang w:val="en"/>
        </w:rPr>
        <w:t>Article</w:t>
      </w:r>
      <w:r w:rsidRPr="004C5A7A">
        <w:rPr>
          <w:rFonts w:cs="Arial"/>
          <w:lang w:val="en"/>
        </w:rPr>
        <w:t xml:space="preserve"> 27</w:t>
      </w:r>
      <w:r w:rsidRPr="004C5A7A">
        <w:rPr>
          <w:rStyle w:val="hps"/>
          <w:rFonts w:cs="Arial"/>
          <w:lang w:val="en"/>
        </w:rPr>
        <w:t xml:space="preserve"> of CVM</w:t>
      </w:r>
      <w:r w:rsidRPr="004C5A7A">
        <w:rPr>
          <w:rFonts w:cs="Arial"/>
          <w:lang w:val="en"/>
        </w:rPr>
        <w:t xml:space="preserve"> </w:t>
      </w:r>
      <w:r w:rsidRPr="004C5A7A">
        <w:rPr>
          <w:rStyle w:val="hps"/>
          <w:rFonts w:cs="Arial"/>
          <w:lang w:val="en"/>
        </w:rPr>
        <w:t>Rule N.</w:t>
      </w:r>
      <w:r w:rsidRPr="004C5A7A">
        <w:rPr>
          <w:rFonts w:cs="Arial"/>
          <w:lang w:val="en"/>
        </w:rPr>
        <w:t xml:space="preserve"> </w:t>
      </w:r>
      <w:r w:rsidRPr="004C5A7A">
        <w:rPr>
          <w:rStyle w:val="hps"/>
          <w:rFonts w:cs="Arial"/>
          <w:lang w:val="en"/>
        </w:rPr>
        <w:t>80, dated</w:t>
      </w:r>
      <w:r w:rsidRPr="004C5A7A">
        <w:rPr>
          <w:rFonts w:cs="Arial"/>
          <w:lang w:val="en"/>
        </w:rPr>
        <w:t xml:space="preserve"> March </w:t>
      </w:r>
      <w:r w:rsidRPr="004C5A7A">
        <w:rPr>
          <w:rStyle w:val="hps"/>
          <w:rFonts w:cs="Arial"/>
          <w:lang w:val="en"/>
        </w:rPr>
        <w:t>29, 2022</w:t>
      </w:r>
      <w:r w:rsidRPr="004C5A7A">
        <w:rPr>
          <w:rFonts w:cs="Arial"/>
          <w:lang w:val="en"/>
        </w:rPr>
        <w:t xml:space="preserve">, I declare that </w:t>
      </w:r>
      <w:r w:rsidRPr="004C5A7A">
        <w:rPr>
          <w:rStyle w:val="hps"/>
          <w:rFonts w:cs="Arial"/>
          <w:lang w:val="en"/>
        </w:rPr>
        <w:t>based on</w:t>
      </w:r>
      <w:r w:rsidRPr="004C5A7A">
        <w:rPr>
          <w:rFonts w:cs="Arial"/>
          <w:lang w:val="en"/>
        </w:rPr>
        <w:t xml:space="preserve"> </w:t>
      </w:r>
      <w:r w:rsidRPr="004C5A7A">
        <w:rPr>
          <w:rStyle w:val="hps"/>
          <w:rFonts w:cs="Arial"/>
          <w:lang w:val="en"/>
        </w:rPr>
        <w:t>my knowledge</w:t>
      </w:r>
      <w:r w:rsidRPr="004C5A7A">
        <w:rPr>
          <w:rFonts w:cs="Arial"/>
          <w:lang w:val="en"/>
        </w:rPr>
        <w:t xml:space="preserve">, </w:t>
      </w:r>
      <w:r w:rsidRPr="004C5A7A">
        <w:rPr>
          <w:rStyle w:val="hps"/>
          <w:rFonts w:cs="Arial"/>
          <w:lang w:val="en"/>
        </w:rPr>
        <w:t>the planning submitted</w:t>
      </w:r>
      <w:r w:rsidRPr="004C5A7A">
        <w:rPr>
          <w:rFonts w:cs="Arial"/>
          <w:lang w:val="en"/>
        </w:rPr>
        <w:t xml:space="preserve"> </w:t>
      </w:r>
      <w:r w:rsidRPr="004C5A7A">
        <w:rPr>
          <w:rStyle w:val="hps"/>
          <w:rFonts w:cs="Arial"/>
          <w:lang w:val="en"/>
        </w:rPr>
        <w:t>by the auditors and</w:t>
      </w:r>
      <w:r w:rsidRPr="004C5A7A">
        <w:rPr>
          <w:rFonts w:cs="Arial"/>
          <w:lang w:val="en"/>
        </w:rPr>
        <w:t xml:space="preserve"> </w:t>
      </w:r>
      <w:r w:rsidRPr="004C5A7A">
        <w:rPr>
          <w:rStyle w:val="hps"/>
          <w:rFonts w:cs="Arial"/>
          <w:lang w:val="en"/>
        </w:rPr>
        <w:t>the subsequent discussions</w:t>
      </w:r>
      <w:r w:rsidRPr="004C5A7A">
        <w:rPr>
          <w:rFonts w:cs="Arial"/>
          <w:lang w:val="en"/>
        </w:rPr>
        <w:t xml:space="preserve"> </w:t>
      </w:r>
      <w:r w:rsidRPr="004C5A7A">
        <w:rPr>
          <w:rStyle w:val="hps"/>
          <w:rFonts w:cs="Arial"/>
          <w:lang w:val="en"/>
        </w:rPr>
        <w:t>on the</w:t>
      </w:r>
      <w:r w:rsidRPr="004C5A7A">
        <w:rPr>
          <w:rFonts w:cs="Arial"/>
          <w:lang w:val="en"/>
        </w:rPr>
        <w:t xml:space="preserve"> </w:t>
      </w:r>
      <w:r w:rsidRPr="004C5A7A">
        <w:rPr>
          <w:rStyle w:val="hps"/>
          <w:rFonts w:cs="Arial"/>
          <w:lang w:val="en"/>
        </w:rPr>
        <w:t>audit results</w:t>
      </w:r>
      <w:r w:rsidRPr="004C5A7A">
        <w:rPr>
          <w:rFonts w:cs="Arial"/>
          <w:lang w:val="en"/>
        </w:rPr>
        <w:t xml:space="preserve">, I agree </w:t>
      </w:r>
      <w:r w:rsidRPr="004C5A7A">
        <w:rPr>
          <w:rStyle w:val="hps"/>
          <w:rFonts w:cs="Arial"/>
          <w:lang w:val="en"/>
        </w:rPr>
        <w:t>with the</w:t>
      </w:r>
      <w:r w:rsidRPr="004C5A7A">
        <w:rPr>
          <w:rFonts w:cs="Arial"/>
          <w:lang w:val="en"/>
        </w:rPr>
        <w:t xml:space="preserve"> </w:t>
      </w:r>
      <w:r w:rsidRPr="004C5A7A">
        <w:rPr>
          <w:rStyle w:val="hps"/>
          <w:rFonts w:cs="Arial"/>
          <w:lang w:val="en"/>
        </w:rPr>
        <w:t>opinions expressed in</w:t>
      </w:r>
      <w:r w:rsidRPr="004C5A7A">
        <w:rPr>
          <w:rFonts w:cs="Arial"/>
          <w:lang w:val="en"/>
        </w:rPr>
        <w:t xml:space="preserve"> </w:t>
      </w:r>
      <w:r w:rsidRPr="004C5A7A">
        <w:rPr>
          <w:rStyle w:val="hps"/>
          <w:rFonts w:cs="Arial"/>
          <w:lang w:val="en"/>
        </w:rPr>
        <w:t>the KPMG Independent Auditors’ report</w:t>
      </w:r>
      <w:r w:rsidRPr="004C5A7A">
        <w:rPr>
          <w:rFonts w:cs="Arial"/>
          <w:lang w:val="en"/>
        </w:rPr>
        <w:t xml:space="preserve">, </w:t>
      </w:r>
      <w:r w:rsidRPr="004C5A7A">
        <w:rPr>
          <w:rStyle w:val="hps"/>
          <w:rFonts w:cs="Arial"/>
          <w:lang w:val="en"/>
        </w:rPr>
        <w:t>dated</w:t>
      </w:r>
      <w:r w:rsidRPr="004C5A7A">
        <w:rPr>
          <w:rFonts w:cs="Arial"/>
          <w:lang w:val="en"/>
        </w:rPr>
        <w:t xml:space="preserve"> February</w:t>
      </w:r>
      <w:r w:rsidRPr="004C5A7A">
        <w:rPr>
          <w:rFonts w:cs="Arial"/>
          <w:lang w:val="en-US"/>
        </w:rPr>
        <w:t xml:space="preserve"> 14, 2025</w:t>
      </w:r>
      <w:r w:rsidRPr="004C5A7A">
        <w:rPr>
          <w:rFonts w:cs="Arial"/>
          <w:lang w:val="en"/>
        </w:rPr>
        <w:t xml:space="preserve">, </w:t>
      </w:r>
      <w:r w:rsidRPr="004C5A7A">
        <w:rPr>
          <w:rStyle w:val="hps"/>
          <w:rFonts w:cs="Arial"/>
          <w:lang w:val="en"/>
        </w:rPr>
        <w:t>related</w:t>
      </w:r>
      <w:r w:rsidRPr="004C5A7A">
        <w:rPr>
          <w:rFonts w:cs="Arial"/>
          <w:lang w:val="en"/>
        </w:rPr>
        <w:t xml:space="preserve"> </w:t>
      </w:r>
      <w:r w:rsidRPr="004C5A7A">
        <w:rPr>
          <w:rStyle w:val="hps"/>
          <w:rFonts w:cs="Arial"/>
          <w:lang w:val="en"/>
        </w:rPr>
        <w:t>to the financial statements</w:t>
      </w:r>
      <w:r w:rsidRPr="004C5A7A">
        <w:rPr>
          <w:rFonts w:cs="Arial"/>
          <w:lang w:val="en"/>
        </w:rPr>
        <w:t xml:space="preserve"> </w:t>
      </w:r>
      <w:r w:rsidRPr="004C5A7A">
        <w:rPr>
          <w:rStyle w:val="hps"/>
          <w:rFonts w:cs="Arial"/>
          <w:lang w:val="en"/>
        </w:rPr>
        <w:t>of BB</w:t>
      </w:r>
      <w:r w:rsidRPr="004C5A7A">
        <w:rPr>
          <w:rFonts w:cs="Arial"/>
          <w:lang w:val="en"/>
        </w:rPr>
        <w:t xml:space="preserve"> </w:t>
      </w:r>
      <w:proofErr w:type="spellStart"/>
      <w:r w:rsidRPr="004C5A7A">
        <w:rPr>
          <w:rStyle w:val="hps"/>
          <w:rFonts w:cs="Arial"/>
          <w:lang w:val="en"/>
        </w:rPr>
        <w:t>Seguridade</w:t>
      </w:r>
      <w:proofErr w:type="spellEnd"/>
      <w:r w:rsidRPr="004C5A7A">
        <w:rPr>
          <w:rFonts w:cs="Arial"/>
          <w:lang w:val="en"/>
        </w:rPr>
        <w:t xml:space="preserve"> </w:t>
      </w:r>
      <w:proofErr w:type="spellStart"/>
      <w:r w:rsidRPr="004C5A7A">
        <w:rPr>
          <w:rStyle w:val="hps"/>
          <w:rFonts w:cs="Arial"/>
          <w:lang w:val="en"/>
        </w:rPr>
        <w:t>Participações</w:t>
      </w:r>
      <w:proofErr w:type="spellEnd"/>
      <w:r w:rsidRPr="004C5A7A">
        <w:rPr>
          <w:rFonts w:cs="Arial"/>
          <w:lang w:val="en"/>
        </w:rPr>
        <w:t xml:space="preserve"> </w:t>
      </w:r>
      <w:r w:rsidRPr="004C5A7A">
        <w:rPr>
          <w:rStyle w:val="hps"/>
          <w:rFonts w:cs="Arial"/>
          <w:lang w:val="en"/>
        </w:rPr>
        <w:t>S.A.</w:t>
      </w:r>
      <w:r w:rsidRPr="004C5A7A">
        <w:rPr>
          <w:rFonts w:cs="Arial"/>
          <w:lang w:val="en"/>
        </w:rPr>
        <w:t xml:space="preserve"> </w:t>
      </w:r>
      <w:r w:rsidRPr="004C5A7A">
        <w:rPr>
          <w:rStyle w:val="hps"/>
          <w:rFonts w:cs="Arial"/>
          <w:lang w:val="en"/>
        </w:rPr>
        <w:t>for the fiscal year ended</w:t>
      </w:r>
      <w:r w:rsidRPr="004C5A7A">
        <w:rPr>
          <w:rFonts w:cs="Arial"/>
          <w:lang w:val="en"/>
        </w:rPr>
        <w:t xml:space="preserve"> December</w:t>
      </w:r>
      <w:r w:rsidRPr="004C5A7A">
        <w:rPr>
          <w:rFonts w:cs="Arial"/>
          <w:lang w:val="en-US"/>
        </w:rPr>
        <w:t xml:space="preserve"> 31, 2024,</w:t>
      </w:r>
      <w:r w:rsidRPr="004C5A7A">
        <w:rPr>
          <w:rFonts w:cs="Arial"/>
          <w:lang w:val="en"/>
        </w:rPr>
        <w:t xml:space="preserve"> </w:t>
      </w:r>
      <w:r w:rsidRPr="004C5A7A">
        <w:rPr>
          <w:rStyle w:val="hps"/>
          <w:rFonts w:cs="Arial"/>
          <w:lang w:val="en"/>
        </w:rPr>
        <w:t>there being no disagreement.</w:t>
      </w:r>
    </w:p>
    <w:p w14:paraId="48A64A39" w14:textId="77777777" w:rsidR="00641C00" w:rsidRPr="004C5A7A" w:rsidRDefault="00641C00" w:rsidP="00641C00">
      <w:pPr>
        <w:pStyle w:val="05-Textonormal"/>
        <w:spacing w:before="0" w:after="0" w:line="240" w:lineRule="auto"/>
        <w:rPr>
          <w:rStyle w:val="hps"/>
          <w:rFonts w:cs="Arial"/>
          <w:lang w:val="en"/>
        </w:rPr>
      </w:pPr>
    </w:p>
    <w:p w14:paraId="2E7A535C" w14:textId="77777777" w:rsidR="00641C00" w:rsidRPr="004C5A7A" w:rsidRDefault="00641C00" w:rsidP="00641C00">
      <w:pPr>
        <w:pStyle w:val="05-Textonormal"/>
        <w:spacing w:before="0" w:after="0" w:line="240" w:lineRule="auto"/>
        <w:rPr>
          <w:rStyle w:val="hps"/>
          <w:rFonts w:cs="Arial"/>
          <w:lang w:val="en"/>
        </w:rPr>
      </w:pPr>
    </w:p>
    <w:p w14:paraId="25DCC46B" w14:textId="77777777" w:rsidR="00641C00" w:rsidRPr="004C5A7A" w:rsidRDefault="00641C00" w:rsidP="00641C00">
      <w:pPr>
        <w:pStyle w:val="Body"/>
        <w:spacing w:after="0" w:line="240" w:lineRule="auto"/>
        <w:rPr>
          <w:rFonts w:cs="Arial"/>
          <w:sz w:val="18"/>
          <w:szCs w:val="18"/>
        </w:rPr>
      </w:pPr>
      <w:r w:rsidRPr="004C5A7A">
        <w:rPr>
          <w:rFonts w:cs="Arial"/>
          <w:sz w:val="18"/>
          <w:szCs w:val="18"/>
        </w:rPr>
        <w:t xml:space="preserve">Brasília, </w:t>
      </w:r>
      <w:proofErr w:type="spellStart"/>
      <w:r w:rsidRPr="004C5A7A">
        <w:rPr>
          <w:rFonts w:cs="Arial"/>
          <w:sz w:val="18"/>
          <w:szCs w:val="18"/>
        </w:rPr>
        <w:t>February</w:t>
      </w:r>
      <w:proofErr w:type="spellEnd"/>
      <w:r w:rsidRPr="004C5A7A">
        <w:rPr>
          <w:rFonts w:cs="Arial"/>
          <w:sz w:val="18"/>
          <w:szCs w:val="18"/>
        </w:rPr>
        <w:t xml:space="preserve"> 14, 2025.</w:t>
      </w:r>
    </w:p>
    <w:p w14:paraId="2168081A" w14:textId="77777777" w:rsidR="00641C00" w:rsidRPr="004C5A7A" w:rsidRDefault="00641C00" w:rsidP="00641C00">
      <w:pPr>
        <w:pStyle w:val="Body"/>
        <w:tabs>
          <w:tab w:val="left" w:pos="3083"/>
        </w:tabs>
        <w:spacing w:after="0" w:line="240" w:lineRule="auto"/>
        <w:rPr>
          <w:rFonts w:cs="Arial"/>
          <w:sz w:val="18"/>
          <w:szCs w:val="18"/>
        </w:rPr>
      </w:pPr>
    </w:p>
    <w:p w14:paraId="2F0B8F02" w14:textId="77777777" w:rsidR="00641C00" w:rsidRPr="004C5A7A" w:rsidRDefault="00641C00" w:rsidP="00641C00">
      <w:pPr>
        <w:pStyle w:val="Body"/>
        <w:tabs>
          <w:tab w:val="left" w:pos="3083"/>
        </w:tabs>
        <w:spacing w:after="0" w:line="240" w:lineRule="auto"/>
        <w:rPr>
          <w:rFonts w:cs="Arial"/>
          <w:sz w:val="18"/>
          <w:szCs w:val="18"/>
        </w:rPr>
      </w:pPr>
    </w:p>
    <w:p w14:paraId="697A1717" w14:textId="77777777" w:rsidR="00641C00" w:rsidRPr="004C5A7A" w:rsidRDefault="00641C00" w:rsidP="00641C00">
      <w:pPr>
        <w:pStyle w:val="Body"/>
        <w:spacing w:after="0" w:line="240" w:lineRule="auto"/>
        <w:rPr>
          <w:rFonts w:cs="Arial"/>
          <w:sz w:val="18"/>
          <w:szCs w:val="18"/>
        </w:rPr>
      </w:pPr>
      <w:r w:rsidRPr="004C5A7A">
        <w:rPr>
          <w:rFonts w:cs="Arial"/>
          <w:sz w:val="18"/>
          <w:szCs w:val="18"/>
        </w:rPr>
        <w:t xml:space="preserve">André Gustavo Borba Assumpção </w:t>
      </w:r>
      <w:proofErr w:type="spellStart"/>
      <w:r w:rsidRPr="004C5A7A">
        <w:rPr>
          <w:rFonts w:cs="Arial"/>
          <w:sz w:val="18"/>
          <w:szCs w:val="18"/>
        </w:rPr>
        <w:t>Haui</w:t>
      </w:r>
      <w:proofErr w:type="spellEnd"/>
      <w:r w:rsidRPr="004C5A7A">
        <w:rPr>
          <w:rFonts w:cs="Arial"/>
          <w:sz w:val="18"/>
          <w:szCs w:val="18"/>
        </w:rPr>
        <w:t xml:space="preserve"> </w:t>
      </w:r>
    </w:p>
    <w:p w14:paraId="0BD4C59E" w14:textId="77777777" w:rsidR="00641C00" w:rsidRPr="004C5A7A" w:rsidRDefault="00641C00" w:rsidP="00641C00">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7CAE0654" w14:textId="77777777" w:rsidR="00641C00" w:rsidRPr="004C5A7A" w:rsidRDefault="00641C00" w:rsidP="00641C00">
      <w:pPr>
        <w:pStyle w:val="Body"/>
        <w:spacing w:after="0" w:line="240" w:lineRule="auto"/>
        <w:rPr>
          <w:rFonts w:cs="Arial"/>
          <w:sz w:val="18"/>
          <w:szCs w:val="18"/>
        </w:rPr>
      </w:pPr>
    </w:p>
    <w:p w14:paraId="3B35ACBE" w14:textId="77777777" w:rsidR="00641C00" w:rsidRPr="004C5A7A" w:rsidRDefault="00641C00" w:rsidP="00641C00">
      <w:pPr>
        <w:pStyle w:val="Body"/>
        <w:spacing w:after="0" w:line="240" w:lineRule="auto"/>
        <w:rPr>
          <w:rFonts w:cs="Arial"/>
          <w:sz w:val="18"/>
          <w:szCs w:val="18"/>
        </w:rPr>
      </w:pPr>
    </w:p>
    <w:p w14:paraId="1530C1FA" w14:textId="77777777" w:rsidR="00641C00" w:rsidRPr="004C5A7A" w:rsidRDefault="00641C00" w:rsidP="00641C00">
      <w:pPr>
        <w:pStyle w:val="05-Textonormal"/>
        <w:spacing w:before="0" w:after="0" w:line="240" w:lineRule="auto"/>
        <w:rPr>
          <w:rFonts w:cs="Arial"/>
        </w:rPr>
      </w:pPr>
      <w:r w:rsidRPr="004C5A7A">
        <w:rPr>
          <w:rFonts w:cs="Arial"/>
        </w:rPr>
        <w:t>Bruno Alves do Nascimento</w:t>
      </w:r>
    </w:p>
    <w:p w14:paraId="0A8E5C34" w14:textId="77777777" w:rsidR="00641C00" w:rsidRPr="00857CB9" w:rsidRDefault="00641C00" w:rsidP="00641C00">
      <w:pPr>
        <w:spacing w:after="0" w:line="240" w:lineRule="auto"/>
        <w:jc w:val="both"/>
        <w:rPr>
          <w:rFonts w:ascii="Arial" w:eastAsia="Times New Roman" w:hAnsi="Arial" w:cs="Arial"/>
          <w:kern w:val="20"/>
          <w:sz w:val="18"/>
          <w:szCs w:val="18"/>
          <w:lang w:val="en-US" w:eastAsia="en-GB"/>
        </w:rPr>
      </w:pPr>
      <w:r w:rsidRPr="00857CB9">
        <w:rPr>
          <w:rFonts w:ascii="Arial" w:eastAsia="Times New Roman" w:hAnsi="Arial" w:cs="Arial"/>
          <w:kern w:val="20"/>
          <w:sz w:val="18"/>
          <w:szCs w:val="18"/>
          <w:lang w:val="en-US" w:eastAsia="en-GB"/>
        </w:rPr>
        <w:t>Chief Strategy Officer</w:t>
      </w:r>
    </w:p>
    <w:p w14:paraId="1273FC34" w14:textId="77777777" w:rsidR="00641C00" w:rsidRPr="00857CB9" w:rsidRDefault="00641C00" w:rsidP="00641C00">
      <w:pPr>
        <w:pStyle w:val="Body"/>
        <w:spacing w:after="0" w:line="240" w:lineRule="auto"/>
        <w:rPr>
          <w:rFonts w:cs="Arial"/>
          <w:sz w:val="18"/>
          <w:szCs w:val="18"/>
          <w:lang w:val="en-US"/>
        </w:rPr>
      </w:pPr>
    </w:p>
    <w:p w14:paraId="069F0B0B" w14:textId="77777777" w:rsidR="00641C00" w:rsidRPr="00857CB9" w:rsidRDefault="00641C00" w:rsidP="00641C00">
      <w:pPr>
        <w:pStyle w:val="Body"/>
        <w:spacing w:after="0" w:line="240" w:lineRule="auto"/>
        <w:rPr>
          <w:rFonts w:cs="Arial"/>
          <w:sz w:val="18"/>
          <w:szCs w:val="18"/>
          <w:lang w:val="en-US"/>
        </w:rPr>
      </w:pPr>
    </w:p>
    <w:p w14:paraId="1E7768A9" w14:textId="77777777" w:rsidR="00641C00" w:rsidRPr="004C5A7A" w:rsidRDefault="00641C00" w:rsidP="00641C00">
      <w:pPr>
        <w:pStyle w:val="05-Textonormal"/>
        <w:spacing w:before="0" w:after="0" w:line="240" w:lineRule="auto"/>
        <w:rPr>
          <w:rFonts w:cs="Arial"/>
          <w:snapToGrid w:val="0"/>
          <w:lang w:val="en-US"/>
        </w:rPr>
      </w:pPr>
      <w:r w:rsidRPr="004C5A7A">
        <w:rPr>
          <w:rFonts w:cs="Arial"/>
          <w:snapToGrid w:val="0"/>
          <w:lang w:val="en-US"/>
        </w:rPr>
        <w:t>Allan Trancoso Ferraz Silva</w:t>
      </w:r>
    </w:p>
    <w:p w14:paraId="65F6CFB1" w14:textId="77777777" w:rsidR="00641C00" w:rsidRPr="00B15CC5" w:rsidRDefault="00641C00" w:rsidP="00641C00">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88AB143" w14:textId="77777777" w:rsidR="00641C00" w:rsidRPr="004C5A7A" w:rsidRDefault="00641C00" w:rsidP="00641C00">
      <w:pPr>
        <w:pStyle w:val="Body"/>
        <w:spacing w:after="0" w:line="240" w:lineRule="auto"/>
        <w:rPr>
          <w:rFonts w:cs="Arial"/>
          <w:sz w:val="18"/>
          <w:szCs w:val="18"/>
          <w:lang w:val="en-US"/>
        </w:rPr>
      </w:pPr>
    </w:p>
    <w:p w14:paraId="0BBF29C4" w14:textId="77777777" w:rsidR="00641C00" w:rsidRPr="004C5A7A" w:rsidRDefault="00641C00" w:rsidP="00641C00">
      <w:pPr>
        <w:pStyle w:val="Body"/>
        <w:spacing w:after="0" w:line="240" w:lineRule="auto"/>
        <w:rPr>
          <w:rFonts w:cs="Arial"/>
          <w:sz w:val="18"/>
          <w:szCs w:val="18"/>
          <w:lang w:val="en-US"/>
        </w:rPr>
      </w:pPr>
    </w:p>
    <w:p w14:paraId="3FB1F030" w14:textId="77777777" w:rsidR="00641C00" w:rsidRPr="00794410" w:rsidRDefault="00641C00" w:rsidP="00641C00">
      <w:pPr>
        <w:pStyle w:val="05-Textonormal"/>
        <w:spacing w:before="0" w:after="0" w:line="240" w:lineRule="auto"/>
        <w:rPr>
          <w:rFonts w:cs="Arial"/>
          <w:snapToGrid w:val="0"/>
          <w:lang w:val="en-US"/>
        </w:rPr>
      </w:pPr>
      <w:r w:rsidRPr="00794410">
        <w:rPr>
          <w:rFonts w:cs="Arial"/>
          <w:snapToGrid w:val="0"/>
          <w:lang w:val="en-US"/>
        </w:rPr>
        <w:t xml:space="preserve">Rafael Augusto </w:t>
      </w:r>
      <w:proofErr w:type="spellStart"/>
      <w:r w:rsidRPr="00794410">
        <w:rPr>
          <w:rFonts w:cs="Arial"/>
          <w:snapToGrid w:val="0"/>
          <w:lang w:val="en-US"/>
        </w:rPr>
        <w:t>Sperendio</w:t>
      </w:r>
      <w:proofErr w:type="spellEnd"/>
    </w:p>
    <w:p w14:paraId="28582CD1" w14:textId="77777777" w:rsidR="00641C00" w:rsidRDefault="00641C00" w:rsidP="00641C00">
      <w:pPr>
        <w:pStyle w:val="Body"/>
        <w:spacing w:after="0" w:line="240" w:lineRule="auto"/>
        <w:rPr>
          <w:rFonts w:cs="Arial"/>
          <w:sz w:val="18"/>
          <w:szCs w:val="18"/>
          <w:lang w:val="en-US"/>
        </w:rPr>
      </w:pPr>
      <w:r w:rsidRPr="004C5A7A">
        <w:rPr>
          <w:rFonts w:cs="Arial"/>
          <w:sz w:val="18"/>
          <w:szCs w:val="18"/>
          <w:lang w:val="en-US"/>
        </w:rPr>
        <w:t>Chief Financial Officer</w:t>
      </w:r>
    </w:p>
    <w:p w14:paraId="085033DC" w14:textId="77777777" w:rsidR="00A56E09" w:rsidRDefault="00A56E09" w:rsidP="00641C00">
      <w:pPr>
        <w:pStyle w:val="Body"/>
        <w:spacing w:after="0" w:line="240" w:lineRule="auto"/>
        <w:rPr>
          <w:rFonts w:cs="Arial"/>
          <w:sz w:val="18"/>
          <w:szCs w:val="18"/>
          <w:lang w:val="en-US"/>
        </w:rPr>
      </w:pPr>
    </w:p>
    <w:p w14:paraId="09A07CA8" w14:textId="77777777" w:rsidR="00A56E09" w:rsidRDefault="00A56E09" w:rsidP="00641C00">
      <w:pPr>
        <w:pStyle w:val="Body"/>
        <w:spacing w:after="0" w:line="240" w:lineRule="auto"/>
        <w:rPr>
          <w:rFonts w:cs="Arial"/>
          <w:sz w:val="18"/>
          <w:szCs w:val="18"/>
          <w:lang w:val="en-US"/>
        </w:rPr>
      </w:pPr>
    </w:p>
    <w:p w14:paraId="24E3F215" w14:textId="77777777" w:rsidR="00A56E09" w:rsidRDefault="00A56E09" w:rsidP="00641C00">
      <w:pPr>
        <w:pStyle w:val="Body"/>
        <w:spacing w:after="0" w:line="240" w:lineRule="auto"/>
        <w:rPr>
          <w:rFonts w:cs="Arial"/>
          <w:sz w:val="18"/>
          <w:szCs w:val="18"/>
          <w:lang w:val="en-US"/>
        </w:rPr>
      </w:pPr>
    </w:p>
    <w:p w14:paraId="1C380B9E" w14:textId="77777777" w:rsidR="00A56E09" w:rsidRDefault="00A56E09" w:rsidP="00641C00">
      <w:pPr>
        <w:pStyle w:val="Body"/>
        <w:spacing w:after="0" w:line="240" w:lineRule="auto"/>
        <w:rPr>
          <w:rFonts w:cs="Arial"/>
          <w:sz w:val="18"/>
          <w:szCs w:val="18"/>
          <w:lang w:val="en-US"/>
        </w:rPr>
      </w:pPr>
    </w:p>
    <w:p w14:paraId="1B042334" w14:textId="77777777" w:rsidR="00A56E09" w:rsidRDefault="00A56E09" w:rsidP="00641C00">
      <w:pPr>
        <w:pStyle w:val="Body"/>
        <w:spacing w:after="0" w:line="240" w:lineRule="auto"/>
        <w:rPr>
          <w:rFonts w:cs="Arial"/>
          <w:sz w:val="18"/>
          <w:szCs w:val="18"/>
          <w:lang w:val="en-US"/>
        </w:rPr>
      </w:pPr>
    </w:p>
    <w:p w14:paraId="60EEFF6F" w14:textId="77777777" w:rsidR="00A56E09" w:rsidRDefault="00A56E09" w:rsidP="00641C00">
      <w:pPr>
        <w:pStyle w:val="Body"/>
        <w:spacing w:after="0" w:line="240" w:lineRule="auto"/>
        <w:rPr>
          <w:rFonts w:cs="Arial"/>
          <w:sz w:val="18"/>
          <w:szCs w:val="18"/>
          <w:lang w:val="en-US"/>
        </w:rPr>
      </w:pPr>
    </w:p>
    <w:p w14:paraId="27A0F753" w14:textId="77777777" w:rsidR="00A56E09" w:rsidRDefault="00A56E09" w:rsidP="00641C00">
      <w:pPr>
        <w:pStyle w:val="Body"/>
        <w:spacing w:after="0" w:line="240" w:lineRule="auto"/>
        <w:rPr>
          <w:rFonts w:cs="Arial"/>
          <w:sz w:val="18"/>
          <w:szCs w:val="18"/>
          <w:lang w:val="en-US"/>
        </w:rPr>
      </w:pPr>
    </w:p>
    <w:p w14:paraId="6CB10716" w14:textId="77777777" w:rsidR="00A56E09" w:rsidRDefault="00A56E09" w:rsidP="00641C00">
      <w:pPr>
        <w:pStyle w:val="Body"/>
        <w:spacing w:after="0" w:line="240" w:lineRule="auto"/>
        <w:rPr>
          <w:rFonts w:cs="Arial"/>
          <w:sz w:val="18"/>
          <w:szCs w:val="18"/>
          <w:lang w:val="en-US"/>
        </w:rPr>
      </w:pPr>
    </w:p>
    <w:p w14:paraId="1C57B796" w14:textId="77777777" w:rsidR="00A56E09" w:rsidRDefault="00A56E09" w:rsidP="00641C00">
      <w:pPr>
        <w:pStyle w:val="Body"/>
        <w:spacing w:after="0" w:line="240" w:lineRule="auto"/>
        <w:rPr>
          <w:rFonts w:cs="Arial"/>
          <w:sz w:val="18"/>
          <w:szCs w:val="18"/>
          <w:lang w:val="en-US"/>
        </w:rPr>
      </w:pPr>
    </w:p>
    <w:p w14:paraId="3FA33599" w14:textId="77777777" w:rsidR="00A56E09" w:rsidRDefault="00A56E09" w:rsidP="00641C00">
      <w:pPr>
        <w:pStyle w:val="Body"/>
        <w:spacing w:after="0" w:line="240" w:lineRule="auto"/>
        <w:rPr>
          <w:rFonts w:cs="Arial"/>
          <w:sz w:val="18"/>
          <w:szCs w:val="18"/>
          <w:lang w:val="en-US"/>
        </w:rPr>
      </w:pPr>
    </w:p>
    <w:p w14:paraId="44DB00B4" w14:textId="77777777" w:rsidR="00A56E09" w:rsidRDefault="00A56E09" w:rsidP="00641C00">
      <w:pPr>
        <w:pStyle w:val="Body"/>
        <w:spacing w:after="0" w:line="240" w:lineRule="auto"/>
        <w:rPr>
          <w:rFonts w:cs="Arial"/>
          <w:sz w:val="18"/>
          <w:szCs w:val="18"/>
          <w:lang w:val="en-US"/>
        </w:rPr>
      </w:pPr>
    </w:p>
    <w:p w14:paraId="1F6DE025" w14:textId="77777777" w:rsidR="00A56E09" w:rsidRDefault="00A56E09" w:rsidP="00641C00">
      <w:pPr>
        <w:pStyle w:val="Body"/>
        <w:spacing w:after="0" w:line="240" w:lineRule="auto"/>
        <w:rPr>
          <w:rFonts w:cs="Arial"/>
          <w:sz w:val="18"/>
          <w:szCs w:val="18"/>
          <w:lang w:val="en-US"/>
        </w:rPr>
      </w:pPr>
    </w:p>
    <w:p w14:paraId="136F9A9D" w14:textId="77777777" w:rsidR="00A56E09" w:rsidRDefault="00A56E09" w:rsidP="00641C00">
      <w:pPr>
        <w:pStyle w:val="Body"/>
        <w:spacing w:after="0" w:line="240" w:lineRule="auto"/>
        <w:rPr>
          <w:rFonts w:cs="Arial"/>
          <w:sz w:val="18"/>
          <w:szCs w:val="18"/>
          <w:lang w:val="en-US"/>
        </w:rPr>
      </w:pPr>
    </w:p>
    <w:p w14:paraId="654E6E3A" w14:textId="77777777" w:rsidR="00A56E09" w:rsidRDefault="00A56E09" w:rsidP="00641C00">
      <w:pPr>
        <w:pStyle w:val="Body"/>
        <w:spacing w:after="0" w:line="240" w:lineRule="auto"/>
        <w:rPr>
          <w:rFonts w:cs="Arial"/>
          <w:sz w:val="18"/>
          <w:szCs w:val="18"/>
          <w:lang w:val="en-US"/>
        </w:rPr>
      </w:pPr>
    </w:p>
    <w:p w14:paraId="2906F3C8" w14:textId="77777777" w:rsidR="00A56E09" w:rsidRDefault="00A56E09" w:rsidP="00641C00">
      <w:pPr>
        <w:pStyle w:val="Body"/>
        <w:spacing w:after="0" w:line="240" w:lineRule="auto"/>
        <w:rPr>
          <w:rFonts w:cs="Arial"/>
          <w:sz w:val="18"/>
          <w:szCs w:val="18"/>
          <w:lang w:val="en-US"/>
        </w:rPr>
      </w:pPr>
    </w:p>
    <w:p w14:paraId="79207588" w14:textId="77777777" w:rsidR="00A56E09" w:rsidRDefault="00A56E09" w:rsidP="00641C00">
      <w:pPr>
        <w:pStyle w:val="Body"/>
        <w:spacing w:after="0" w:line="240" w:lineRule="auto"/>
        <w:rPr>
          <w:rFonts w:cs="Arial"/>
          <w:sz w:val="18"/>
          <w:szCs w:val="18"/>
          <w:lang w:val="en-US"/>
        </w:rPr>
      </w:pPr>
    </w:p>
    <w:p w14:paraId="4414A89D" w14:textId="77777777" w:rsidR="00A56E09" w:rsidRDefault="00A56E09" w:rsidP="00641C00">
      <w:pPr>
        <w:pStyle w:val="Body"/>
        <w:spacing w:after="0" w:line="240" w:lineRule="auto"/>
        <w:rPr>
          <w:rFonts w:cs="Arial"/>
          <w:sz w:val="18"/>
          <w:szCs w:val="18"/>
          <w:lang w:val="en-US"/>
        </w:rPr>
      </w:pPr>
    </w:p>
    <w:p w14:paraId="67898634" w14:textId="77777777" w:rsidR="00A56E09" w:rsidRDefault="00A56E09" w:rsidP="00641C00">
      <w:pPr>
        <w:pStyle w:val="Body"/>
        <w:spacing w:after="0" w:line="240" w:lineRule="auto"/>
        <w:rPr>
          <w:rFonts w:cs="Arial"/>
          <w:sz w:val="18"/>
          <w:szCs w:val="18"/>
          <w:lang w:val="en-US"/>
        </w:rPr>
      </w:pPr>
    </w:p>
    <w:p w14:paraId="520D7D65" w14:textId="77777777" w:rsidR="00A56E09" w:rsidRDefault="00A56E09" w:rsidP="00641C00">
      <w:pPr>
        <w:pStyle w:val="Body"/>
        <w:spacing w:after="0" w:line="240" w:lineRule="auto"/>
        <w:rPr>
          <w:rFonts w:cs="Arial"/>
          <w:sz w:val="18"/>
          <w:szCs w:val="18"/>
          <w:lang w:val="en-US"/>
        </w:rPr>
      </w:pPr>
    </w:p>
    <w:p w14:paraId="400FAA07" w14:textId="77777777" w:rsidR="00A56E09" w:rsidRDefault="00A56E09" w:rsidP="00641C00">
      <w:pPr>
        <w:pStyle w:val="Body"/>
        <w:spacing w:after="0" w:line="240" w:lineRule="auto"/>
        <w:rPr>
          <w:rFonts w:cs="Arial"/>
          <w:sz w:val="18"/>
          <w:szCs w:val="18"/>
          <w:lang w:val="en-US"/>
        </w:rPr>
      </w:pPr>
    </w:p>
    <w:p w14:paraId="6858EB6B" w14:textId="77777777" w:rsidR="00A56E09" w:rsidRDefault="00A56E09" w:rsidP="00641C00">
      <w:pPr>
        <w:pStyle w:val="Body"/>
        <w:spacing w:after="0" w:line="240" w:lineRule="auto"/>
        <w:rPr>
          <w:rFonts w:cs="Arial"/>
          <w:sz w:val="18"/>
          <w:szCs w:val="18"/>
          <w:lang w:val="en-US"/>
        </w:rPr>
      </w:pPr>
    </w:p>
    <w:p w14:paraId="2C1C1442" w14:textId="77777777" w:rsidR="00A56E09" w:rsidRDefault="00A56E09" w:rsidP="00641C00">
      <w:pPr>
        <w:pStyle w:val="Body"/>
        <w:spacing w:after="0" w:line="240" w:lineRule="auto"/>
        <w:rPr>
          <w:rFonts w:cs="Arial"/>
          <w:sz w:val="18"/>
          <w:szCs w:val="18"/>
          <w:lang w:val="en-US"/>
        </w:rPr>
      </w:pPr>
    </w:p>
    <w:p w14:paraId="17C30957" w14:textId="77777777" w:rsidR="00A56E09" w:rsidRDefault="00A56E09" w:rsidP="00641C00">
      <w:pPr>
        <w:pStyle w:val="Body"/>
        <w:spacing w:after="0" w:line="240" w:lineRule="auto"/>
        <w:rPr>
          <w:rFonts w:cs="Arial"/>
          <w:sz w:val="18"/>
          <w:szCs w:val="18"/>
          <w:lang w:val="en-US"/>
        </w:rPr>
      </w:pPr>
    </w:p>
    <w:p w14:paraId="213EDCD0" w14:textId="77777777" w:rsidR="00A56E09" w:rsidRDefault="00A56E09" w:rsidP="00641C00">
      <w:pPr>
        <w:pStyle w:val="Body"/>
        <w:spacing w:after="0" w:line="240" w:lineRule="auto"/>
        <w:rPr>
          <w:rFonts w:cs="Arial"/>
          <w:sz w:val="18"/>
          <w:szCs w:val="18"/>
          <w:lang w:val="en-US"/>
        </w:rPr>
      </w:pPr>
    </w:p>
    <w:p w14:paraId="2706CBF7" w14:textId="77777777" w:rsidR="00A56E09" w:rsidRDefault="00A56E09" w:rsidP="00641C00">
      <w:pPr>
        <w:pStyle w:val="Body"/>
        <w:spacing w:after="0" w:line="240" w:lineRule="auto"/>
        <w:rPr>
          <w:rFonts w:cs="Arial"/>
          <w:sz w:val="18"/>
          <w:szCs w:val="18"/>
          <w:lang w:val="en-US"/>
        </w:rPr>
      </w:pPr>
    </w:p>
    <w:p w14:paraId="7F200BC5" w14:textId="77777777" w:rsidR="00A56E09" w:rsidRDefault="00A56E09" w:rsidP="00641C00">
      <w:pPr>
        <w:pStyle w:val="Body"/>
        <w:spacing w:after="0" w:line="240" w:lineRule="auto"/>
        <w:rPr>
          <w:rFonts w:cs="Arial"/>
          <w:sz w:val="18"/>
          <w:szCs w:val="18"/>
          <w:lang w:val="en-US"/>
        </w:rPr>
      </w:pPr>
    </w:p>
    <w:p w14:paraId="75B3B5F8" w14:textId="77777777" w:rsidR="00A56E09" w:rsidRDefault="00A56E09" w:rsidP="00641C00">
      <w:pPr>
        <w:pStyle w:val="Body"/>
        <w:spacing w:after="0" w:line="240" w:lineRule="auto"/>
        <w:rPr>
          <w:rFonts w:cs="Arial"/>
          <w:sz w:val="18"/>
          <w:szCs w:val="18"/>
          <w:lang w:val="en-US"/>
        </w:rPr>
      </w:pPr>
    </w:p>
    <w:p w14:paraId="0FBABAC5" w14:textId="77777777" w:rsidR="00A56E09" w:rsidRDefault="00A56E09" w:rsidP="00641C00">
      <w:pPr>
        <w:pStyle w:val="Body"/>
        <w:spacing w:after="0" w:line="240" w:lineRule="auto"/>
        <w:rPr>
          <w:rFonts w:cs="Arial"/>
          <w:sz w:val="18"/>
          <w:szCs w:val="18"/>
          <w:lang w:val="en-US"/>
        </w:rPr>
      </w:pPr>
    </w:p>
    <w:p w14:paraId="3C52ADEE" w14:textId="77777777" w:rsidR="00A56E09" w:rsidRDefault="00A56E09" w:rsidP="00641C00">
      <w:pPr>
        <w:pStyle w:val="Body"/>
        <w:spacing w:after="0" w:line="240" w:lineRule="auto"/>
        <w:rPr>
          <w:rFonts w:cs="Arial"/>
          <w:sz w:val="18"/>
          <w:szCs w:val="18"/>
          <w:lang w:val="en-US"/>
        </w:rPr>
      </w:pPr>
    </w:p>
    <w:p w14:paraId="29D07AB0" w14:textId="77777777" w:rsidR="00A56E09" w:rsidRDefault="00A56E09" w:rsidP="00641C00">
      <w:pPr>
        <w:pStyle w:val="Body"/>
        <w:spacing w:after="0" w:line="240" w:lineRule="auto"/>
        <w:rPr>
          <w:rFonts w:cs="Arial"/>
          <w:sz w:val="18"/>
          <w:szCs w:val="18"/>
          <w:lang w:val="en-US"/>
        </w:rPr>
      </w:pPr>
    </w:p>
    <w:p w14:paraId="0E0155B8" w14:textId="77777777" w:rsidR="00A56E09" w:rsidRDefault="00A56E09" w:rsidP="00641C00">
      <w:pPr>
        <w:pStyle w:val="Body"/>
        <w:spacing w:after="0" w:line="240" w:lineRule="auto"/>
        <w:rPr>
          <w:rFonts w:cs="Arial"/>
          <w:sz w:val="18"/>
          <w:szCs w:val="18"/>
          <w:lang w:val="en-US"/>
        </w:rPr>
      </w:pPr>
    </w:p>
    <w:p w14:paraId="5C2A0116" w14:textId="77777777" w:rsidR="00A56E09" w:rsidRDefault="00A56E09" w:rsidP="00641C00">
      <w:pPr>
        <w:pStyle w:val="Body"/>
        <w:spacing w:after="0" w:line="240" w:lineRule="auto"/>
        <w:rPr>
          <w:rFonts w:cs="Arial"/>
          <w:sz w:val="18"/>
          <w:szCs w:val="18"/>
          <w:lang w:val="en-US"/>
        </w:rPr>
      </w:pPr>
    </w:p>
    <w:p w14:paraId="73EC9ACC" w14:textId="77777777" w:rsidR="00A56E09" w:rsidRDefault="00A56E09" w:rsidP="00641C00">
      <w:pPr>
        <w:pStyle w:val="Body"/>
        <w:spacing w:after="0" w:line="240" w:lineRule="auto"/>
        <w:rPr>
          <w:rFonts w:cs="Arial"/>
          <w:sz w:val="18"/>
          <w:szCs w:val="18"/>
          <w:lang w:val="en-US"/>
        </w:rPr>
      </w:pPr>
    </w:p>
    <w:p w14:paraId="0AA81BE2" w14:textId="77777777" w:rsidR="00A56E09" w:rsidRDefault="00A56E09" w:rsidP="00641C00">
      <w:pPr>
        <w:pStyle w:val="Body"/>
        <w:spacing w:after="0" w:line="240" w:lineRule="auto"/>
        <w:rPr>
          <w:rFonts w:cs="Arial"/>
          <w:sz w:val="18"/>
          <w:szCs w:val="18"/>
          <w:lang w:val="en-US"/>
        </w:rPr>
      </w:pPr>
    </w:p>
    <w:p w14:paraId="0531EBEA" w14:textId="77777777" w:rsidR="00A56E09" w:rsidRDefault="00A56E09" w:rsidP="00641C00">
      <w:pPr>
        <w:pStyle w:val="Body"/>
        <w:spacing w:after="0" w:line="240" w:lineRule="auto"/>
        <w:rPr>
          <w:rFonts w:cs="Arial"/>
          <w:sz w:val="18"/>
          <w:szCs w:val="18"/>
          <w:lang w:val="en-US"/>
        </w:rPr>
      </w:pPr>
    </w:p>
    <w:p w14:paraId="54EEECFA" w14:textId="77777777" w:rsidR="00A56E09" w:rsidRDefault="00A56E09" w:rsidP="00641C00">
      <w:pPr>
        <w:pStyle w:val="Body"/>
        <w:spacing w:after="0" w:line="240" w:lineRule="auto"/>
        <w:rPr>
          <w:rFonts w:cs="Arial"/>
          <w:sz w:val="18"/>
          <w:szCs w:val="18"/>
          <w:lang w:val="en-US"/>
        </w:rPr>
      </w:pPr>
    </w:p>
    <w:p w14:paraId="1FF1D519" w14:textId="77777777" w:rsidR="00A56E09" w:rsidRDefault="00A56E09" w:rsidP="00641C00">
      <w:pPr>
        <w:pStyle w:val="Body"/>
        <w:spacing w:after="0" w:line="240" w:lineRule="auto"/>
        <w:rPr>
          <w:rFonts w:cs="Arial"/>
          <w:sz w:val="18"/>
          <w:szCs w:val="18"/>
          <w:lang w:val="en-US"/>
        </w:rPr>
      </w:pPr>
    </w:p>
    <w:p w14:paraId="6DDAC795" w14:textId="77777777" w:rsidR="00A56E09" w:rsidRDefault="00A56E09" w:rsidP="00641C00">
      <w:pPr>
        <w:pStyle w:val="Body"/>
        <w:spacing w:after="0" w:line="240" w:lineRule="auto"/>
        <w:rPr>
          <w:rFonts w:cs="Arial"/>
          <w:sz w:val="18"/>
          <w:szCs w:val="18"/>
          <w:lang w:val="en-US"/>
        </w:rPr>
      </w:pPr>
    </w:p>
    <w:p w14:paraId="6F894621" w14:textId="77777777" w:rsidR="00A56E09" w:rsidRDefault="00A56E09" w:rsidP="00641C00">
      <w:pPr>
        <w:pStyle w:val="Body"/>
        <w:spacing w:after="0" w:line="240" w:lineRule="auto"/>
        <w:rPr>
          <w:rFonts w:cs="Arial"/>
          <w:sz w:val="18"/>
          <w:szCs w:val="18"/>
          <w:lang w:val="en-US"/>
        </w:rPr>
      </w:pPr>
    </w:p>
    <w:p w14:paraId="3EBED7C6" w14:textId="77777777" w:rsidR="00A56E09" w:rsidRDefault="00A56E09" w:rsidP="00641C00">
      <w:pPr>
        <w:pStyle w:val="Body"/>
        <w:spacing w:after="0" w:line="240" w:lineRule="auto"/>
        <w:rPr>
          <w:rFonts w:cs="Arial"/>
          <w:sz w:val="18"/>
          <w:szCs w:val="18"/>
          <w:lang w:val="en-US"/>
        </w:rPr>
      </w:pPr>
    </w:p>
    <w:p w14:paraId="5AD86687" w14:textId="77777777" w:rsidR="00A56E09" w:rsidRPr="004C5A7A" w:rsidRDefault="00A56E09" w:rsidP="00641C00">
      <w:pPr>
        <w:pStyle w:val="Body"/>
        <w:spacing w:after="0" w:line="240" w:lineRule="auto"/>
        <w:rPr>
          <w:rFonts w:cs="Arial"/>
          <w:sz w:val="18"/>
          <w:szCs w:val="18"/>
          <w:lang w:val="en-US"/>
        </w:rPr>
      </w:pPr>
    </w:p>
    <w:p w14:paraId="612BDFDD" w14:textId="77777777" w:rsidR="00B80168" w:rsidRPr="003F32BB" w:rsidRDefault="00B80168" w:rsidP="00B80168">
      <w:pPr>
        <w:pStyle w:val="Ttulo1"/>
        <w:spacing w:line="259" w:lineRule="auto"/>
        <w:jc w:val="both"/>
        <w:rPr>
          <w:rFonts w:ascii="Arial" w:hAnsi="Arial" w:cs="Arial"/>
          <w:b/>
          <w:color w:val="1F3864" w:themeColor="accent1" w:themeShade="80"/>
          <w:sz w:val="20"/>
          <w:lang w:val="en-US"/>
        </w:rPr>
      </w:pPr>
      <w:bookmarkStart w:id="132" w:name="_Toc173250899"/>
      <w:bookmarkStart w:id="133" w:name="_Toc173260704"/>
      <w:bookmarkStart w:id="134" w:name="_Toc181620420"/>
      <w:bookmarkStart w:id="135" w:name="_Toc190103320"/>
      <w:bookmarkStart w:id="136" w:name="_Toc190680649"/>
      <w:bookmarkStart w:id="137" w:name="MEMBERS"/>
      <w:r w:rsidRPr="003F32BB">
        <w:rPr>
          <w:rFonts w:ascii="Arial" w:hAnsi="Arial" w:cs="Arial"/>
          <w:b/>
          <w:color w:val="1F3864" w:themeColor="accent1" w:themeShade="80"/>
          <w:sz w:val="20"/>
          <w:lang w:val="en-US"/>
        </w:rPr>
        <w:lastRenderedPageBreak/>
        <w:t>MEMBERS OF THE MANAGEMENT BODIES</w:t>
      </w:r>
      <w:bookmarkEnd w:id="132"/>
      <w:bookmarkEnd w:id="133"/>
      <w:bookmarkEnd w:id="134"/>
      <w:bookmarkEnd w:id="135"/>
      <w:bookmarkEnd w:id="136"/>
    </w:p>
    <w:bookmarkEnd w:id="137"/>
    <w:p w14:paraId="6B38150C" w14:textId="77777777" w:rsidR="00B80168" w:rsidRPr="00583E5E" w:rsidRDefault="00B80168" w:rsidP="00B80168">
      <w:pPr>
        <w:spacing w:line="240" w:lineRule="auto"/>
        <w:rPr>
          <w:rFonts w:ascii="Arial" w:eastAsia="Times New Roman" w:hAnsi="Arial" w:cs="Arial"/>
          <w:b/>
          <w:color w:val="1F3864" w:themeColor="accent1" w:themeShade="80"/>
          <w:spacing w:val="-2"/>
          <w:sz w:val="20"/>
          <w:szCs w:val="20"/>
          <w:lang w:val="en-US" w:eastAsia="pt-BR"/>
        </w:rPr>
      </w:pPr>
    </w:p>
    <w:p w14:paraId="618C5F8C" w14:textId="77777777" w:rsidR="00B80168" w:rsidRPr="00821754"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821754">
        <w:rPr>
          <w:rFonts w:ascii="Arial" w:eastAsia="Times New Roman" w:hAnsi="Arial" w:cs="Arial"/>
          <w:b/>
          <w:color w:val="1F3864" w:themeColor="accent1" w:themeShade="80"/>
          <w:spacing w:val="-2"/>
          <w:sz w:val="20"/>
          <w:szCs w:val="20"/>
          <w:lang w:eastAsia="pt-BR"/>
        </w:rPr>
        <w:t>DIRECTOR-PRESIDENT</w:t>
      </w:r>
    </w:p>
    <w:p w14:paraId="613A772B" w14:textId="77777777" w:rsidR="00B80168" w:rsidRPr="003F32BB" w:rsidRDefault="00B80168" w:rsidP="008959A7">
      <w:pPr>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1AFA8963" w14:textId="77777777" w:rsidR="00B80168"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18754980"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DIRECTORS</w:t>
      </w:r>
    </w:p>
    <w:p w14:paraId="66915F42"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Allan Trancoso Ferraz Silva</w:t>
      </w:r>
    </w:p>
    <w:p w14:paraId="720043CF"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Bruno Alves do Nascimento</w:t>
      </w:r>
    </w:p>
    <w:p w14:paraId="0F365E6E" w14:textId="77777777" w:rsidR="00B80168" w:rsidRPr="003F32BB" w:rsidRDefault="00B80168" w:rsidP="00B80168">
      <w:pPr>
        <w:keepNext/>
        <w:spacing w:line="240" w:lineRule="auto"/>
        <w:rPr>
          <w:rFonts w:ascii="Arial" w:eastAsia="Times New Roman" w:hAnsi="Arial" w:cs="Arial"/>
          <w:snapToGrid w:val="0"/>
          <w:spacing w:val="-2"/>
          <w:sz w:val="18"/>
          <w:szCs w:val="18"/>
          <w:lang w:val="en-US" w:eastAsia="pt-BR"/>
        </w:rPr>
      </w:pPr>
      <w:r w:rsidRPr="003F32BB">
        <w:rPr>
          <w:rFonts w:ascii="Arial" w:eastAsia="Times New Roman" w:hAnsi="Arial" w:cs="Arial"/>
          <w:snapToGrid w:val="0"/>
          <w:spacing w:val="-2"/>
          <w:sz w:val="18"/>
          <w:szCs w:val="18"/>
          <w:lang w:val="en-US" w:eastAsia="pt-BR"/>
        </w:rPr>
        <w:t xml:space="preserve">Rafael Augusto </w:t>
      </w:r>
      <w:proofErr w:type="spellStart"/>
      <w:r w:rsidRPr="003F32BB">
        <w:rPr>
          <w:rFonts w:ascii="Arial" w:eastAsia="Times New Roman" w:hAnsi="Arial" w:cs="Arial"/>
          <w:snapToGrid w:val="0"/>
          <w:spacing w:val="-2"/>
          <w:sz w:val="18"/>
          <w:szCs w:val="18"/>
          <w:lang w:val="en-US" w:eastAsia="pt-BR"/>
        </w:rPr>
        <w:t>Sperendio</w:t>
      </w:r>
      <w:proofErr w:type="spellEnd"/>
    </w:p>
    <w:p w14:paraId="33D149C0"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val="en-US" w:eastAsia="pt-BR"/>
        </w:rPr>
      </w:pPr>
    </w:p>
    <w:p w14:paraId="7F070F88"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val="en-US" w:eastAsia="pt-BR"/>
        </w:rPr>
      </w:pPr>
      <w:r w:rsidRPr="003F32BB">
        <w:rPr>
          <w:rFonts w:ascii="Arial" w:eastAsia="Times New Roman" w:hAnsi="Arial" w:cs="Arial"/>
          <w:b/>
          <w:color w:val="1F3864" w:themeColor="accent1" w:themeShade="80"/>
          <w:spacing w:val="-2"/>
          <w:sz w:val="20"/>
          <w:szCs w:val="20"/>
          <w:lang w:val="en-US" w:eastAsia="pt-BR"/>
        </w:rPr>
        <w:t>BOARD OF DIRECTORS</w:t>
      </w:r>
    </w:p>
    <w:p w14:paraId="4CEBCADE" w14:textId="77777777" w:rsidR="00B80168" w:rsidRPr="003F32BB" w:rsidRDefault="00B80168" w:rsidP="008959A7">
      <w:pPr>
        <w:keepNext/>
        <w:spacing w:line="240" w:lineRule="auto"/>
        <w:rPr>
          <w:rFonts w:ascii="Arial" w:eastAsia="Times New Roman" w:hAnsi="Arial" w:cs="Arial"/>
          <w:snapToGrid w:val="0"/>
          <w:spacing w:val="-2"/>
          <w:sz w:val="18"/>
          <w:szCs w:val="18"/>
          <w:lang w:eastAsia="pt-BR"/>
        </w:rPr>
      </w:pPr>
      <w:proofErr w:type="spellStart"/>
      <w:r w:rsidRPr="003F32BB">
        <w:rPr>
          <w:rFonts w:ascii="Arial" w:eastAsia="Times New Roman" w:hAnsi="Arial" w:cs="Arial"/>
          <w:snapToGrid w:val="0"/>
          <w:spacing w:val="-2"/>
          <w:sz w:val="18"/>
          <w:szCs w:val="18"/>
          <w:lang w:eastAsia="pt-BR"/>
        </w:rPr>
        <w:t>Kamillo</w:t>
      </w:r>
      <w:proofErr w:type="spellEnd"/>
      <w:r w:rsidRPr="003F32BB">
        <w:rPr>
          <w:rFonts w:ascii="Arial" w:eastAsia="Times New Roman" w:hAnsi="Arial" w:cs="Arial"/>
          <w:snapToGrid w:val="0"/>
          <w:spacing w:val="-2"/>
          <w:sz w:val="18"/>
          <w:szCs w:val="18"/>
          <w:lang w:eastAsia="pt-BR"/>
        </w:rPr>
        <w:t xml:space="preserve"> </w:t>
      </w:r>
      <w:proofErr w:type="spellStart"/>
      <w:r w:rsidRPr="003F32BB">
        <w:rPr>
          <w:rFonts w:ascii="Arial" w:eastAsia="Times New Roman" w:hAnsi="Arial" w:cs="Arial"/>
          <w:snapToGrid w:val="0"/>
          <w:spacing w:val="-2"/>
          <w:sz w:val="18"/>
          <w:szCs w:val="18"/>
          <w:lang w:eastAsia="pt-BR"/>
        </w:rPr>
        <w:t>Tononi</w:t>
      </w:r>
      <w:proofErr w:type="spellEnd"/>
      <w:r w:rsidRPr="003F32BB">
        <w:rPr>
          <w:rFonts w:ascii="Arial" w:eastAsia="Times New Roman" w:hAnsi="Arial" w:cs="Arial"/>
          <w:snapToGrid w:val="0"/>
          <w:spacing w:val="-2"/>
          <w:sz w:val="18"/>
          <w:szCs w:val="18"/>
          <w:lang w:eastAsia="pt-BR"/>
        </w:rPr>
        <w:t xml:space="preserve"> Oliveira Silva (</w:t>
      </w:r>
      <w:proofErr w:type="spellStart"/>
      <w:r w:rsidRPr="003F32BB">
        <w:rPr>
          <w:rFonts w:ascii="Arial" w:eastAsia="Times New Roman" w:hAnsi="Arial" w:cs="Arial"/>
          <w:snapToGrid w:val="0"/>
          <w:spacing w:val="-2"/>
          <w:sz w:val="18"/>
          <w:szCs w:val="18"/>
          <w:lang w:eastAsia="pt-BR"/>
        </w:rPr>
        <w:t>President</w:t>
      </w:r>
      <w:proofErr w:type="spellEnd"/>
      <w:r w:rsidRPr="003F32BB">
        <w:rPr>
          <w:rFonts w:ascii="Arial" w:eastAsia="Times New Roman" w:hAnsi="Arial" w:cs="Arial"/>
          <w:snapToGrid w:val="0"/>
          <w:spacing w:val="-2"/>
          <w:sz w:val="18"/>
          <w:szCs w:val="18"/>
          <w:lang w:eastAsia="pt-BR"/>
        </w:rPr>
        <w:t>)</w:t>
      </w:r>
    </w:p>
    <w:p w14:paraId="0CD2873C" w14:textId="77777777" w:rsidR="00B80168" w:rsidRPr="003F32BB" w:rsidRDefault="00B80168" w:rsidP="008959A7">
      <w:pPr>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André Gustavo Borba Assumpção </w:t>
      </w:r>
      <w:proofErr w:type="spellStart"/>
      <w:r w:rsidRPr="003F32BB">
        <w:rPr>
          <w:rFonts w:ascii="Arial" w:eastAsia="Times New Roman" w:hAnsi="Arial" w:cs="Arial"/>
          <w:snapToGrid w:val="0"/>
          <w:spacing w:val="-2"/>
          <w:sz w:val="18"/>
          <w:szCs w:val="18"/>
          <w:lang w:eastAsia="pt-BR"/>
        </w:rPr>
        <w:t>Haui</w:t>
      </w:r>
      <w:proofErr w:type="spellEnd"/>
    </w:p>
    <w:p w14:paraId="039AC172"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Gilberto Lourenço da Aparecida</w:t>
      </w:r>
    </w:p>
    <w:p w14:paraId="62FBF22D"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Guilherme Santos Mello</w:t>
      </w:r>
    </w:p>
    <w:p w14:paraId="7686984A" w14:textId="77777777" w:rsidR="00B80168" w:rsidRPr="003F32BB" w:rsidRDefault="00B80168" w:rsidP="008959A7">
      <w:pPr>
        <w:keepNext/>
        <w:spacing w:line="240" w:lineRule="auto"/>
        <w:rPr>
          <w:rFonts w:ascii="Arial" w:hAnsi="Arial" w:cs="Arial"/>
          <w:sz w:val="18"/>
          <w:szCs w:val="18"/>
        </w:rPr>
      </w:pPr>
      <w:r w:rsidRPr="003F32BB">
        <w:rPr>
          <w:rFonts w:ascii="Arial" w:hAnsi="Arial" w:cs="Arial"/>
          <w:sz w:val="18"/>
          <w:szCs w:val="18"/>
        </w:rPr>
        <w:t>Marcos Rogério de Souza</w:t>
      </w:r>
    </w:p>
    <w:p w14:paraId="248D36F6" w14:textId="77777777" w:rsidR="00B80168" w:rsidRDefault="00B80168" w:rsidP="008959A7">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Maria Carolina Ferreira Lacerda</w:t>
      </w:r>
    </w:p>
    <w:p w14:paraId="58823A61" w14:textId="77777777" w:rsidR="00B80168" w:rsidRPr="003F32BB" w:rsidRDefault="00B80168" w:rsidP="008959A7">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1706923A"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72247FA1"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FISCAL COUNCIL</w:t>
      </w:r>
    </w:p>
    <w:p w14:paraId="7D41250B"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Francisco Olinto Velo Schmitt </w:t>
      </w:r>
    </w:p>
    <w:p w14:paraId="47370404"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Marcelo Henrique Gomes da Silva</w:t>
      </w:r>
    </w:p>
    <w:p w14:paraId="24A1F262" w14:textId="77777777" w:rsidR="00B80168" w:rsidRPr="003F32BB" w:rsidRDefault="00B80168" w:rsidP="00B80168">
      <w:pPr>
        <w:keepNext/>
        <w:spacing w:line="240" w:lineRule="auto"/>
        <w:rPr>
          <w:rFonts w:ascii="Arial" w:eastAsia="Times New Roman" w:hAnsi="Arial" w:cs="Arial"/>
          <w:snapToGrid w:val="0"/>
          <w:spacing w:val="-2"/>
          <w:sz w:val="18"/>
          <w:szCs w:val="18"/>
          <w:lang w:eastAsia="pt-BR"/>
        </w:rPr>
      </w:pPr>
      <w:r w:rsidRPr="003F32BB">
        <w:rPr>
          <w:rFonts w:ascii="Arial" w:eastAsia="Times New Roman" w:hAnsi="Arial" w:cs="Arial"/>
          <w:snapToGrid w:val="0"/>
          <w:spacing w:val="-2"/>
          <w:sz w:val="18"/>
          <w:szCs w:val="18"/>
          <w:lang w:eastAsia="pt-BR"/>
        </w:rPr>
        <w:t xml:space="preserve">Rafael Rezende </w:t>
      </w:r>
      <w:proofErr w:type="spellStart"/>
      <w:r w:rsidRPr="003F32BB">
        <w:rPr>
          <w:rFonts w:ascii="Arial" w:eastAsia="Times New Roman" w:hAnsi="Arial" w:cs="Arial"/>
          <w:snapToGrid w:val="0"/>
          <w:spacing w:val="-2"/>
          <w:sz w:val="18"/>
          <w:szCs w:val="18"/>
          <w:lang w:eastAsia="pt-BR"/>
        </w:rPr>
        <w:t>Brigolini</w:t>
      </w:r>
      <w:proofErr w:type="spellEnd"/>
    </w:p>
    <w:p w14:paraId="73DC66C6"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695FBD94"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AUDIT COMMITTEE</w:t>
      </w:r>
    </w:p>
    <w:p w14:paraId="18F8B627" w14:textId="3748F6FB" w:rsidR="00B80168" w:rsidRDefault="00B80168" w:rsidP="00B80168">
      <w:pPr>
        <w:keepNext/>
        <w:spacing w:line="240" w:lineRule="auto"/>
        <w:rPr>
          <w:rFonts w:ascii="Arial" w:hAnsi="Arial" w:cs="Arial"/>
          <w:snapToGrid w:val="0"/>
          <w:sz w:val="18"/>
          <w:szCs w:val="18"/>
        </w:rPr>
      </w:pPr>
      <w:r w:rsidRPr="00CB298B">
        <w:rPr>
          <w:rFonts w:ascii="Arial" w:hAnsi="Arial" w:cs="Arial"/>
          <w:snapToGrid w:val="0"/>
          <w:sz w:val="18"/>
          <w:szCs w:val="18"/>
        </w:rPr>
        <w:t>Ant</w:t>
      </w:r>
      <w:r w:rsidR="005B0BEA">
        <w:rPr>
          <w:rFonts w:ascii="Arial" w:hAnsi="Arial" w:cs="Arial"/>
          <w:snapToGrid w:val="0"/>
          <w:sz w:val="18"/>
          <w:szCs w:val="18"/>
        </w:rPr>
        <w:t>ô</w:t>
      </w:r>
      <w:r w:rsidRPr="00CB298B">
        <w:rPr>
          <w:rFonts w:ascii="Arial" w:hAnsi="Arial" w:cs="Arial"/>
          <w:snapToGrid w:val="0"/>
          <w:sz w:val="18"/>
          <w:szCs w:val="18"/>
        </w:rPr>
        <w:t xml:space="preserve">nio </w:t>
      </w:r>
      <w:proofErr w:type="spellStart"/>
      <w:r w:rsidRPr="00CB298B">
        <w:rPr>
          <w:rFonts w:ascii="Arial" w:hAnsi="Arial" w:cs="Arial"/>
          <w:snapToGrid w:val="0"/>
          <w:sz w:val="18"/>
          <w:szCs w:val="18"/>
        </w:rPr>
        <w:t>Martiningo</w:t>
      </w:r>
      <w:proofErr w:type="spellEnd"/>
      <w:r w:rsidRPr="00CB298B">
        <w:rPr>
          <w:rFonts w:ascii="Arial" w:hAnsi="Arial" w:cs="Arial"/>
          <w:snapToGrid w:val="0"/>
          <w:sz w:val="18"/>
          <w:szCs w:val="18"/>
        </w:rPr>
        <w:t xml:space="preserve"> Filho</w:t>
      </w:r>
    </w:p>
    <w:p w14:paraId="1870B26A" w14:textId="77777777" w:rsidR="00B80168" w:rsidRPr="003F32BB" w:rsidRDefault="00B80168" w:rsidP="00B80168">
      <w:pPr>
        <w:keepNext/>
        <w:spacing w:line="240" w:lineRule="auto"/>
        <w:rPr>
          <w:rFonts w:ascii="Arial" w:hAnsi="Arial" w:cs="Arial"/>
          <w:sz w:val="18"/>
          <w:szCs w:val="18"/>
        </w:rPr>
      </w:pPr>
      <w:r w:rsidRPr="009F0641">
        <w:rPr>
          <w:rFonts w:ascii="Arial" w:hAnsi="Arial" w:cs="Arial"/>
          <w:snapToGrid w:val="0"/>
          <w:sz w:val="18"/>
          <w:szCs w:val="18"/>
        </w:rPr>
        <w:t xml:space="preserve">Cícero </w:t>
      </w:r>
      <w:proofErr w:type="spellStart"/>
      <w:r w:rsidRPr="009F0641">
        <w:rPr>
          <w:rFonts w:ascii="Arial" w:hAnsi="Arial" w:cs="Arial"/>
          <w:snapToGrid w:val="0"/>
          <w:sz w:val="18"/>
          <w:szCs w:val="18"/>
        </w:rPr>
        <w:t>Przendsiuk</w:t>
      </w:r>
      <w:proofErr w:type="spellEnd"/>
    </w:p>
    <w:p w14:paraId="3679417C" w14:textId="77777777" w:rsidR="00B80168" w:rsidRPr="003F32BB" w:rsidRDefault="00B80168" w:rsidP="00B80168">
      <w:pPr>
        <w:keepNext/>
        <w:spacing w:line="240" w:lineRule="auto"/>
        <w:rPr>
          <w:rFonts w:ascii="Arial" w:hAnsi="Arial" w:cs="Arial"/>
          <w:sz w:val="18"/>
          <w:szCs w:val="18"/>
        </w:rPr>
      </w:pPr>
      <w:r w:rsidRPr="003F32BB">
        <w:rPr>
          <w:rFonts w:ascii="Arial" w:hAnsi="Arial" w:cs="Arial"/>
          <w:sz w:val="18"/>
          <w:szCs w:val="18"/>
        </w:rPr>
        <w:t>Gilberto Lourenço da Aparecida</w:t>
      </w:r>
    </w:p>
    <w:p w14:paraId="64D1F5A1" w14:textId="77777777" w:rsidR="00B80168" w:rsidRPr="003F32BB" w:rsidRDefault="00B80168" w:rsidP="00B80168">
      <w:pPr>
        <w:keepNext/>
        <w:spacing w:line="240" w:lineRule="auto"/>
        <w:rPr>
          <w:rFonts w:ascii="Arial" w:hAnsi="Arial" w:cs="Arial"/>
          <w:sz w:val="18"/>
          <w:szCs w:val="18"/>
        </w:rPr>
      </w:pPr>
      <w:r w:rsidRPr="003F32BB">
        <w:rPr>
          <w:rFonts w:ascii="Arial" w:hAnsi="Arial" w:cs="Arial"/>
          <w:sz w:val="18"/>
          <w:szCs w:val="18"/>
        </w:rPr>
        <w:t>Manoel Gimenes Ruy</w:t>
      </w:r>
    </w:p>
    <w:p w14:paraId="65C91B8B" w14:textId="77777777" w:rsidR="00B80168" w:rsidRPr="003F32BB" w:rsidRDefault="00B80168" w:rsidP="00B80168">
      <w:pPr>
        <w:keepNext/>
        <w:spacing w:line="240" w:lineRule="auto"/>
        <w:rPr>
          <w:rFonts w:ascii="Arial" w:hAnsi="Arial" w:cs="Arial"/>
          <w:sz w:val="18"/>
          <w:szCs w:val="18"/>
        </w:rPr>
      </w:pPr>
      <w:r w:rsidRPr="003F32BB">
        <w:rPr>
          <w:rFonts w:ascii="Arial" w:hAnsi="Arial" w:cs="Arial"/>
          <w:sz w:val="18"/>
          <w:szCs w:val="18"/>
        </w:rPr>
        <w:t>Roberto Lamb</w:t>
      </w:r>
    </w:p>
    <w:p w14:paraId="6F329F93"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p>
    <w:p w14:paraId="0420C2D1" w14:textId="77777777" w:rsidR="00B80168" w:rsidRPr="003F32BB" w:rsidRDefault="00B80168" w:rsidP="00B80168">
      <w:pPr>
        <w:spacing w:line="240" w:lineRule="auto"/>
        <w:rPr>
          <w:rFonts w:ascii="Arial" w:eastAsia="Times New Roman" w:hAnsi="Arial" w:cs="Arial"/>
          <w:b/>
          <w:color w:val="1F3864" w:themeColor="accent1" w:themeShade="80"/>
          <w:spacing w:val="-2"/>
          <w:sz w:val="20"/>
          <w:szCs w:val="20"/>
          <w:lang w:eastAsia="pt-BR"/>
        </w:rPr>
      </w:pPr>
      <w:r w:rsidRPr="003F32BB">
        <w:rPr>
          <w:rFonts w:ascii="Arial" w:eastAsia="Times New Roman" w:hAnsi="Arial" w:cs="Arial"/>
          <w:b/>
          <w:color w:val="1F3864" w:themeColor="accent1" w:themeShade="80"/>
          <w:spacing w:val="-2"/>
          <w:sz w:val="20"/>
          <w:szCs w:val="20"/>
          <w:lang w:eastAsia="pt-BR"/>
        </w:rPr>
        <w:t>ACCOUNTANT</w:t>
      </w:r>
    </w:p>
    <w:p w14:paraId="77DE7B81" w14:textId="77777777" w:rsidR="00B80168" w:rsidRPr="00771B7C" w:rsidRDefault="00B80168" w:rsidP="00771B7C">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Pedro Kiefer Braga</w:t>
      </w:r>
    </w:p>
    <w:p w14:paraId="2D34EAD1" w14:textId="77777777" w:rsidR="00B80168" w:rsidRPr="00771B7C" w:rsidRDefault="00B80168" w:rsidP="00771B7C">
      <w:pPr>
        <w:spacing w:line="240" w:lineRule="auto"/>
        <w:rPr>
          <w:rFonts w:ascii="Arial" w:hAnsi="Arial" w:cs="Arial"/>
          <w:snapToGrid w:val="0"/>
          <w:sz w:val="18"/>
          <w:szCs w:val="18"/>
          <w:lang w:eastAsia="pt-BR"/>
        </w:rPr>
      </w:pPr>
      <w:r w:rsidRPr="00771B7C">
        <w:rPr>
          <w:rFonts w:ascii="Arial" w:hAnsi="Arial" w:cs="Arial"/>
          <w:snapToGrid w:val="0"/>
          <w:sz w:val="18"/>
          <w:szCs w:val="18"/>
          <w:lang w:eastAsia="pt-BR"/>
        </w:rPr>
        <w:t>CRC-DF 020.786/O-0</w:t>
      </w:r>
    </w:p>
    <w:p w14:paraId="30038A0C" w14:textId="0CDF0A06" w:rsidR="00641C00" w:rsidRPr="00B80168" w:rsidRDefault="00B80168" w:rsidP="00893A5F">
      <w:pPr>
        <w:spacing w:line="240" w:lineRule="auto"/>
        <w:rPr>
          <w:rFonts w:ascii="Arial" w:hAnsi="Arial" w:cs="Arial"/>
        </w:rPr>
      </w:pPr>
      <w:r w:rsidRPr="00771B7C">
        <w:rPr>
          <w:rFonts w:ascii="Arial" w:hAnsi="Arial" w:cs="Arial"/>
          <w:snapToGrid w:val="0"/>
          <w:sz w:val="18"/>
          <w:szCs w:val="18"/>
        </w:rPr>
        <w:t>CPF 027.782.029-43</w:t>
      </w:r>
    </w:p>
    <w:sectPr w:rsidR="00641C00" w:rsidRPr="00B80168" w:rsidSect="007267D3">
      <w:headerReference w:type="default" r:id="rId29"/>
      <w:footerReference w:type="default" r:id="rId30"/>
      <w:headerReference w:type="first" r:id="rId31"/>
      <w:footerReference w:type="first" r:id="rId32"/>
      <w:pgSz w:w="11907" w:h="16840" w:code="9"/>
      <w:pgMar w:top="1134" w:right="1275" w:bottom="851" w:left="1134" w:header="851"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F2EB" w14:textId="77777777" w:rsidR="00CA2B9F" w:rsidRDefault="00CA2B9F" w:rsidP="00347240">
      <w:pPr>
        <w:spacing w:after="0" w:line="240" w:lineRule="auto"/>
      </w:pPr>
      <w:r>
        <w:separator/>
      </w:r>
    </w:p>
  </w:endnote>
  <w:endnote w:type="continuationSeparator" w:id="0">
    <w:p w14:paraId="2300D817" w14:textId="77777777" w:rsidR="00CA2B9F" w:rsidRDefault="00CA2B9F" w:rsidP="00347240">
      <w:pPr>
        <w:spacing w:after="0" w:line="240" w:lineRule="auto"/>
      </w:pPr>
      <w:r>
        <w:continuationSeparator/>
      </w:r>
    </w:p>
  </w:endnote>
  <w:endnote w:type="continuationNotice" w:id="1">
    <w:p w14:paraId="1A0E3604" w14:textId="77777777" w:rsidR="00CA2B9F" w:rsidRDefault="00CA2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alibri"/>
    <w:charset w:val="00"/>
    <w:family w:val="swiss"/>
    <w:pitch w:val="variable"/>
  </w:font>
  <w:font w:name="BancoDoBrasil Titulos Medium">
    <w:altName w:val="Calibri"/>
    <w:panose1 w:val="000006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extos">
    <w:altName w:val="Calibri"/>
    <w:panose1 w:val="00000500000000000000"/>
    <w:charset w:val="00"/>
    <w:family w:val="auto"/>
    <w:pitch w:val="variable"/>
    <w:sig w:usb0="00000003" w:usb1="00000001"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Univers for KPMG">
    <w:altName w:val="Calibri"/>
    <w:charset w:val="00"/>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E03" w14:textId="77777777" w:rsidR="00A27E15" w:rsidRDefault="00A27E15">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766" w14:textId="77777777" w:rsidR="002F4D1A" w:rsidRDefault="002F4D1A" w:rsidP="00322C02">
    <w:pPr>
      <w:pStyle w:val="Rodap"/>
      <w:tabs>
        <w:tab w:val="left" w:pos="9639"/>
      </w:tabs>
      <w:jc w:val="right"/>
    </w:pPr>
  </w:p>
  <w:p w14:paraId="28FE720D" w14:textId="77777777" w:rsidR="002F4D1A" w:rsidRPr="00663A9A" w:rsidRDefault="002F4D1A" w:rsidP="00663A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814333"/>
      <w:docPartObj>
        <w:docPartGallery w:val="Page Numbers (Bottom of Page)"/>
        <w:docPartUnique/>
      </w:docPartObj>
    </w:sdtPr>
    <w:sdtEndPr/>
    <w:sdtContent>
      <w:p w14:paraId="721E2C55" w14:textId="4642E6BD" w:rsidR="00A27E15" w:rsidRDefault="00A27E15">
        <w:pPr>
          <w:pStyle w:val="Rodap"/>
          <w:jc w:val="right"/>
        </w:pPr>
        <w:r>
          <w:fldChar w:fldCharType="begin"/>
        </w:r>
        <w:r>
          <w:instrText>PAGE   \* MERGEFORMAT</w:instrText>
        </w:r>
        <w:r>
          <w:fldChar w:fldCharType="separate"/>
        </w:r>
        <w:r>
          <w:t>2</w:t>
        </w:r>
        <w:r>
          <w:fldChar w:fldCharType="end"/>
        </w:r>
      </w:p>
    </w:sdtContent>
  </w:sdt>
  <w:p w14:paraId="5A0C98FE" w14:textId="5424A4A4" w:rsidR="00A27E15" w:rsidRDefault="00A27E15" w:rsidP="00A27E15">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432"/>
      <w:docPartObj>
        <w:docPartGallery w:val="Page Numbers (Bottom of Page)"/>
        <w:docPartUnique/>
      </w:docPartObj>
    </w:sdtPr>
    <w:sdtEndPr/>
    <w:sdtContent>
      <w:p w14:paraId="6D050092" w14:textId="6F5A9478" w:rsidR="00042818" w:rsidRDefault="00042818">
        <w:pPr>
          <w:pStyle w:val="Rodap"/>
          <w:jc w:val="right"/>
        </w:pPr>
        <w:r>
          <w:fldChar w:fldCharType="begin"/>
        </w:r>
        <w:r>
          <w:instrText>PAGE   \* MERGEFORMAT</w:instrText>
        </w:r>
        <w:r>
          <w:fldChar w:fldCharType="separate"/>
        </w:r>
        <w:r>
          <w:t>2</w:t>
        </w:r>
        <w:r>
          <w:fldChar w:fldCharType="end"/>
        </w:r>
      </w:p>
    </w:sdtContent>
  </w:sdt>
  <w:p w14:paraId="10AAF643" w14:textId="77777777" w:rsidR="001B6225" w:rsidRPr="00663A9A" w:rsidRDefault="001B6225" w:rsidP="00663A9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375535"/>
      <w:docPartObj>
        <w:docPartGallery w:val="Page Numbers (Bottom of Page)"/>
        <w:docPartUnique/>
      </w:docPartObj>
    </w:sdtPr>
    <w:sdtEndPr/>
    <w:sdtContent>
      <w:p w14:paraId="2E797E1F" w14:textId="77777777" w:rsidR="00A27E15" w:rsidRDefault="00A27E15">
        <w:pPr>
          <w:pStyle w:val="Rodap"/>
          <w:jc w:val="right"/>
        </w:pPr>
        <w:r>
          <w:fldChar w:fldCharType="begin"/>
        </w:r>
        <w:r>
          <w:instrText>PAGE   \* MERGEFORMAT</w:instrText>
        </w:r>
        <w:r>
          <w:fldChar w:fldCharType="separate"/>
        </w:r>
        <w:r>
          <w:t>2</w:t>
        </w:r>
        <w:r>
          <w:fldChar w:fldCharType="end"/>
        </w:r>
      </w:p>
    </w:sdtContent>
  </w:sdt>
  <w:p w14:paraId="05E83658" w14:textId="0928A8B3" w:rsidR="00A27E15" w:rsidRPr="00663A9A" w:rsidRDefault="00A27E15" w:rsidP="00663A9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21800"/>
      <w:docPartObj>
        <w:docPartGallery w:val="Page Numbers (Bottom of Page)"/>
        <w:docPartUnique/>
      </w:docPartObj>
    </w:sdtPr>
    <w:sdtEndPr/>
    <w:sdtContent>
      <w:p w14:paraId="134733F4" w14:textId="3FB0657B" w:rsidR="002F4D1A" w:rsidRDefault="002F4D1A">
        <w:pPr>
          <w:pStyle w:val="Rodap"/>
          <w:jc w:val="right"/>
        </w:pPr>
        <w:r>
          <w:fldChar w:fldCharType="begin"/>
        </w:r>
        <w:r>
          <w:instrText>PAGE   \* MERGEFORMAT</w:instrText>
        </w:r>
        <w:r>
          <w:fldChar w:fldCharType="separate"/>
        </w:r>
        <w:r>
          <w:t>2</w:t>
        </w:r>
        <w:r>
          <w:fldChar w:fldCharType="end"/>
        </w:r>
      </w:p>
    </w:sdtContent>
  </w:sdt>
  <w:p w14:paraId="2318E8F4" w14:textId="77777777" w:rsidR="00147BE6" w:rsidRDefault="00147BE6" w:rsidP="00AF0D92">
    <w:pPr>
      <w:pStyle w:val="Rodap"/>
      <w:tabs>
        <w:tab w:val="left" w:pos="5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8134"/>
      <w:docPartObj>
        <w:docPartGallery w:val="Page Numbers (Bottom of Page)"/>
        <w:docPartUnique/>
      </w:docPartObj>
    </w:sdtPr>
    <w:sdtEndPr/>
    <w:sdtContent>
      <w:p w14:paraId="09605096" w14:textId="499B553B" w:rsidR="005D6EF4" w:rsidRDefault="005D6EF4">
        <w:pPr>
          <w:pStyle w:val="Rodap"/>
          <w:jc w:val="right"/>
        </w:pPr>
        <w:r>
          <w:fldChar w:fldCharType="begin"/>
        </w:r>
        <w:r>
          <w:instrText>PAGE   \* MERGEFORMAT</w:instrText>
        </w:r>
        <w:r>
          <w:fldChar w:fldCharType="separate"/>
        </w:r>
        <w:r>
          <w:t>2</w:t>
        </w:r>
        <w:r>
          <w:fldChar w:fldCharType="end"/>
        </w:r>
      </w:p>
    </w:sdtContent>
  </w:sdt>
  <w:p w14:paraId="62A23128" w14:textId="1ECB2D67" w:rsidR="00857CB9" w:rsidRPr="00663A9A" w:rsidRDefault="00857CB9" w:rsidP="00663A9A">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00B8" w14:textId="77777777" w:rsidR="00433C24" w:rsidRPr="00A36308" w:rsidRDefault="00433C24" w:rsidP="00433C24">
    <w:pPr>
      <w:rPr>
        <w:rFonts w:ascii="Univers for KPMG" w:hAnsi="Univers for KPMG"/>
        <w:color w:val="595959"/>
        <w:sz w:val="14"/>
        <w:szCs w:val="14"/>
      </w:rPr>
    </w:pPr>
    <w:bookmarkStart w:id="125" w:name="_Hlk79137538"/>
    <w:r w:rsidRPr="00A36308">
      <w:rPr>
        <w:rFonts w:ascii="Univers for KPMG" w:hAnsi="Univers for KPMG"/>
        <w:color w:val="595959"/>
        <w:sz w:val="12"/>
        <w:szCs w:val="12"/>
      </w:rPr>
      <w:t>KPMG Auditores Independentes Ltda., uma sociedade simples brasileira, de responsabilidade limitada</w:t>
    </w:r>
    <w:r w:rsidRPr="00A36308">
      <w:rPr>
        <w:rFonts w:ascii="Univers for KPMG" w:hAnsi="Univers for KPMG"/>
        <w:color w:val="595959"/>
        <w:sz w:val="12"/>
        <w:szCs w:val="12"/>
        <w:bdr w:val="none" w:sz="0" w:space="0" w:color="auto" w:frame="1"/>
      </w:rPr>
      <w:t xml:space="preserve"> e firma-membro da organização global KPMG de firmas-membro independentes licenciadas da KPMG </w:t>
    </w:r>
    <w:proofErr w:type="spellStart"/>
    <w:r w:rsidRPr="00A36308">
      <w:rPr>
        <w:rFonts w:ascii="Univers for KPMG" w:hAnsi="Univers for KPMG"/>
        <w:color w:val="595959"/>
        <w:sz w:val="12"/>
        <w:szCs w:val="12"/>
        <w:bdr w:val="none" w:sz="0" w:space="0" w:color="auto" w:frame="1"/>
      </w:rPr>
      <w:t>International</w:t>
    </w:r>
    <w:proofErr w:type="spellEnd"/>
    <w:r w:rsidRPr="00A36308">
      <w:rPr>
        <w:rFonts w:ascii="Univers for KPMG" w:hAnsi="Univers for KPMG"/>
        <w:color w:val="595959"/>
        <w:sz w:val="12"/>
        <w:szCs w:val="12"/>
        <w:bdr w:val="none" w:sz="0" w:space="0" w:color="auto" w:frame="1"/>
      </w:rPr>
      <w:t xml:space="preserve"> </w:t>
    </w:r>
    <w:proofErr w:type="spellStart"/>
    <w:r w:rsidRPr="00A36308">
      <w:rPr>
        <w:rFonts w:ascii="Univers for KPMG" w:hAnsi="Univers for KPMG"/>
        <w:color w:val="595959"/>
        <w:sz w:val="12"/>
        <w:szCs w:val="12"/>
        <w:bdr w:val="none" w:sz="0" w:space="0" w:color="auto" w:frame="1"/>
      </w:rPr>
      <w:t>Limited</w:t>
    </w:r>
    <w:proofErr w:type="spellEnd"/>
    <w:r w:rsidRPr="00A36308">
      <w:rPr>
        <w:rFonts w:ascii="Univers for KPMG" w:hAnsi="Univers for KPMG"/>
        <w:color w:val="595959"/>
        <w:sz w:val="12"/>
        <w:szCs w:val="12"/>
        <w:bdr w:val="none" w:sz="0" w:space="0" w:color="auto" w:frame="1"/>
      </w:rPr>
      <w:t>, uma empresa inglesa privada de responsabilidade limitada</w:t>
    </w:r>
  </w:p>
  <w:bookmarkEnd w:id="125"/>
  <w:p w14:paraId="40DE6AB4" w14:textId="77777777" w:rsidR="002F4D1A" w:rsidRDefault="002F4D1A" w:rsidP="00AF0D92">
    <w:pPr>
      <w:pStyle w:val="Rodap"/>
      <w:tabs>
        <w:tab w:val="left" w:pos="51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8B31" w14:textId="77777777" w:rsidR="002F4D1A" w:rsidRDefault="002F4D1A" w:rsidP="00322C02">
    <w:pPr>
      <w:pStyle w:val="Rodap"/>
      <w:tabs>
        <w:tab w:val="left" w:pos="9639"/>
      </w:tabs>
      <w:jc w:val="right"/>
    </w:pPr>
  </w:p>
  <w:p w14:paraId="09E098E4" w14:textId="77777777" w:rsidR="002F4D1A" w:rsidRPr="00663A9A" w:rsidRDefault="002F4D1A" w:rsidP="00663A9A">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849" w14:textId="77777777" w:rsidR="00433C24" w:rsidRDefault="00433C24" w:rsidP="00AF0D92">
    <w:pPr>
      <w:pStyle w:val="Rodap"/>
      <w:tabs>
        <w:tab w:val="left" w:pos="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4A71" w14:textId="77777777" w:rsidR="00CA2B9F" w:rsidRDefault="00CA2B9F" w:rsidP="00347240">
      <w:pPr>
        <w:spacing w:after="0" w:line="240" w:lineRule="auto"/>
      </w:pPr>
      <w:r>
        <w:separator/>
      </w:r>
    </w:p>
  </w:footnote>
  <w:footnote w:type="continuationSeparator" w:id="0">
    <w:p w14:paraId="6E4D14AC" w14:textId="77777777" w:rsidR="00CA2B9F" w:rsidRDefault="00CA2B9F" w:rsidP="00347240">
      <w:pPr>
        <w:spacing w:after="0" w:line="240" w:lineRule="auto"/>
      </w:pPr>
      <w:r>
        <w:continuationSeparator/>
      </w:r>
    </w:p>
  </w:footnote>
  <w:footnote w:type="continuationNotice" w:id="1">
    <w:p w14:paraId="24439DCB" w14:textId="77777777" w:rsidR="00CA2B9F" w:rsidRDefault="00CA2B9F">
      <w:pPr>
        <w:spacing w:after="0" w:line="240" w:lineRule="auto"/>
      </w:pPr>
    </w:p>
  </w:footnote>
  <w:footnote w:id="2">
    <w:p w14:paraId="7F211BC9" w14:textId="77777777" w:rsidR="00527E46" w:rsidRPr="00A12A48" w:rsidRDefault="00527E46" w:rsidP="00527E46">
      <w:pPr>
        <w:pStyle w:val="Textodenotaderodap"/>
        <w:rPr>
          <w:lang w:val="en-US"/>
        </w:rPr>
      </w:pPr>
      <w:r w:rsidRPr="009D6016">
        <w:rPr>
          <w:rStyle w:val="Refdenotaderodap"/>
          <w:rFonts w:ascii="Arial" w:hAnsi="Arial" w:cs="Arial"/>
          <w:sz w:val="16"/>
          <w:szCs w:val="16"/>
        </w:rPr>
        <w:footnoteRef/>
      </w:r>
      <w:r w:rsidRPr="00A12A48">
        <w:rPr>
          <w:rFonts w:ascii="Arial" w:hAnsi="Arial" w:cs="Arial"/>
          <w:lang w:val="en-US"/>
        </w:rPr>
        <w:t xml:space="preserve"> </w:t>
      </w:r>
      <w:r w:rsidRPr="00A12A48">
        <w:rPr>
          <w:rFonts w:ascii="Arial" w:hAnsi="Arial" w:cs="Arial"/>
          <w:sz w:val="16"/>
          <w:szCs w:val="16"/>
          <w:lang w:val="en-US"/>
        </w:rPr>
        <w:t xml:space="preserve">Does not consider </w:t>
      </w:r>
      <w:r>
        <w:rPr>
          <w:rFonts w:ascii="Arial" w:hAnsi="Arial" w:cs="Arial"/>
          <w:sz w:val="16"/>
          <w:szCs w:val="16"/>
          <w:lang w:val="en-US"/>
        </w:rPr>
        <w:t>t</w:t>
      </w:r>
      <w:r w:rsidRPr="00A12A48">
        <w:rPr>
          <w:rFonts w:ascii="Arial" w:hAnsi="Arial" w:cs="Arial"/>
          <w:sz w:val="16"/>
          <w:szCs w:val="16"/>
          <w:lang w:val="en-US"/>
        </w:rPr>
        <w:t xml:space="preserve">reasury </w:t>
      </w:r>
      <w:r>
        <w:rPr>
          <w:rFonts w:ascii="Arial" w:hAnsi="Arial" w:cs="Arial"/>
          <w:sz w:val="16"/>
          <w:szCs w:val="16"/>
          <w:lang w:val="en-US"/>
        </w:rPr>
        <w:t>stocks</w:t>
      </w:r>
      <w:r w:rsidRPr="00A12A48">
        <w:rPr>
          <w:rFonts w:ascii="Arial" w:hAnsi="Arial" w:cs="Arial"/>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76BA" w14:textId="77777777" w:rsidR="00A27E15" w:rsidRDefault="00A27E15">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017" w14:textId="77777777" w:rsidR="002F4D1A" w:rsidRDefault="002F4D1A">
    <w:pPr>
      <w:pStyle w:val="Cabealho"/>
    </w:pPr>
    <w:r w:rsidRPr="0095120B">
      <w:rPr>
        <w:noProof/>
        <w:lang w:eastAsia="pt-BR"/>
      </w:rPr>
      <mc:AlternateContent>
        <mc:Choice Requires="wps">
          <w:drawing>
            <wp:anchor distT="0" distB="0" distL="114300" distR="114300" simplePos="0" relativeHeight="251695120" behindDoc="0" locked="0" layoutInCell="1" allowOverlap="1" wp14:anchorId="3348B250" wp14:editId="06ED6422">
              <wp:simplePos x="0" y="0"/>
              <wp:positionH relativeFrom="column">
                <wp:posOffset>2714381</wp:posOffset>
              </wp:positionH>
              <wp:positionV relativeFrom="paragraph">
                <wp:posOffset>-475909</wp:posOffset>
              </wp:positionV>
              <wp:extent cx="3930015" cy="457200"/>
              <wp:effectExtent l="0" t="0" r="0" b="0"/>
              <wp:wrapNone/>
              <wp:docPr id="1311357879" name="Caixa de Texto 13113578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C63A68" w14:textId="77777777" w:rsidR="002F4D1A" w:rsidRPr="00030AE6" w:rsidRDefault="002F4D1A"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ABB672C" w14:textId="77777777" w:rsidR="002F4D1A" w:rsidRPr="00030AE6" w:rsidRDefault="002F4D1A"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8B250" id="_x0000_t202" coordsize="21600,21600" o:spt="202" path="m,l,21600r21600,l21600,xe">
              <v:stroke joinstyle="miter"/>
              <v:path gradientshapeok="t" o:connecttype="rect"/>
            </v:shapetype>
            <v:shape id="Caixa de Texto 1311357879" o:spid="_x0000_s1035" type="#_x0000_t202" style="position:absolute;margin-left:213.75pt;margin-top:-37.45pt;width:309.45pt;height:36pt;z-index:25169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AB+7M8aAgAAMwQAAA4AAAAAAAAAAAAAAAAALgIAAGRycy9lMm9Eb2MueG1sUEsB&#10;Ai0AFAAGAAgAAAAhAGOeDy/iAAAACwEAAA8AAAAAAAAAAAAAAAAAdAQAAGRycy9kb3ducmV2Lnht&#10;bFBLBQYAAAAABAAEAPMAAACDBQAAAAA=&#10;" filled="f" stroked="f" strokeweight=".5pt">
              <v:textbox>
                <w:txbxContent>
                  <w:p w14:paraId="37C63A68" w14:textId="77777777" w:rsidR="002F4D1A" w:rsidRPr="00030AE6" w:rsidRDefault="002F4D1A"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ABB672C" w14:textId="77777777" w:rsidR="002F4D1A" w:rsidRPr="00030AE6" w:rsidRDefault="002F4D1A"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93072" behindDoc="1" locked="0" layoutInCell="1" allowOverlap="1" wp14:anchorId="5C272140" wp14:editId="6433773A">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969928343" name="Retângulo 196992834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8E7B7" id="Retângulo 1969928343" o:spid="_x0000_s1026" style="position:absolute;margin-left:0;margin-top:-42.9pt;width:604.8pt;height:43.2pt;z-index:-251623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96144" behindDoc="0" locked="0" layoutInCell="1" allowOverlap="1" wp14:anchorId="2571EA40" wp14:editId="1E346E99">
          <wp:simplePos x="0" y="0"/>
          <wp:positionH relativeFrom="margin">
            <wp:posOffset>-396240</wp:posOffset>
          </wp:positionH>
          <wp:positionV relativeFrom="paragraph">
            <wp:posOffset>-368935</wp:posOffset>
          </wp:positionV>
          <wp:extent cx="942975" cy="193673"/>
          <wp:effectExtent l="0" t="0" r="0" b="0"/>
          <wp:wrapNone/>
          <wp:docPr id="1251740097" name="Imagem 12517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94096" behindDoc="0" locked="0" layoutInCell="1" allowOverlap="1" wp14:anchorId="5C8392C9" wp14:editId="3EA3137E">
              <wp:simplePos x="0" y="0"/>
              <wp:positionH relativeFrom="page">
                <wp:posOffset>-30145</wp:posOffset>
              </wp:positionH>
              <wp:positionV relativeFrom="paragraph">
                <wp:posOffset>-8953</wp:posOffset>
              </wp:positionV>
              <wp:extent cx="9144000" cy="53340"/>
              <wp:effectExtent l="0" t="0" r="0" b="3810"/>
              <wp:wrapNone/>
              <wp:docPr id="319884930" name="Retângulo 319884930"/>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328A367" id="Retângulo 319884930" o:spid="_x0000_s1026" style="position:absolute;margin-left:-2.35pt;margin-top:-.7pt;width:10in;height:4.2pt;z-index:2516940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459" w14:textId="346A86A9" w:rsidR="00A27E15" w:rsidRDefault="005D6EF4">
    <w:pPr>
      <w:pStyle w:val="Cabealho"/>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726864" behindDoc="0" locked="0" layoutInCell="1" allowOverlap="1" wp14:anchorId="75BCDB88" wp14:editId="199D0859">
              <wp:simplePos x="0" y="0"/>
              <wp:positionH relativeFrom="page">
                <wp:posOffset>-276196</wp:posOffset>
              </wp:positionH>
              <wp:positionV relativeFrom="paragraph">
                <wp:posOffset>-20472</wp:posOffset>
              </wp:positionV>
              <wp:extent cx="9144000" cy="53340"/>
              <wp:effectExtent l="0" t="0" r="0" b="3810"/>
              <wp:wrapNone/>
              <wp:docPr id="182746348" name="Retângulo 182746348"/>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36DA94C9" id="Retângulo 182746348" o:spid="_x0000_s1026" style="position:absolute;margin-left:-21.75pt;margin-top:-1.6pt;width:10in;height:4.2pt;z-index:2517268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724816" behindDoc="0" locked="0" layoutInCell="1" allowOverlap="1" wp14:anchorId="61E61FB4" wp14:editId="2744FD2D">
              <wp:simplePos x="0" y="0"/>
              <wp:positionH relativeFrom="column">
                <wp:posOffset>2787972</wp:posOffset>
              </wp:positionH>
              <wp:positionV relativeFrom="paragraph">
                <wp:posOffset>-485320</wp:posOffset>
              </wp:positionV>
              <wp:extent cx="3930015" cy="457200"/>
              <wp:effectExtent l="0" t="0" r="0" b="0"/>
              <wp:wrapNone/>
              <wp:docPr id="1755083291" name="Caixa de Texto 1755083291"/>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3CF11C3" w14:textId="77777777" w:rsidR="005D6EF4" w:rsidRPr="00030AE6" w:rsidRDefault="005D6EF4" w:rsidP="005D6EF4">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9E919D7" w14:textId="77777777" w:rsidR="005D6EF4" w:rsidRPr="00030AE6" w:rsidRDefault="005D6EF4" w:rsidP="005D6EF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61FB4" id="_x0000_t202" coordsize="21600,21600" o:spt="202" path="m,l,21600r21600,l21600,xe">
              <v:stroke joinstyle="miter"/>
              <v:path gradientshapeok="t" o:connecttype="rect"/>
            </v:shapetype>
            <v:shape id="Caixa de Texto 1755083291" o:spid="_x0000_s1028" type="#_x0000_t202" style="position:absolute;margin-left:219.55pt;margin-top:-38.2pt;width:309.45pt;height:36pt;z-index:25172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" filled="f" stroked="f" strokeweight=".5pt">
              <v:textbox>
                <w:txbxContent>
                  <w:p w14:paraId="03CF11C3" w14:textId="77777777" w:rsidR="005D6EF4" w:rsidRPr="00030AE6" w:rsidRDefault="005D6EF4" w:rsidP="005D6EF4">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9E919D7" w14:textId="77777777" w:rsidR="005D6EF4" w:rsidRPr="00030AE6" w:rsidRDefault="005D6EF4" w:rsidP="005D6EF4">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722768" behindDoc="0" locked="0" layoutInCell="1" allowOverlap="1" wp14:anchorId="567771A1" wp14:editId="1359B0D5">
          <wp:simplePos x="0" y="0"/>
          <wp:positionH relativeFrom="margin">
            <wp:posOffset>-514786</wp:posOffset>
          </wp:positionH>
          <wp:positionV relativeFrom="paragraph">
            <wp:posOffset>-353695</wp:posOffset>
          </wp:positionV>
          <wp:extent cx="942975" cy="193673"/>
          <wp:effectExtent l="0" t="0" r="0" b="0"/>
          <wp:wrapNone/>
          <wp:docPr id="1182035299" name="Imagem 118203529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720720" behindDoc="1" locked="0" layoutInCell="1" allowOverlap="1" wp14:anchorId="3F539100" wp14:editId="08A27BBF">
              <wp:simplePos x="0" y="0"/>
              <wp:positionH relativeFrom="page">
                <wp:posOffset>-139719</wp:posOffset>
              </wp:positionH>
              <wp:positionV relativeFrom="paragraph">
                <wp:posOffset>-545854</wp:posOffset>
              </wp:positionV>
              <wp:extent cx="7680960" cy="548640"/>
              <wp:effectExtent l="0" t="0" r="0" b="3810"/>
              <wp:wrapThrough wrapText="bothSides">
                <wp:wrapPolygon edited="0">
                  <wp:start x="0" y="0"/>
                  <wp:lineTo x="0" y="21000"/>
                  <wp:lineTo x="21536" y="21000"/>
                  <wp:lineTo x="21536" y="0"/>
                  <wp:lineTo x="0" y="0"/>
                </wp:wrapPolygon>
              </wp:wrapThrough>
              <wp:docPr id="1339679012" name="Retângulo 1339679012"/>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96915" id="Retângulo 1339679012" o:spid="_x0000_s1026" style="position:absolute;margin-left:-11pt;margin-top:-43pt;width:604.8pt;height:43.2pt;z-index:-25159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" fillcolor="#002d4b" stroked="f" strokeweight="1pt">
              <w10:wrap type="through"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7672" w14:textId="77777777" w:rsidR="00A27E15" w:rsidRPr="00147488" w:rsidRDefault="00A27E15"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715600" behindDoc="1" locked="0" layoutInCell="1" allowOverlap="1" wp14:anchorId="21D2C444" wp14:editId="2DC017C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852733655" name="Retângulo 852733655"/>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D942" id="Retângulo 852733655" o:spid="_x0000_s1026" style="position:absolute;margin-left:0;margin-top:-42.9pt;width:604.8pt;height:43.2pt;z-index:-251600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717648" behindDoc="0" locked="0" layoutInCell="1" allowOverlap="1" wp14:anchorId="3D5E0F08" wp14:editId="5C736D89">
              <wp:simplePos x="0" y="0"/>
              <wp:positionH relativeFrom="column">
                <wp:posOffset>2825750</wp:posOffset>
              </wp:positionH>
              <wp:positionV relativeFrom="paragraph">
                <wp:posOffset>-464185</wp:posOffset>
              </wp:positionV>
              <wp:extent cx="3930015" cy="457200"/>
              <wp:effectExtent l="0" t="0" r="0" b="0"/>
              <wp:wrapNone/>
              <wp:docPr id="1181727574" name="Caixa de Texto 118172757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452552C" w14:textId="77777777" w:rsidR="00A27E15" w:rsidRPr="00030AE6" w:rsidRDefault="00A27E15"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9A5513" w14:textId="77777777" w:rsidR="00A27E15" w:rsidRPr="00030AE6" w:rsidRDefault="00A27E15"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E0F08" id="_x0000_t202" coordsize="21600,21600" o:spt="202" path="m,l,21600r21600,l21600,xe">
              <v:stroke joinstyle="miter"/>
              <v:path gradientshapeok="t" o:connecttype="rect"/>
            </v:shapetype>
            <v:shape id="Caixa de Texto 1181727574" o:spid="_x0000_s1029" type="#_x0000_t202" style="position:absolute;margin-left:222.5pt;margin-top:-36.55pt;width:309.45pt;height:36pt;z-index:25171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" filled="f" stroked="f" strokeweight=".5pt">
              <v:textbox>
                <w:txbxContent>
                  <w:p w14:paraId="4452552C" w14:textId="77777777" w:rsidR="00A27E15" w:rsidRPr="00030AE6" w:rsidRDefault="00A27E15"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9A5513" w14:textId="77777777" w:rsidR="00A27E15" w:rsidRPr="00030AE6" w:rsidRDefault="00A27E15"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718672" behindDoc="0" locked="0" layoutInCell="1" allowOverlap="1" wp14:anchorId="533E137C" wp14:editId="0F7E5969">
          <wp:simplePos x="0" y="0"/>
          <wp:positionH relativeFrom="margin">
            <wp:posOffset>-396240</wp:posOffset>
          </wp:positionH>
          <wp:positionV relativeFrom="paragraph">
            <wp:posOffset>-368935</wp:posOffset>
          </wp:positionV>
          <wp:extent cx="942975" cy="193673"/>
          <wp:effectExtent l="0" t="0" r="0" b="0"/>
          <wp:wrapNone/>
          <wp:docPr id="2030019908" name="Imagem 203001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716624" behindDoc="0" locked="0" layoutInCell="1" allowOverlap="1" wp14:anchorId="7D38D10E" wp14:editId="07B903F8">
              <wp:simplePos x="0" y="0"/>
              <wp:positionH relativeFrom="page">
                <wp:posOffset>-30145</wp:posOffset>
              </wp:positionH>
              <wp:positionV relativeFrom="paragraph">
                <wp:posOffset>-8953</wp:posOffset>
              </wp:positionV>
              <wp:extent cx="9144000" cy="53340"/>
              <wp:effectExtent l="0" t="0" r="0" b="3810"/>
              <wp:wrapNone/>
              <wp:docPr id="1135467461" name="Retângulo 1135467461"/>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3B851878" id="Retângulo 1135467461" o:spid="_x0000_s1026" style="position:absolute;margin-left:-2.35pt;margin-top:-.7pt;width:10in;height:4.2pt;z-index:2517166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468C" w14:textId="2A9F8431" w:rsidR="00042818" w:rsidRPr="00147488" w:rsidRDefault="00042818" w:rsidP="006F192E">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710480" behindDoc="1" locked="0" layoutInCell="1" allowOverlap="1" wp14:anchorId="0D7E51C3" wp14:editId="449F1515">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49974142" name="Retângulo 1749974142"/>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E8F62" id="Retângulo 1749974142" o:spid="_x0000_s1026" style="position:absolute;margin-left:0;margin-top:-42.9pt;width:604.8pt;height:43.2pt;z-index:-2516060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712528" behindDoc="0" locked="0" layoutInCell="1" allowOverlap="1" wp14:anchorId="7D0B3670" wp14:editId="323459DA">
              <wp:simplePos x="0" y="0"/>
              <wp:positionH relativeFrom="column">
                <wp:posOffset>2825750</wp:posOffset>
              </wp:positionH>
              <wp:positionV relativeFrom="paragraph">
                <wp:posOffset>-464185</wp:posOffset>
              </wp:positionV>
              <wp:extent cx="3930015" cy="457200"/>
              <wp:effectExtent l="0" t="0" r="0" b="0"/>
              <wp:wrapNone/>
              <wp:docPr id="1193697864" name="Caixa de Texto 119369786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1510AB8" w14:textId="77777777" w:rsidR="00042818" w:rsidRPr="00030AE6" w:rsidRDefault="00042818"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50B9C" w14:textId="77777777" w:rsidR="00042818" w:rsidRPr="00030AE6" w:rsidRDefault="000428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B3670" id="_x0000_t202" coordsize="21600,21600" o:spt="202" path="m,l,21600r21600,l21600,xe">
              <v:stroke joinstyle="miter"/>
              <v:path gradientshapeok="t" o:connecttype="rect"/>
            </v:shapetype>
            <v:shape id="Caixa de Texto 1193697864" o:spid="_x0000_s1030" type="#_x0000_t202" style="position:absolute;margin-left:222.5pt;margin-top:-36.55pt;width:309.45pt;height:36pt;z-index:25171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" filled="f" stroked="f" strokeweight=".5pt">
              <v:textbox>
                <w:txbxContent>
                  <w:p w14:paraId="21510AB8" w14:textId="77777777" w:rsidR="00042818" w:rsidRPr="00030AE6" w:rsidRDefault="00042818"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50B9C" w14:textId="77777777" w:rsidR="00042818" w:rsidRPr="00030AE6" w:rsidRDefault="00042818" w:rsidP="000148A5">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713552" behindDoc="0" locked="0" layoutInCell="1" allowOverlap="1" wp14:anchorId="1D67E114" wp14:editId="353290C9">
          <wp:simplePos x="0" y="0"/>
          <wp:positionH relativeFrom="margin">
            <wp:posOffset>-396240</wp:posOffset>
          </wp:positionH>
          <wp:positionV relativeFrom="paragraph">
            <wp:posOffset>-368935</wp:posOffset>
          </wp:positionV>
          <wp:extent cx="942975" cy="193673"/>
          <wp:effectExtent l="0" t="0" r="0" b="0"/>
          <wp:wrapNone/>
          <wp:docPr id="1674770493" name="Imagem 1674770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711504" behindDoc="0" locked="0" layoutInCell="1" allowOverlap="1" wp14:anchorId="6FE944A9" wp14:editId="62FBF8D6">
              <wp:simplePos x="0" y="0"/>
              <wp:positionH relativeFrom="page">
                <wp:posOffset>-30145</wp:posOffset>
              </wp:positionH>
              <wp:positionV relativeFrom="paragraph">
                <wp:posOffset>-8953</wp:posOffset>
              </wp:positionV>
              <wp:extent cx="9144000" cy="53340"/>
              <wp:effectExtent l="0" t="0" r="0" b="3810"/>
              <wp:wrapNone/>
              <wp:docPr id="1201367489" name="Retângulo 1201367489"/>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0E69BB23" id="Retângulo 1201367489" o:spid="_x0000_s1026" style="position:absolute;margin-left:-2.35pt;margin-top:-.7pt;width:10in;height:4.2pt;z-index:2517115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9E5" w14:textId="2A9AC718" w:rsidR="000862F7" w:rsidRPr="00147488" w:rsidRDefault="000862F7" w:rsidP="006F192E">
    <w:pPr>
      <w:pStyle w:val="Cabealho"/>
      <w:tabs>
        <w:tab w:val="clear" w:pos="4252"/>
        <w:tab w:val="clear" w:pos="8504"/>
        <w:tab w:val="left" w:pos="5625"/>
      </w:tabs>
    </w:pP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5985A70C" wp14:editId="2CCD8B97">
              <wp:simplePos x="0" y="0"/>
              <wp:positionH relativeFrom="page">
                <wp:posOffset>-28801</wp:posOffset>
              </wp:positionH>
              <wp:positionV relativeFrom="paragraph">
                <wp:posOffset>-6950</wp:posOffset>
              </wp:positionV>
              <wp:extent cx="10706325" cy="45719"/>
              <wp:effectExtent l="0" t="0" r="0" b="0"/>
              <wp:wrapNone/>
              <wp:docPr id="1959311012" name="Retângulo 1959311012"/>
              <wp:cNvGraphicFramePr/>
              <a:graphic xmlns:a="http://schemas.openxmlformats.org/drawingml/2006/main">
                <a:graphicData uri="http://schemas.microsoft.com/office/word/2010/wordprocessingShape">
                  <wps:wsp>
                    <wps:cNvSpPr/>
                    <wps:spPr>
                      <a:xfrm>
                        <a:off x="0" y="0"/>
                        <a:ext cx="10706325"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0450878" id="Retângulo 1959311012" o:spid="_x0000_s1026" style="position:absolute;margin-left:-2.25pt;margin-top:-.55pt;width:843pt;height:3.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" fillcolor="#f5e500" stroked="f" strokeweight="1pt">
              <w10:wrap anchorx="page"/>
            </v:rect>
          </w:pict>
        </mc:Fallback>
      </mc:AlternateContent>
    </w:r>
    <w:r w:rsidRPr="0095120B">
      <w:rPr>
        <w:noProof/>
        <w:lang w:eastAsia="pt-BR"/>
      </w:rPr>
      <mc:AlternateContent>
        <mc:Choice Requires="wps">
          <w:drawing>
            <wp:anchor distT="0" distB="0" distL="114300" distR="114300" simplePos="0" relativeHeight="251658249" behindDoc="0" locked="0" layoutInCell="1" allowOverlap="1" wp14:anchorId="2CA4BB36" wp14:editId="420F8449">
              <wp:simplePos x="0" y="0"/>
              <wp:positionH relativeFrom="column">
                <wp:posOffset>5864150</wp:posOffset>
              </wp:positionH>
              <wp:positionV relativeFrom="paragraph">
                <wp:posOffset>-492985</wp:posOffset>
              </wp:positionV>
              <wp:extent cx="3930015" cy="457200"/>
              <wp:effectExtent l="0" t="0" r="0" b="0"/>
              <wp:wrapNone/>
              <wp:docPr id="845152965" name="Caixa de Texto 84515296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1A5B27A" w14:textId="77777777" w:rsidR="000862F7" w:rsidRPr="00030AE6" w:rsidRDefault="000862F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CBCD9F1" w14:textId="77777777" w:rsidR="000862F7" w:rsidRPr="00030AE6" w:rsidRDefault="000862F7"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4BB36" id="_x0000_t202" coordsize="21600,21600" o:spt="202" path="m,l,21600r21600,l21600,xe">
              <v:stroke joinstyle="miter"/>
              <v:path gradientshapeok="t" o:connecttype="rect"/>
            </v:shapetype>
            <v:shape id="Caixa de Texto 845152965" o:spid="_x0000_s1031" type="#_x0000_t202" style="position:absolute;margin-left:461.75pt;margin-top:-38.8pt;width:309.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" filled="f" stroked="f" strokeweight=".5pt">
              <v:textbox>
                <w:txbxContent>
                  <w:p w14:paraId="71A5B27A" w14:textId="77777777" w:rsidR="000862F7" w:rsidRPr="00030AE6" w:rsidRDefault="000862F7"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CBCD9F1" w14:textId="77777777" w:rsidR="000862F7" w:rsidRPr="00030AE6" w:rsidRDefault="000862F7"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444B2F8C" wp14:editId="5350C445">
              <wp:simplePos x="0" y="0"/>
              <wp:positionH relativeFrom="page">
                <wp:align>left</wp:align>
              </wp:positionH>
              <wp:positionV relativeFrom="paragraph">
                <wp:posOffset>-544830</wp:posOffset>
              </wp:positionV>
              <wp:extent cx="10677525" cy="539750"/>
              <wp:effectExtent l="0" t="0" r="9525" b="0"/>
              <wp:wrapThrough wrapText="bothSides">
                <wp:wrapPolygon edited="0">
                  <wp:start x="0" y="0"/>
                  <wp:lineTo x="0" y="20584"/>
                  <wp:lineTo x="21581" y="20584"/>
                  <wp:lineTo x="21581" y="0"/>
                  <wp:lineTo x="0" y="0"/>
                </wp:wrapPolygon>
              </wp:wrapThrough>
              <wp:docPr id="1953070260" name="Retângulo 1953070260"/>
              <wp:cNvGraphicFramePr/>
              <a:graphic xmlns:a="http://schemas.openxmlformats.org/drawingml/2006/main">
                <a:graphicData uri="http://schemas.microsoft.com/office/word/2010/wordprocessingShape">
                  <wps:wsp>
                    <wps:cNvSpPr/>
                    <wps:spPr>
                      <a:xfrm>
                        <a:off x="0" y="0"/>
                        <a:ext cx="10677600" cy="53975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625CD" id="Retângulo 1953070260" o:spid="_x0000_s1026" style="position:absolute;margin-left:0;margin-top:-42.9pt;width:840.75pt;height:42.5pt;z-index:-2516582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" fillcolor="#002d4b" stroked="f" strokeweight="1pt">
              <w10:wrap type="through" anchorx="page"/>
            </v:rect>
          </w:pict>
        </mc:Fallback>
      </mc:AlternateContent>
    </w:r>
    <w:r w:rsidRPr="0095120B">
      <w:rPr>
        <w:noProof/>
        <w:lang w:eastAsia="pt-BR"/>
      </w:rPr>
      <w:drawing>
        <wp:anchor distT="0" distB="0" distL="114300" distR="114300" simplePos="0" relativeHeight="251658256" behindDoc="0" locked="0" layoutInCell="1" allowOverlap="1" wp14:anchorId="3B4DB80D" wp14:editId="726908FF">
          <wp:simplePos x="0" y="0"/>
          <wp:positionH relativeFrom="margin">
            <wp:posOffset>-396240</wp:posOffset>
          </wp:positionH>
          <wp:positionV relativeFrom="paragraph">
            <wp:posOffset>-368935</wp:posOffset>
          </wp:positionV>
          <wp:extent cx="942975" cy="193673"/>
          <wp:effectExtent l="0" t="0" r="0" b="0"/>
          <wp:wrapNone/>
          <wp:docPr id="1368753404" name="Imagem 136875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D27" w14:textId="77777777" w:rsidR="00857CB9" w:rsidRDefault="00857CB9">
    <w:pPr>
      <w:pStyle w:val="Cabealho"/>
    </w:pPr>
    <w:r w:rsidRPr="0095120B">
      <w:rPr>
        <w:noProof/>
        <w:lang w:eastAsia="pt-BR"/>
      </w:rPr>
      <mc:AlternateContent>
        <mc:Choice Requires="wps">
          <w:drawing>
            <wp:anchor distT="0" distB="0" distL="114300" distR="114300" simplePos="0" relativeHeight="251684880" behindDoc="0" locked="0" layoutInCell="1" allowOverlap="1" wp14:anchorId="1AF6ED97" wp14:editId="0E058D54">
              <wp:simplePos x="0" y="0"/>
              <wp:positionH relativeFrom="column">
                <wp:posOffset>2714381</wp:posOffset>
              </wp:positionH>
              <wp:positionV relativeFrom="paragraph">
                <wp:posOffset>-475909</wp:posOffset>
              </wp:positionV>
              <wp:extent cx="3930015" cy="457200"/>
              <wp:effectExtent l="0" t="0" r="0" b="0"/>
              <wp:wrapNone/>
              <wp:docPr id="1870988217" name="Caixa de Texto 187098821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B1E075B" w14:textId="77777777" w:rsidR="00857CB9" w:rsidRPr="00030AE6" w:rsidRDefault="00857CB9"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A0D27E4" w14:textId="77777777" w:rsidR="00857CB9" w:rsidRPr="00030AE6" w:rsidRDefault="00857CB9"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ED97" id="_x0000_t202" coordsize="21600,21600" o:spt="202" path="m,l,21600r21600,l21600,xe">
              <v:stroke joinstyle="miter"/>
              <v:path gradientshapeok="t" o:connecttype="rect"/>
            </v:shapetype>
            <v:shape id="Caixa de Texto 1870988217" o:spid="_x0000_s1032" type="#_x0000_t202" style="position:absolute;margin-left:213.75pt;margin-top:-37.45pt;width:309.45pt;height:36pt;z-index:25168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" filled="f" stroked="f" strokeweight=".5pt">
              <v:textbox>
                <w:txbxContent>
                  <w:p w14:paraId="6B1E075B" w14:textId="77777777" w:rsidR="00857CB9" w:rsidRPr="00030AE6" w:rsidRDefault="00857CB9" w:rsidP="008E65B8">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A0D27E4" w14:textId="77777777" w:rsidR="00857CB9" w:rsidRPr="00030AE6" w:rsidRDefault="00857CB9"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82832" behindDoc="1" locked="0" layoutInCell="1" allowOverlap="1" wp14:anchorId="060B9055" wp14:editId="04ACC4E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19702659" name="Retângulo 1719702659"/>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DDBCC" id="Retângulo 1719702659" o:spid="_x0000_s1026" style="position:absolute;margin-left:0;margin-top:-42.9pt;width:604.8pt;height:43.2pt;z-index:-251633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85904" behindDoc="0" locked="0" layoutInCell="1" allowOverlap="1" wp14:anchorId="730B8CD7" wp14:editId="1D26FEA8">
          <wp:simplePos x="0" y="0"/>
          <wp:positionH relativeFrom="margin">
            <wp:posOffset>-396240</wp:posOffset>
          </wp:positionH>
          <wp:positionV relativeFrom="paragraph">
            <wp:posOffset>-368935</wp:posOffset>
          </wp:positionV>
          <wp:extent cx="942975" cy="193673"/>
          <wp:effectExtent l="0" t="0" r="0" b="0"/>
          <wp:wrapNone/>
          <wp:docPr id="1648499379" name="Imagem 164849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83856" behindDoc="0" locked="0" layoutInCell="1" allowOverlap="1" wp14:anchorId="7C0431E5" wp14:editId="47FB073E">
              <wp:simplePos x="0" y="0"/>
              <wp:positionH relativeFrom="page">
                <wp:posOffset>-30145</wp:posOffset>
              </wp:positionH>
              <wp:positionV relativeFrom="paragraph">
                <wp:posOffset>-8953</wp:posOffset>
              </wp:positionV>
              <wp:extent cx="9144000" cy="53340"/>
              <wp:effectExtent l="0" t="0" r="0" b="3810"/>
              <wp:wrapNone/>
              <wp:docPr id="1067112615" name="Retângulo 1067112615"/>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50F9A3D8" id="Retângulo 1067112615" o:spid="_x0000_s1026" style="position:absolute;margin-left:-2.35pt;margin-top:-.7pt;width:10in;height:4.2pt;z-index:2516838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77F2" w14:textId="51821D49" w:rsidR="002F4D1A" w:rsidRDefault="002F4D1A">
    <w:pPr>
      <w:pStyle w:val="Cabealho"/>
    </w:pPr>
    <w:r w:rsidRPr="0095120B">
      <w:rPr>
        <w:noProof/>
        <w:lang w:eastAsia="pt-BR"/>
      </w:rPr>
      <mc:AlternateContent>
        <mc:Choice Requires="wps">
          <w:drawing>
            <wp:anchor distT="0" distB="0" distL="114300" distR="114300" simplePos="0" relativeHeight="251700240" behindDoc="0" locked="0" layoutInCell="1" allowOverlap="1" wp14:anchorId="1D5BAF09" wp14:editId="07AA6DBD">
              <wp:simplePos x="0" y="0"/>
              <wp:positionH relativeFrom="column">
                <wp:posOffset>2662773</wp:posOffset>
              </wp:positionH>
              <wp:positionV relativeFrom="paragraph">
                <wp:posOffset>-468933</wp:posOffset>
              </wp:positionV>
              <wp:extent cx="3930015" cy="457200"/>
              <wp:effectExtent l="0" t="0" r="0" b="0"/>
              <wp:wrapNone/>
              <wp:docPr id="527828578" name="Caixa de Texto 52782857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AA0DED0" w14:textId="77777777"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890B01F" w14:textId="77777777" w:rsidR="002F4D1A" w:rsidRPr="00030AE6" w:rsidRDefault="002F4D1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BAF09" id="_x0000_t202" coordsize="21600,21600" o:spt="202" path="m,l,21600r21600,l21600,xe">
              <v:stroke joinstyle="miter"/>
              <v:path gradientshapeok="t" o:connecttype="rect"/>
            </v:shapetype>
            <v:shape id="Caixa de Texto 527828578" o:spid="_x0000_s1033" type="#_x0000_t202" style="position:absolute;margin-left:209.65pt;margin-top:-36.9pt;width:309.45pt;height:36pt;z-index:25170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" filled="f" stroked="f" strokeweight=".5pt">
              <v:textbox>
                <w:txbxContent>
                  <w:p w14:paraId="5AA0DED0" w14:textId="77777777"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890B01F" w14:textId="77777777" w:rsidR="002F4D1A" w:rsidRPr="00030AE6" w:rsidRDefault="002F4D1A" w:rsidP="003925E1">
                    <w:pPr>
                      <w:rPr>
                        <w:rFonts w:ascii="Arial" w:hAnsi="Arial" w:cs="Arial"/>
                        <w:sz w:val="20"/>
                        <w:szCs w:val="20"/>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2F60" w14:textId="711E5A8E" w:rsidR="002F4D1A" w:rsidRDefault="00433C24">
    <w:pPr>
      <w:pStyle w:val="Cabealho"/>
    </w:pPr>
    <w:r w:rsidRPr="00975B2A">
      <w:rPr>
        <w:iCs/>
        <w:noProof/>
        <w:sz w:val="20"/>
        <w:lang w:eastAsia="pt-BR"/>
      </w:rPr>
      <w:drawing>
        <wp:anchor distT="0" distB="0" distL="114300" distR="114300" simplePos="0" relativeHeight="251708432" behindDoc="0" locked="0" layoutInCell="1" allowOverlap="1" wp14:anchorId="3484E748" wp14:editId="65F56185">
          <wp:simplePos x="0" y="0"/>
          <wp:positionH relativeFrom="column">
            <wp:posOffset>0</wp:posOffset>
          </wp:positionH>
          <wp:positionV relativeFrom="page">
            <wp:posOffset>449580</wp:posOffset>
          </wp:positionV>
          <wp:extent cx="990000" cy="399600"/>
          <wp:effectExtent l="0" t="0" r="635" b="635"/>
          <wp:wrapNone/>
          <wp:docPr id="1779065881" name="Picture 2" descr="Desenho de bandeir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94312" name="Picture 2" descr="Desenho de bandeira&#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749" w14:textId="77777777" w:rsidR="002F4D1A" w:rsidRDefault="002F4D1A">
    <w:pPr>
      <w:pStyle w:val="Cabealho"/>
    </w:pPr>
    <w:r w:rsidRPr="0095120B">
      <w:rPr>
        <w:noProof/>
        <w:lang w:eastAsia="pt-BR"/>
      </w:rPr>
      <w:drawing>
        <wp:anchor distT="0" distB="0" distL="114300" distR="114300" simplePos="0" relativeHeight="251706384" behindDoc="0" locked="0" layoutInCell="1" allowOverlap="1" wp14:anchorId="2723476C" wp14:editId="0F77D427">
          <wp:simplePos x="0" y="0"/>
          <wp:positionH relativeFrom="margin">
            <wp:posOffset>-465455</wp:posOffset>
          </wp:positionH>
          <wp:positionV relativeFrom="paragraph">
            <wp:posOffset>-352264</wp:posOffset>
          </wp:positionV>
          <wp:extent cx="942975" cy="193040"/>
          <wp:effectExtent l="0" t="0" r="9525" b="0"/>
          <wp:wrapNone/>
          <wp:docPr id="1695894324" name="Imagem 16958943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705360" behindDoc="0" locked="0" layoutInCell="1" allowOverlap="1" wp14:anchorId="03128E73" wp14:editId="79EF80AE">
              <wp:simplePos x="0" y="0"/>
              <wp:positionH relativeFrom="column">
                <wp:posOffset>2662773</wp:posOffset>
              </wp:positionH>
              <wp:positionV relativeFrom="paragraph">
                <wp:posOffset>-468933</wp:posOffset>
              </wp:positionV>
              <wp:extent cx="3930015" cy="457200"/>
              <wp:effectExtent l="0" t="0" r="0" b="0"/>
              <wp:wrapNone/>
              <wp:docPr id="1029845283" name="Caixa de Texto 102984528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348650" w14:textId="77777777"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117039" w14:textId="77777777" w:rsidR="002F4D1A" w:rsidRPr="00030AE6" w:rsidRDefault="002F4D1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8E73" id="_x0000_t202" coordsize="21600,21600" o:spt="202" path="m,l,21600r21600,l21600,xe">
              <v:stroke joinstyle="miter"/>
              <v:path gradientshapeok="t" o:connecttype="rect"/>
            </v:shapetype>
            <v:shape id="Caixa de Texto 1029845283" o:spid="_x0000_s1034" type="#_x0000_t202" style="position:absolute;margin-left:209.65pt;margin-top:-36.9pt;width:309.45pt;height:36pt;z-index:25170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" filled="f" stroked="f" strokeweight=".5pt">
              <v:textbox>
                <w:txbxContent>
                  <w:p w14:paraId="27348650" w14:textId="77777777" w:rsidR="002F4D1A" w:rsidRPr="00030AE6" w:rsidRDefault="002F4D1A" w:rsidP="0007301F">
                    <w:pPr>
                      <w:jc w:val="right"/>
                      <w:rPr>
                        <w:rFonts w:ascii="Arial" w:hAnsi="Arial" w:cs="Arial"/>
                        <w:color w:val="FFFFFF" w:themeColor="background1"/>
                        <w:sz w:val="20"/>
                        <w:szCs w:val="20"/>
                      </w:rPr>
                    </w:pPr>
                    <w:proofErr w:type="spellStart"/>
                    <w:r w:rsidRPr="008E65B8">
                      <w:rPr>
                        <w:rFonts w:ascii="Arial" w:hAnsi="Arial" w:cs="Arial"/>
                        <w:color w:val="FFFFFF" w:themeColor="background1"/>
                        <w:sz w:val="20"/>
                        <w:szCs w:val="20"/>
                      </w:rPr>
                      <w:t>Consolidated</w:t>
                    </w:r>
                    <w:proofErr w:type="spellEnd"/>
                    <w:r w:rsidRPr="008E65B8">
                      <w:rPr>
                        <w:rFonts w:ascii="Arial" w:hAnsi="Arial" w:cs="Arial"/>
                        <w:color w:val="FFFFFF" w:themeColor="background1"/>
                        <w:sz w:val="20"/>
                        <w:szCs w:val="20"/>
                      </w:rPr>
                      <w:t xml:space="preserve"> Financial </w:t>
                    </w:r>
                    <w:proofErr w:type="spellStart"/>
                    <w:r w:rsidRPr="008E65B8">
                      <w:rPr>
                        <w:rFonts w:ascii="Arial" w:hAnsi="Arial" w:cs="Arial"/>
                        <w:color w:val="FFFFFF" w:themeColor="background1"/>
                        <w:sz w:val="20"/>
                        <w:szCs w:val="20"/>
                      </w:rPr>
                      <w:t>Statements</w:t>
                    </w:r>
                    <w:proofErr w:type="spellEnd"/>
                    <w:r w:rsidRPr="008E65B8">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 </w:t>
                    </w:r>
                    <w:r w:rsidRPr="006E7795">
                      <w:rPr>
                        <w:rFonts w:ascii="Arial" w:hAnsi="Arial" w:cs="Arial"/>
                        <w:color w:val="FFFFFF" w:themeColor="background1"/>
                        <w:sz w:val="20"/>
                        <w:szCs w:val="20"/>
                      </w:rPr>
                      <w:t>202</w:t>
                    </w:r>
                    <w:r>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5117039" w14:textId="77777777" w:rsidR="002F4D1A" w:rsidRPr="00030AE6" w:rsidRDefault="002F4D1A" w:rsidP="003925E1">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703312" behindDoc="1" locked="0" layoutInCell="1" allowOverlap="1" wp14:anchorId="7428882C" wp14:editId="51FD059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261061982" name="Retângulo 261061982"/>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12EE1" id="Retângulo 261061982" o:spid="_x0000_s1026" style="position:absolute;margin-left:0;margin-top:-46.3pt;width:594.75pt;height:49.1pt;z-index:-25161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704336" behindDoc="0" locked="0" layoutInCell="1" allowOverlap="1" wp14:anchorId="72CBF9DF" wp14:editId="163DCA90">
              <wp:simplePos x="0" y="0"/>
              <wp:positionH relativeFrom="page">
                <wp:posOffset>-175260</wp:posOffset>
              </wp:positionH>
              <wp:positionV relativeFrom="paragraph">
                <wp:posOffset>33020</wp:posOffset>
              </wp:positionV>
              <wp:extent cx="9144000" cy="53340"/>
              <wp:effectExtent l="0" t="0" r="0" b="3810"/>
              <wp:wrapNone/>
              <wp:docPr id="1188827063" name="Retângulo 1188827063"/>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18709683" id="Retângulo 1188827063" o:spid="_x0000_s1026" style="position:absolute;margin-left:-13.8pt;margin-top:2.6pt;width:10in;height:4.2pt;z-index:251704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8133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CB0A35"/>
    <w:multiLevelType w:val="hybridMultilevel"/>
    <w:tmpl w:val="E65ABF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CA24C65"/>
    <w:multiLevelType w:val="hybridMultilevel"/>
    <w:tmpl w:val="0DD87718"/>
    <w:lvl w:ilvl="0" w:tplc="98DE03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11"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F173E7"/>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173328C0"/>
    <w:multiLevelType w:val="hybridMultilevel"/>
    <w:tmpl w:val="477CCC42"/>
    <w:lvl w:ilvl="0" w:tplc="A676A1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E6773A"/>
    <w:multiLevelType w:val="hybridMultilevel"/>
    <w:tmpl w:val="5FF48472"/>
    <w:lvl w:ilvl="0" w:tplc="F4E6C0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6D422E"/>
    <w:multiLevelType w:val="hybridMultilevel"/>
    <w:tmpl w:val="235AA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9" w15:restartNumberingAfterBreak="0">
    <w:nsid w:val="44EA19BF"/>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B577A82"/>
    <w:multiLevelType w:val="hybridMultilevel"/>
    <w:tmpl w:val="5BE8586E"/>
    <w:lvl w:ilvl="0" w:tplc="27041310">
      <w:start w:val="1"/>
      <w:numFmt w:val="bullet"/>
      <w:pStyle w:val="Bullets95ptSpreads"/>
      <w:lvlText w:val="–"/>
      <w:lvlJc w:val="left"/>
      <w:pPr>
        <w:ind w:left="1636"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1E16C3"/>
    <w:multiLevelType w:val="hybridMultilevel"/>
    <w:tmpl w:val="B3869F62"/>
    <w:lvl w:ilvl="0" w:tplc="206897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12796F"/>
    <w:multiLevelType w:val="hybridMultilevel"/>
    <w:tmpl w:val="B616DA14"/>
    <w:lvl w:ilvl="0" w:tplc="97EA753C">
      <w:start w:val="1"/>
      <w:numFmt w:val="bullet"/>
      <w:lvlText w:val=""/>
      <w:lvlJc w:val="left"/>
      <w:pPr>
        <w:ind w:left="752" w:hanging="360"/>
      </w:pPr>
      <w:rPr>
        <w:rFonts w:ascii="Symbol" w:hAnsi="Symbol" w:hint="default"/>
      </w:rPr>
    </w:lvl>
    <w:lvl w:ilvl="1" w:tplc="04160003" w:tentative="1">
      <w:start w:val="1"/>
      <w:numFmt w:val="bullet"/>
      <w:lvlText w:val="o"/>
      <w:lvlJc w:val="left"/>
      <w:pPr>
        <w:ind w:left="1472" w:hanging="360"/>
      </w:pPr>
      <w:rPr>
        <w:rFonts w:ascii="Courier New" w:hAnsi="Courier New" w:cs="Courier New" w:hint="default"/>
      </w:rPr>
    </w:lvl>
    <w:lvl w:ilvl="2" w:tplc="04160005" w:tentative="1">
      <w:start w:val="1"/>
      <w:numFmt w:val="bullet"/>
      <w:lvlText w:val=""/>
      <w:lvlJc w:val="left"/>
      <w:pPr>
        <w:ind w:left="2192" w:hanging="360"/>
      </w:pPr>
      <w:rPr>
        <w:rFonts w:ascii="Wingdings" w:hAnsi="Wingdings" w:hint="default"/>
      </w:rPr>
    </w:lvl>
    <w:lvl w:ilvl="3" w:tplc="04160001" w:tentative="1">
      <w:start w:val="1"/>
      <w:numFmt w:val="bullet"/>
      <w:lvlText w:val=""/>
      <w:lvlJc w:val="left"/>
      <w:pPr>
        <w:ind w:left="2912" w:hanging="360"/>
      </w:pPr>
      <w:rPr>
        <w:rFonts w:ascii="Symbol" w:hAnsi="Symbol" w:hint="default"/>
      </w:rPr>
    </w:lvl>
    <w:lvl w:ilvl="4" w:tplc="04160003" w:tentative="1">
      <w:start w:val="1"/>
      <w:numFmt w:val="bullet"/>
      <w:lvlText w:val="o"/>
      <w:lvlJc w:val="left"/>
      <w:pPr>
        <w:ind w:left="3632" w:hanging="360"/>
      </w:pPr>
      <w:rPr>
        <w:rFonts w:ascii="Courier New" w:hAnsi="Courier New" w:cs="Courier New" w:hint="default"/>
      </w:rPr>
    </w:lvl>
    <w:lvl w:ilvl="5" w:tplc="04160005" w:tentative="1">
      <w:start w:val="1"/>
      <w:numFmt w:val="bullet"/>
      <w:lvlText w:val=""/>
      <w:lvlJc w:val="left"/>
      <w:pPr>
        <w:ind w:left="4352" w:hanging="360"/>
      </w:pPr>
      <w:rPr>
        <w:rFonts w:ascii="Wingdings" w:hAnsi="Wingdings" w:hint="default"/>
      </w:rPr>
    </w:lvl>
    <w:lvl w:ilvl="6" w:tplc="04160001" w:tentative="1">
      <w:start w:val="1"/>
      <w:numFmt w:val="bullet"/>
      <w:lvlText w:val=""/>
      <w:lvlJc w:val="left"/>
      <w:pPr>
        <w:ind w:left="5072" w:hanging="360"/>
      </w:pPr>
      <w:rPr>
        <w:rFonts w:ascii="Symbol" w:hAnsi="Symbol" w:hint="default"/>
      </w:rPr>
    </w:lvl>
    <w:lvl w:ilvl="7" w:tplc="04160003" w:tentative="1">
      <w:start w:val="1"/>
      <w:numFmt w:val="bullet"/>
      <w:lvlText w:val="o"/>
      <w:lvlJc w:val="left"/>
      <w:pPr>
        <w:ind w:left="5792" w:hanging="360"/>
      </w:pPr>
      <w:rPr>
        <w:rFonts w:ascii="Courier New" w:hAnsi="Courier New" w:cs="Courier New" w:hint="default"/>
      </w:rPr>
    </w:lvl>
    <w:lvl w:ilvl="8" w:tplc="04160005" w:tentative="1">
      <w:start w:val="1"/>
      <w:numFmt w:val="bullet"/>
      <w:lvlText w:val=""/>
      <w:lvlJc w:val="left"/>
      <w:pPr>
        <w:ind w:left="6512" w:hanging="360"/>
      </w:pPr>
      <w:rPr>
        <w:rFonts w:ascii="Wingdings" w:hAnsi="Wingdings" w:hint="default"/>
      </w:rPr>
    </w:lvl>
  </w:abstractNum>
  <w:abstractNum w:abstractNumId="34"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6"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135BA"/>
    <w:multiLevelType w:val="hybridMultilevel"/>
    <w:tmpl w:val="D278FE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40" w15:restartNumberingAfterBreak="0">
    <w:nsid w:val="652635CC"/>
    <w:multiLevelType w:val="hybridMultilevel"/>
    <w:tmpl w:val="470875DC"/>
    <w:lvl w:ilvl="0" w:tplc="E75C488A">
      <w:start w:val="1"/>
      <w:numFmt w:val="decimal"/>
      <w:lvlText w:val="%1 -"/>
      <w:lvlJc w:val="left"/>
      <w:pPr>
        <w:ind w:left="720" w:hanging="360"/>
      </w:pPr>
      <w:rPr>
        <w:rFonts w:hint="default"/>
      </w:rPr>
    </w:lvl>
    <w:lvl w:ilvl="1" w:tplc="3A8A1848" w:tentative="1">
      <w:start w:val="1"/>
      <w:numFmt w:val="lowerLetter"/>
      <w:lvlText w:val="%2."/>
      <w:lvlJc w:val="left"/>
      <w:pPr>
        <w:ind w:left="1440" w:hanging="360"/>
      </w:pPr>
    </w:lvl>
    <w:lvl w:ilvl="2" w:tplc="FB3270C2" w:tentative="1">
      <w:start w:val="1"/>
      <w:numFmt w:val="lowerRoman"/>
      <w:lvlText w:val="%3."/>
      <w:lvlJc w:val="right"/>
      <w:pPr>
        <w:ind w:left="2160" w:hanging="180"/>
      </w:pPr>
    </w:lvl>
    <w:lvl w:ilvl="3" w:tplc="39F03042" w:tentative="1">
      <w:start w:val="1"/>
      <w:numFmt w:val="decimal"/>
      <w:lvlText w:val="%4."/>
      <w:lvlJc w:val="left"/>
      <w:pPr>
        <w:ind w:left="2880" w:hanging="360"/>
      </w:pPr>
    </w:lvl>
    <w:lvl w:ilvl="4" w:tplc="BE66DBA8" w:tentative="1">
      <w:start w:val="1"/>
      <w:numFmt w:val="lowerLetter"/>
      <w:lvlText w:val="%5."/>
      <w:lvlJc w:val="left"/>
      <w:pPr>
        <w:ind w:left="3600" w:hanging="360"/>
      </w:pPr>
    </w:lvl>
    <w:lvl w:ilvl="5" w:tplc="39329C98" w:tentative="1">
      <w:start w:val="1"/>
      <w:numFmt w:val="lowerRoman"/>
      <w:lvlText w:val="%6."/>
      <w:lvlJc w:val="right"/>
      <w:pPr>
        <w:ind w:left="4320" w:hanging="180"/>
      </w:pPr>
    </w:lvl>
    <w:lvl w:ilvl="6" w:tplc="E714680A" w:tentative="1">
      <w:start w:val="1"/>
      <w:numFmt w:val="decimal"/>
      <w:lvlText w:val="%7."/>
      <w:lvlJc w:val="left"/>
      <w:pPr>
        <w:ind w:left="5040" w:hanging="360"/>
      </w:pPr>
    </w:lvl>
    <w:lvl w:ilvl="7" w:tplc="D49C17A6" w:tentative="1">
      <w:start w:val="1"/>
      <w:numFmt w:val="lowerLetter"/>
      <w:lvlText w:val="%8."/>
      <w:lvlJc w:val="left"/>
      <w:pPr>
        <w:ind w:left="5760" w:hanging="360"/>
      </w:pPr>
    </w:lvl>
    <w:lvl w:ilvl="8" w:tplc="96ACBB0C" w:tentative="1">
      <w:start w:val="1"/>
      <w:numFmt w:val="lowerRoman"/>
      <w:lvlText w:val="%9."/>
      <w:lvlJc w:val="right"/>
      <w:pPr>
        <w:ind w:left="6480" w:hanging="180"/>
      </w:pPr>
    </w:lvl>
  </w:abstractNum>
  <w:abstractNum w:abstractNumId="41" w15:restartNumberingAfterBreak="0">
    <w:nsid w:val="66C015AA"/>
    <w:multiLevelType w:val="hybridMultilevel"/>
    <w:tmpl w:val="767C156A"/>
    <w:lvl w:ilvl="0" w:tplc="FF4825DC">
      <w:start w:val="1"/>
      <w:numFmt w:val="decimal"/>
      <w:lvlText w:val="(%1)"/>
      <w:lvlJc w:val="left"/>
      <w:pPr>
        <w:ind w:left="720" w:hanging="360"/>
      </w:pPr>
      <w:rPr>
        <w:rFonts w:hint="default"/>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2E75EA"/>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D872FC"/>
    <w:multiLevelType w:val="hybridMultilevel"/>
    <w:tmpl w:val="26B43F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15:restartNumberingAfterBreak="0">
    <w:nsid w:val="75B6187C"/>
    <w:multiLevelType w:val="hybridMultilevel"/>
    <w:tmpl w:val="57F26448"/>
    <w:lvl w:ilvl="0" w:tplc="11A07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8" w15:restartNumberingAfterBreak="0">
    <w:nsid w:val="78005DA9"/>
    <w:multiLevelType w:val="hybridMultilevel"/>
    <w:tmpl w:val="3F3AF428"/>
    <w:lvl w:ilvl="0" w:tplc="206897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9D951DB"/>
    <w:multiLevelType w:val="hybridMultilevel"/>
    <w:tmpl w:val="FA08D2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AF37FE5"/>
    <w:multiLevelType w:val="hybridMultilevel"/>
    <w:tmpl w:val="391C3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3"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4" w15:restartNumberingAfterBreak="0">
    <w:nsid w:val="7F291500"/>
    <w:multiLevelType w:val="hybridMultilevel"/>
    <w:tmpl w:val="160E58E0"/>
    <w:lvl w:ilvl="0" w:tplc="0B200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53202">
    <w:abstractNumId w:val="39"/>
  </w:num>
  <w:num w:numId="2" w16cid:durableId="1310478200">
    <w:abstractNumId w:val="11"/>
  </w:num>
  <w:num w:numId="3" w16cid:durableId="781724609">
    <w:abstractNumId w:val="55"/>
  </w:num>
  <w:num w:numId="4" w16cid:durableId="114567551">
    <w:abstractNumId w:val="12"/>
  </w:num>
  <w:num w:numId="5" w16cid:durableId="1643074702">
    <w:abstractNumId w:val="18"/>
  </w:num>
  <w:num w:numId="6" w16cid:durableId="2025355466">
    <w:abstractNumId w:val="31"/>
  </w:num>
  <w:num w:numId="7" w16cid:durableId="1896547674">
    <w:abstractNumId w:val="51"/>
  </w:num>
  <w:num w:numId="8" w16cid:durableId="335235045">
    <w:abstractNumId w:val="26"/>
  </w:num>
  <w:num w:numId="9" w16cid:durableId="15450978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286162">
    <w:abstractNumId w:val="45"/>
  </w:num>
  <w:num w:numId="11" w16cid:durableId="853224777">
    <w:abstractNumId w:val="52"/>
  </w:num>
  <w:num w:numId="12" w16cid:durableId="1516113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285502">
    <w:abstractNumId w:val="22"/>
  </w:num>
  <w:num w:numId="14" w16cid:durableId="1224487878">
    <w:abstractNumId w:val="53"/>
  </w:num>
  <w:num w:numId="15" w16cid:durableId="1954433329">
    <w:abstractNumId w:val="7"/>
  </w:num>
  <w:num w:numId="16" w16cid:durableId="890386156">
    <w:abstractNumId w:val="34"/>
  </w:num>
  <w:num w:numId="17" w16cid:durableId="92940336">
    <w:abstractNumId w:val="5"/>
  </w:num>
  <w:num w:numId="18" w16cid:durableId="1463695506">
    <w:abstractNumId w:val="8"/>
  </w:num>
  <w:num w:numId="19" w16cid:durableId="1069186424">
    <w:abstractNumId w:val="17"/>
  </w:num>
  <w:num w:numId="20" w16cid:durableId="1462378404">
    <w:abstractNumId w:val="54"/>
  </w:num>
  <w:num w:numId="21" w16cid:durableId="933516518">
    <w:abstractNumId w:val="25"/>
  </w:num>
  <w:num w:numId="22" w16cid:durableId="698356891">
    <w:abstractNumId w:val="28"/>
  </w:num>
  <w:num w:numId="23" w16cid:durableId="828059587">
    <w:abstractNumId w:val="16"/>
  </w:num>
  <w:num w:numId="24" w16cid:durableId="1459182956">
    <w:abstractNumId w:val="35"/>
  </w:num>
  <w:num w:numId="25" w16cid:durableId="97142557">
    <w:abstractNumId w:val="4"/>
  </w:num>
  <w:num w:numId="26" w16cid:durableId="136924599">
    <w:abstractNumId w:val="1"/>
  </w:num>
  <w:num w:numId="27" w16cid:durableId="57365333">
    <w:abstractNumId w:val="24"/>
  </w:num>
  <w:num w:numId="28" w16cid:durableId="1946040769">
    <w:abstractNumId w:val="36"/>
  </w:num>
  <w:num w:numId="29" w16cid:durableId="2110465599">
    <w:abstractNumId w:val="41"/>
  </w:num>
  <w:num w:numId="30" w16cid:durableId="260333038">
    <w:abstractNumId w:val="27"/>
  </w:num>
  <w:num w:numId="31" w16cid:durableId="1876651580">
    <w:abstractNumId w:val="42"/>
  </w:num>
  <w:num w:numId="32" w16cid:durableId="802430078">
    <w:abstractNumId w:val="32"/>
  </w:num>
  <w:num w:numId="33" w16cid:durableId="1471092151">
    <w:abstractNumId w:val="29"/>
  </w:num>
  <w:num w:numId="34" w16cid:durableId="1078593705">
    <w:abstractNumId w:val="13"/>
  </w:num>
  <w:num w:numId="35" w16cid:durableId="1682194173">
    <w:abstractNumId w:val="2"/>
  </w:num>
  <w:num w:numId="36" w16cid:durableId="158272284">
    <w:abstractNumId w:val="6"/>
  </w:num>
  <w:num w:numId="37" w16cid:durableId="704794784">
    <w:abstractNumId w:val="38"/>
  </w:num>
  <w:num w:numId="38" w16cid:durableId="358511639">
    <w:abstractNumId w:val="47"/>
  </w:num>
  <w:num w:numId="39" w16cid:durableId="382366044">
    <w:abstractNumId w:val="21"/>
  </w:num>
  <w:num w:numId="40" w16cid:durableId="939801709">
    <w:abstractNumId w:val="3"/>
  </w:num>
  <w:num w:numId="41" w16cid:durableId="451093466">
    <w:abstractNumId w:val="10"/>
  </w:num>
  <w:num w:numId="42" w16cid:durableId="1035154284">
    <w:abstractNumId w:val="19"/>
  </w:num>
  <w:num w:numId="43" w16cid:durableId="559950403">
    <w:abstractNumId w:val="46"/>
  </w:num>
  <w:num w:numId="44" w16cid:durableId="776948223">
    <w:abstractNumId w:val="44"/>
  </w:num>
  <w:num w:numId="45" w16cid:durableId="1741098127">
    <w:abstractNumId w:val="49"/>
  </w:num>
  <w:num w:numId="46" w16cid:durableId="1332827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3698480">
    <w:abstractNumId w:val="14"/>
  </w:num>
  <w:num w:numId="48" w16cid:durableId="36392623">
    <w:abstractNumId w:val="0"/>
  </w:num>
  <w:num w:numId="49" w16cid:durableId="902714647">
    <w:abstractNumId w:val="48"/>
  </w:num>
  <w:num w:numId="50" w16cid:durableId="1369143552">
    <w:abstractNumId w:val="9"/>
  </w:num>
  <w:num w:numId="51" w16cid:durableId="893395284">
    <w:abstractNumId w:val="15"/>
  </w:num>
  <w:num w:numId="52" w16cid:durableId="2133397333">
    <w:abstractNumId w:val="43"/>
  </w:num>
  <w:num w:numId="53" w16cid:durableId="14015598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5736507">
    <w:abstractNumId w:val="37"/>
  </w:num>
  <w:num w:numId="55" w16cid:durableId="1092241025">
    <w:abstractNumId w:val="50"/>
  </w:num>
  <w:num w:numId="56" w16cid:durableId="141968682">
    <w:abstractNumId w:val="30"/>
  </w:num>
  <w:num w:numId="57" w16cid:durableId="81160629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1F2D"/>
    <w:rsid w:val="000027B4"/>
    <w:rsid w:val="0000296C"/>
    <w:rsid w:val="00003E17"/>
    <w:rsid w:val="00003E98"/>
    <w:rsid w:val="00004258"/>
    <w:rsid w:val="00004806"/>
    <w:rsid w:val="00004BCB"/>
    <w:rsid w:val="000058BA"/>
    <w:rsid w:val="000067CB"/>
    <w:rsid w:val="000069A9"/>
    <w:rsid w:val="00007148"/>
    <w:rsid w:val="00007643"/>
    <w:rsid w:val="0000768F"/>
    <w:rsid w:val="00007700"/>
    <w:rsid w:val="00007E35"/>
    <w:rsid w:val="00010275"/>
    <w:rsid w:val="000104D8"/>
    <w:rsid w:val="00010952"/>
    <w:rsid w:val="00010A6C"/>
    <w:rsid w:val="000111F8"/>
    <w:rsid w:val="00012068"/>
    <w:rsid w:val="000127FC"/>
    <w:rsid w:val="00012828"/>
    <w:rsid w:val="000129CE"/>
    <w:rsid w:val="000130B4"/>
    <w:rsid w:val="00013619"/>
    <w:rsid w:val="00013AD9"/>
    <w:rsid w:val="00014050"/>
    <w:rsid w:val="000148A5"/>
    <w:rsid w:val="00014BC3"/>
    <w:rsid w:val="00014EAF"/>
    <w:rsid w:val="00014F83"/>
    <w:rsid w:val="0001513A"/>
    <w:rsid w:val="00015433"/>
    <w:rsid w:val="00015659"/>
    <w:rsid w:val="00015747"/>
    <w:rsid w:val="0001588C"/>
    <w:rsid w:val="000174F6"/>
    <w:rsid w:val="00017B93"/>
    <w:rsid w:val="0002121B"/>
    <w:rsid w:val="00021418"/>
    <w:rsid w:val="00021B07"/>
    <w:rsid w:val="0002255F"/>
    <w:rsid w:val="0002363B"/>
    <w:rsid w:val="00023F38"/>
    <w:rsid w:val="000240C5"/>
    <w:rsid w:val="000252D8"/>
    <w:rsid w:val="0002532D"/>
    <w:rsid w:val="00025BF4"/>
    <w:rsid w:val="0002688C"/>
    <w:rsid w:val="000276E8"/>
    <w:rsid w:val="00030258"/>
    <w:rsid w:val="00030DF1"/>
    <w:rsid w:val="00030EE5"/>
    <w:rsid w:val="0003136B"/>
    <w:rsid w:val="00031799"/>
    <w:rsid w:val="00031A04"/>
    <w:rsid w:val="0003211F"/>
    <w:rsid w:val="000333DC"/>
    <w:rsid w:val="000335D7"/>
    <w:rsid w:val="0003426E"/>
    <w:rsid w:val="000349C5"/>
    <w:rsid w:val="00034CB5"/>
    <w:rsid w:val="000351C5"/>
    <w:rsid w:val="00035738"/>
    <w:rsid w:val="00035C86"/>
    <w:rsid w:val="00036B25"/>
    <w:rsid w:val="00036F9C"/>
    <w:rsid w:val="0003743A"/>
    <w:rsid w:val="00037A94"/>
    <w:rsid w:val="00040427"/>
    <w:rsid w:val="00040871"/>
    <w:rsid w:val="0004098E"/>
    <w:rsid w:val="00040AE7"/>
    <w:rsid w:val="0004123C"/>
    <w:rsid w:val="00041896"/>
    <w:rsid w:val="00041C6F"/>
    <w:rsid w:val="00042553"/>
    <w:rsid w:val="00042818"/>
    <w:rsid w:val="00042D4E"/>
    <w:rsid w:val="000438FA"/>
    <w:rsid w:val="00044667"/>
    <w:rsid w:val="00044A68"/>
    <w:rsid w:val="000452DC"/>
    <w:rsid w:val="00045D79"/>
    <w:rsid w:val="00046DBB"/>
    <w:rsid w:val="00050BDA"/>
    <w:rsid w:val="00050D50"/>
    <w:rsid w:val="00051395"/>
    <w:rsid w:val="00051949"/>
    <w:rsid w:val="00051BAC"/>
    <w:rsid w:val="00052435"/>
    <w:rsid w:val="00052E5D"/>
    <w:rsid w:val="0005300F"/>
    <w:rsid w:val="00053473"/>
    <w:rsid w:val="00053946"/>
    <w:rsid w:val="00054220"/>
    <w:rsid w:val="00055182"/>
    <w:rsid w:val="00055964"/>
    <w:rsid w:val="00055DFD"/>
    <w:rsid w:val="000562FF"/>
    <w:rsid w:val="0005630C"/>
    <w:rsid w:val="0005641C"/>
    <w:rsid w:val="00056F6B"/>
    <w:rsid w:val="00057893"/>
    <w:rsid w:val="00057BEB"/>
    <w:rsid w:val="00060DB2"/>
    <w:rsid w:val="00060DCB"/>
    <w:rsid w:val="00061237"/>
    <w:rsid w:val="00061848"/>
    <w:rsid w:val="00062877"/>
    <w:rsid w:val="0006352D"/>
    <w:rsid w:val="0006450A"/>
    <w:rsid w:val="00065549"/>
    <w:rsid w:val="00065751"/>
    <w:rsid w:val="00065973"/>
    <w:rsid w:val="00065D1B"/>
    <w:rsid w:val="00065E90"/>
    <w:rsid w:val="0006675A"/>
    <w:rsid w:val="00066C4F"/>
    <w:rsid w:val="00066ECA"/>
    <w:rsid w:val="000671C4"/>
    <w:rsid w:val="000676A6"/>
    <w:rsid w:val="00067DC0"/>
    <w:rsid w:val="000702BE"/>
    <w:rsid w:val="000711B0"/>
    <w:rsid w:val="00072CE6"/>
    <w:rsid w:val="0007301F"/>
    <w:rsid w:val="00074128"/>
    <w:rsid w:val="00074B47"/>
    <w:rsid w:val="000755E3"/>
    <w:rsid w:val="00075933"/>
    <w:rsid w:val="00075F1D"/>
    <w:rsid w:val="000762AD"/>
    <w:rsid w:val="0007699E"/>
    <w:rsid w:val="00076F6E"/>
    <w:rsid w:val="0008028F"/>
    <w:rsid w:val="000814D4"/>
    <w:rsid w:val="0008249B"/>
    <w:rsid w:val="0008260C"/>
    <w:rsid w:val="0008272F"/>
    <w:rsid w:val="000837F9"/>
    <w:rsid w:val="00083AC2"/>
    <w:rsid w:val="000840BC"/>
    <w:rsid w:val="000848FE"/>
    <w:rsid w:val="00084DC0"/>
    <w:rsid w:val="00085204"/>
    <w:rsid w:val="0008541E"/>
    <w:rsid w:val="0008593C"/>
    <w:rsid w:val="00085CD1"/>
    <w:rsid w:val="000862F7"/>
    <w:rsid w:val="00086AAF"/>
    <w:rsid w:val="00086E15"/>
    <w:rsid w:val="00086E9D"/>
    <w:rsid w:val="00087181"/>
    <w:rsid w:val="00087A05"/>
    <w:rsid w:val="00087A85"/>
    <w:rsid w:val="00090336"/>
    <w:rsid w:val="0009164C"/>
    <w:rsid w:val="00092770"/>
    <w:rsid w:val="00092BAA"/>
    <w:rsid w:val="00092FAE"/>
    <w:rsid w:val="000934BB"/>
    <w:rsid w:val="00093CE5"/>
    <w:rsid w:val="00093FC8"/>
    <w:rsid w:val="00094B9C"/>
    <w:rsid w:val="00094E8F"/>
    <w:rsid w:val="000953BF"/>
    <w:rsid w:val="00095670"/>
    <w:rsid w:val="00095DE7"/>
    <w:rsid w:val="000962C2"/>
    <w:rsid w:val="0009635A"/>
    <w:rsid w:val="00096582"/>
    <w:rsid w:val="00096640"/>
    <w:rsid w:val="000970FD"/>
    <w:rsid w:val="000972A6"/>
    <w:rsid w:val="00097579"/>
    <w:rsid w:val="00097C51"/>
    <w:rsid w:val="000A097A"/>
    <w:rsid w:val="000A09AC"/>
    <w:rsid w:val="000A1210"/>
    <w:rsid w:val="000A1C10"/>
    <w:rsid w:val="000A2A80"/>
    <w:rsid w:val="000A2CC4"/>
    <w:rsid w:val="000A36FF"/>
    <w:rsid w:val="000A4B9E"/>
    <w:rsid w:val="000A4BBA"/>
    <w:rsid w:val="000A535F"/>
    <w:rsid w:val="000A562B"/>
    <w:rsid w:val="000A5645"/>
    <w:rsid w:val="000B1346"/>
    <w:rsid w:val="000B1684"/>
    <w:rsid w:val="000B1A32"/>
    <w:rsid w:val="000B2247"/>
    <w:rsid w:val="000B24E0"/>
    <w:rsid w:val="000B3825"/>
    <w:rsid w:val="000B4030"/>
    <w:rsid w:val="000B476E"/>
    <w:rsid w:val="000B4F17"/>
    <w:rsid w:val="000B5396"/>
    <w:rsid w:val="000B5475"/>
    <w:rsid w:val="000B5DAC"/>
    <w:rsid w:val="000B6002"/>
    <w:rsid w:val="000B6328"/>
    <w:rsid w:val="000B6ED4"/>
    <w:rsid w:val="000B7899"/>
    <w:rsid w:val="000B7F82"/>
    <w:rsid w:val="000C1B2D"/>
    <w:rsid w:val="000C2471"/>
    <w:rsid w:val="000C5A4E"/>
    <w:rsid w:val="000C6293"/>
    <w:rsid w:val="000C644A"/>
    <w:rsid w:val="000C6B0A"/>
    <w:rsid w:val="000C7620"/>
    <w:rsid w:val="000C7981"/>
    <w:rsid w:val="000C7C94"/>
    <w:rsid w:val="000C7E60"/>
    <w:rsid w:val="000D000B"/>
    <w:rsid w:val="000D1904"/>
    <w:rsid w:val="000D1993"/>
    <w:rsid w:val="000D1A44"/>
    <w:rsid w:val="000D249B"/>
    <w:rsid w:val="000D2540"/>
    <w:rsid w:val="000D2649"/>
    <w:rsid w:val="000D27D6"/>
    <w:rsid w:val="000D2977"/>
    <w:rsid w:val="000D2D3B"/>
    <w:rsid w:val="000D35E3"/>
    <w:rsid w:val="000D48E8"/>
    <w:rsid w:val="000D4C14"/>
    <w:rsid w:val="000D5517"/>
    <w:rsid w:val="000D5690"/>
    <w:rsid w:val="000D64D3"/>
    <w:rsid w:val="000D6D95"/>
    <w:rsid w:val="000E1AAD"/>
    <w:rsid w:val="000E26DE"/>
    <w:rsid w:val="000E3A2B"/>
    <w:rsid w:val="000E3C38"/>
    <w:rsid w:val="000E3F6F"/>
    <w:rsid w:val="000E4727"/>
    <w:rsid w:val="000E4785"/>
    <w:rsid w:val="000E4AEA"/>
    <w:rsid w:val="000E4C28"/>
    <w:rsid w:val="000E533A"/>
    <w:rsid w:val="000E5362"/>
    <w:rsid w:val="000E55AA"/>
    <w:rsid w:val="000E58D5"/>
    <w:rsid w:val="000E6DC9"/>
    <w:rsid w:val="000E721D"/>
    <w:rsid w:val="000E7457"/>
    <w:rsid w:val="000E75BD"/>
    <w:rsid w:val="000E77BD"/>
    <w:rsid w:val="000F05A2"/>
    <w:rsid w:val="000F0C9B"/>
    <w:rsid w:val="000F18E1"/>
    <w:rsid w:val="000F2412"/>
    <w:rsid w:val="000F24FB"/>
    <w:rsid w:val="000F2B7F"/>
    <w:rsid w:val="000F3094"/>
    <w:rsid w:val="000F3145"/>
    <w:rsid w:val="000F3517"/>
    <w:rsid w:val="000F3899"/>
    <w:rsid w:val="000F408D"/>
    <w:rsid w:val="000F552D"/>
    <w:rsid w:val="000F55A7"/>
    <w:rsid w:val="000F56A8"/>
    <w:rsid w:val="000F595F"/>
    <w:rsid w:val="000F6630"/>
    <w:rsid w:val="000F6703"/>
    <w:rsid w:val="000F7741"/>
    <w:rsid w:val="000F7D74"/>
    <w:rsid w:val="000F7F0F"/>
    <w:rsid w:val="0010283C"/>
    <w:rsid w:val="00102947"/>
    <w:rsid w:val="00102B63"/>
    <w:rsid w:val="0010370A"/>
    <w:rsid w:val="001038DC"/>
    <w:rsid w:val="00103E52"/>
    <w:rsid w:val="00104090"/>
    <w:rsid w:val="00104BC0"/>
    <w:rsid w:val="0010529B"/>
    <w:rsid w:val="00106218"/>
    <w:rsid w:val="0010628A"/>
    <w:rsid w:val="001064E2"/>
    <w:rsid w:val="0010680F"/>
    <w:rsid w:val="00107072"/>
    <w:rsid w:val="00107B84"/>
    <w:rsid w:val="001105B7"/>
    <w:rsid w:val="00110A2C"/>
    <w:rsid w:val="00110DD7"/>
    <w:rsid w:val="0011131B"/>
    <w:rsid w:val="001115CF"/>
    <w:rsid w:val="00111C20"/>
    <w:rsid w:val="00111CA4"/>
    <w:rsid w:val="001125FF"/>
    <w:rsid w:val="00112B1B"/>
    <w:rsid w:val="001146AA"/>
    <w:rsid w:val="00115495"/>
    <w:rsid w:val="001155EA"/>
    <w:rsid w:val="00115EC1"/>
    <w:rsid w:val="00116067"/>
    <w:rsid w:val="001164B5"/>
    <w:rsid w:val="001164E6"/>
    <w:rsid w:val="001166A2"/>
    <w:rsid w:val="00116D52"/>
    <w:rsid w:val="00117509"/>
    <w:rsid w:val="001208AF"/>
    <w:rsid w:val="00120D22"/>
    <w:rsid w:val="00121403"/>
    <w:rsid w:val="00121753"/>
    <w:rsid w:val="001217E2"/>
    <w:rsid w:val="00121885"/>
    <w:rsid w:val="00122012"/>
    <w:rsid w:val="00122383"/>
    <w:rsid w:val="00122C4E"/>
    <w:rsid w:val="00122CED"/>
    <w:rsid w:val="0012353E"/>
    <w:rsid w:val="001235AB"/>
    <w:rsid w:val="00123ACC"/>
    <w:rsid w:val="0012400A"/>
    <w:rsid w:val="001250C5"/>
    <w:rsid w:val="0012539E"/>
    <w:rsid w:val="00125B71"/>
    <w:rsid w:val="00126206"/>
    <w:rsid w:val="00126236"/>
    <w:rsid w:val="001263DE"/>
    <w:rsid w:val="00126960"/>
    <w:rsid w:val="00126A71"/>
    <w:rsid w:val="00127074"/>
    <w:rsid w:val="00130128"/>
    <w:rsid w:val="0013063A"/>
    <w:rsid w:val="001322B0"/>
    <w:rsid w:val="001327F4"/>
    <w:rsid w:val="00133101"/>
    <w:rsid w:val="001333EB"/>
    <w:rsid w:val="0013354E"/>
    <w:rsid w:val="00133CDE"/>
    <w:rsid w:val="00134680"/>
    <w:rsid w:val="00136384"/>
    <w:rsid w:val="00136454"/>
    <w:rsid w:val="0013660D"/>
    <w:rsid w:val="001367D9"/>
    <w:rsid w:val="00136834"/>
    <w:rsid w:val="00136C77"/>
    <w:rsid w:val="00136C7B"/>
    <w:rsid w:val="001408C9"/>
    <w:rsid w:val="00140962"/>
    <w:rsid w:val="00140AF4"/>
    <w:rsid w:val="00142311"/>
    <w:rsid w:val="0014248D"/>
    <w:rsid w:val="00142DED"/>
    <w:rsid w:val="00143D4A"/>
    <w:rsid w:val="001442CC"/>
    <w:rsid w:val="0014441E"/>
    <w:rsid w:val="0014497F"/>
    <w:rsid w:val="00145037"/>
    <w:rsid w:val="00146D19"/>
    <w:rsid w:val="0014701B"/>
    <w:rsid w:val="001473CD"/>
    <w:rsid w:val="00147BE6"/>
    <w:rsid w:val="00150C9E"/>
    <w:rsid w:val="00152A79"/>
    <w:rsid w:val="0015355A"/>
    <w:rsid w:val="00153650"/>
    <w:rsid w:val="00153A96"/>
    <w:rsid w:val="00153BBC"/>
    <w:rsid w:val="00153CBA"/>
    <w:rsid w:val="00153CF5"/>
    <w:rsid w:val="00155FF6"/>
    <w:rsid w:val="0015601C"/>
    <w:rsid w:val="001560CE"/>
    <w:rsid w:val="001563BD"/>
    <w:rsid w:val="001569E7"/>
    <w:rsid w:val="00160D2A"/>
    <w:rsid w:val="00161DE3"/>
    <w:rsid w:val="001636AA"/>
    <w:rsid w:val="001637D4"/>
    <w:rsid w:val="00163882"/>
    <w:rsid w:val="00163DE7"/>
    <w:rsid w:val="0016459D"/>
    <w:rsid w:val="0016469B"/>
    <w:rsid w:val="001646D5"/>
    <w:rsid w:val="00165D44"/>
    <w:rsid w:val="00166047"/>
    <w:rsid w:val="00166917"/>
    <w:rsid w:val="00167765"/>
    <w:rsid w:val="00167899"/>
    <w:rsid w:val="00167A24"/>
    <w:rsid w:val="001701FA"/>
    <w:rsid w:val="0017034F"/>
    <w:rsid w:val="00170844"/>
    <w:rsid w:val="00171B32"/>
    <w:rsid w:val="00172A84"/>
    <w:rsid w:val="00172F9E"/>
    <w:rsid w:val="001754B8"/>
    <w:rsid w:val="0017587C"/>
    <w:rsid w:val="00175FC2"/>
    <w:rsid w:val="001760A3"/>
    <w:rsid w:val="001762BE"/>
    <w:rsid w:val="00177141"/>
    <w:rsid w:val="001772AF"/>
    <w:rsid w:val="0018155D"/>
    <w:rsid w:val="00181956"/>
    <w:rsid w:val="00183017"/>
    <w:rsid w:val="001838B0"/>
    <w:rsid w:val="00184069"/>
    <w:rsid w:val="00184F92"/>
    <w:rsid w:val="0018543D"/>
    <w:rsid w:val="00185A57"/>
    <w:rsid w:val="00186606"/>
    <w:rsid w:val="00187177"/>
    <w:rsid w:val="00190671"/>
    <w:rsid w:val="00191EAA"/>
    <w:rsid w:val="00192C11"/>
    <w:rsid w:val="00192DCE"/>
    <w:rsid w:val="00192E46"/>
    <w:rsid w:val="00193845"/>
    <w:rsid w:val="001939CC"/>
    <w:rsid w:val="00193A21"/>
    <w:rsid w:val="00193A8E"/>
    <w:rsid w:val="00193ACB"/>
    <w:rsid w:val="00194149"/>
    <w:rsid w:val="001950CB"/>
    <w:rsid w:val="001952CB"/>
    <w:rsid w:val="0019533E"/>
    <w:rsid w:val="00196A65"/>
    <w:rsid w:val="00196C23"/>
    <w:rsid w:val="00197AFB"/>
    <w:rsid w:val="00197B49"/>
    <w:rsid w:val="001A0E1F"/>
    <w:rsid w:val="001A1B8C"/>
    <w:rsid w:val="001A1BA7"/>
    <w:rsid w:val="001A2275"/>
    <w:rsid w:val="001A2838"/>
    <w:rsid w:val="001A3501"/>
    <w:rsid w:val="001A3B98"/>
    <w:rsid w:val="001A43BB"/>
    <w:rsid w:val="001A4BB4"/>
    <w:rsid w:val="001A4C05"/>
    <w:rsid w:val="001A5D4F"/>
    <w:rsid w:val="001A6042"/>
    <w:rsid w:val="001A66B9"/>
    <w:rsid w:val="001A6999"/>
    <w:rsid w:val="001A6B6D"/>
    <w:rsid w:val="001A76C3"/>
    <w:rsid w:val="001A7939"/>
    <w:rsid w:val="001A7DD8"/>
    <w:rsid w:val="001B02AE"/>
    <w:rsid w:val="001B0D2C"/>
    <w:rsid w:val="001B219D"/>
    <w:rsid w:val="001B2F64"/>
    <w:rsid w:val="001B3116"/>
    <w:rsid w:val="001B3307"/>
    <w:rsid w:val="001B4217"/>
    <w:rsid w:val="001B4C54"/>
    <w:rsid w:val="001B504B"/>
    <w:rsid w:val="001B50D8"/>
    <w:rsid w:val="001B56B6"/>
    <w:rsid w:val="001B5D09"/>
    <w:rsid w:val="001B6225"/>
    <w:rsid w:val="001B6AC8"/>
    <w:rsid w:val="001B722D"/>
    <w:rsid w:val="001B7BCA"/>
    <w:rsid w:val="001C0179"/>
    <w:rsid w:val="001C018B"/>
    <w:rsid w:val="001C047D"/>
    <w:rsid w:val="001C0918"/>
    <w:rsid w:val="001C18A5"/>
    <w:rsid w:val="001C232E"/>
    <w:rsid w:val="001C2A0E"/>
    <w:rsid w:val="001C35C7"/>
    <w:rsid w:val="001C5CCA"/>
    <w:rsid w:val="001C5EBF"/>
    <w:rsid w:val="001C5F2E"/>
    <w:rsid w:val="001C6017"/>
    <w:rsid w:val="001C64CC"/>
    <w:rsid w:val="001C698C"/>
    <w:rsid w:val="001C6B0D"/>
    <w:rsid w:val="001C79BE"/>
    <w:rsid w:val="001C7FF9"/>
    <w:rsid w:val="001D000C"/>
    <w:rsid w:val="001D023A"/>
    <w:rsid w:val="001D04DD"/>
    <w:rsid w:val="001D0DD2"/>
    <w:rsid w:val="001D1146"/>
    <w:rsid w:val="001D1150"/>
    <w:rsid w:val="001D150D"/>
    <w:rsid w:val="001D273D"/>
    <w:rsid w:val="001D2DE6"/>
    <w:rsid w:val="001D2F28"/>
    <w:rsid w:val="001D32DE"/>
    <w:rsid w:val="001D33CB"/>
    <w:rsid w:val="001D36C5"/>
    <w:rsid w:val="001D3727"/>
    <w:rsid w:val="001D3F2E"/>
    <w:rsid w:val="001D424F"/>
    <w:rsid w:val="001D48FC"/>
    <w:rsid w:val="001D571E"/>
    <w:rsid w:val="001D5EFE"/>
    <w:rsid w:val="001D7971"/>
    <w:rsid w:val="001D7EA1"/>
    <w:rsid w:val="001E2515"/>
    <w:rsid w:val="001E2A7F"/>
    <w:rsid w:val="001E2BF9"/>
    <w:rsid w:val="001E411C"/>
    <w:rsid w:val="001E4584"/>
    <w:rsid w:val="001E4C56"/>
    <w:rsid w:val="001E4FAB"/>
    <w:rsid w:val="001E53FD"/>
    <w:rsid w:val="001E5999"/>
    <w:rsid w:val="001E5B7F"/>
    <w:rsid w:val="001E5DBC"/>
    <w:rsid w:val="001E5F3D"/>
    <w:rsid w:val="001F0DEF"/>
    <w:rsid w:val="001F0E61"/>
    <w:rsid w:val="001F138E"/>
    <w:rsid w:val="001F1F28"/>
    <w:rsid w:val="001F23D1"/>
    <w:rsid w:val="001F2698"/>
    <w:rsid w:val="001F2FB7"/>
    <w:rsid w:val="001F39A8"/>
    <w:rsid w:val="001F473A"/>
    <w:rsid w:val="001F4C18"/>
    <w:rsid w:val="001F4DAB"/>
    <w:rsid w:val="001F559E"/>
    <w:rsid w:val="001F6BDB"/>
    <w:rsid w:val="001F7061"/>
    <w:rsid w:val="001F73E2"/>
    <w:rsid w:val="0020027D"/>
    <w:rsid w:val="0020068E"/>
    <w:rsid w:val="00200960"/>
    <w:rsid w:val="00200A98"/>
    <w:rsid w:val="00200D90"/>
    <w:rsid w:val="002013AC"/>
    <w:rsid w:val="002028AA"/>
    <w:rsid w:val="002030E3"/>
    <w:rsid w:val="00203CBF"/>
    <w:rsid w:val="00203E14"/>
    <w:rsid w:val="0020433F"/>
    <w:rsid w:val="00204520"/>
    <w:rsid w:val="002045D5"/>
    <w:rsid w:val="00204B29"/>
    <w:rsid w:val="00204D59"/>
    <w:rsid w:val="0020561F"/>
    <w:rsid w:val="00205769"/>
    <w:rsid w:val="00206282"/>
    <w:rsid w:val="0020653C"/>
    <w:rsid w:val="00206814"/>
    <w:rsid w:val="00207693"/>
    <w:rsid w:val="00210B56"/>
    <w:rsid w:val="00210C2F"/>
    <w:rsid w:val="0021213D"/>
    <w:rsid w:val="00212276"/>
    <w:rsid w:val="00212E57"/>
    <w:rsid w:val="002131B9"/>
    <w:rsid w:val="00213415"/>
    <w:rsid w:val="00214EF3"/>
    <w:rsid w:val="00214F4E"/>
    <w:rsid w:val="00215221"/>
    <w:rsid w:val="0021591C"/>
    <w:rsid w:val="0021624F"/>
    <w:rsid w:val="0021702C"/>
    <w:rsid w:val="002171F3"/>
    <w:rsid w:val="002174FB"/>
    <w:rsid w:val="00217E23"/>
    <w:rsid w:val="00220B86"/>
    <w:rsid w:val="002217F3"/>
    <w:rsid w:val="0022207A"/>
    <w:rsid w:val="002222A6"/>
    <w:rsid w:val="002222C8"/>
    <w:rsid w:val="002222F8"/>
    <w:rsid w:val="00222380"/>
    <w:rsid w:val="00222523"/>
    <w:rsid w:val="002238DE"/>
    <w:rsid w:val="00224184"/>
    <w:rsid w:val="0022490D"/>
    <w:rsid w:val="0022493C"/>
    <w:rsid w:val="00224F61"/>
    <w:rsid w:val="00225163"/>
    <w:rsid w:val="00225984"/>
    <w:rsid w:val="00225EBC"/>
    <w:rsid w:val="002274BA"/>
    <w:rsid w:val="00227CB8"/>
    <w:rsid w:val="00227FD8"/>
    <w:rsid w:val="00230593"/>
    <w:rsid w:val="00230C18"/>
    <w:rsid w:val="00230E24"/>
    <w:rsid w:val="002315DD"/>
    <w:rsid w:val="0023162C"/>
    <w:rsid w:val="0023270A"/>
    <w:rsid w:val="00232C4B"/>
    <w:rsid w:val="0023362B"/>
    <w:rsid w:val="0023451D"/>
    <w:rsid w:val="00234A13"/>
    <w:rsid w:val="00235C4F"/>
    <w:rsid w:val="00235EAB"/>
    <w:rsid w:val="0023646D"/>
    <w:rsid w:val="00236493"/>
    <w:rsid w:val="00237429"/>
    <w:rsid w:val="00237825"/>
    <w:rsid w:val="00237AAA"/>
    <w:rsid w:val="002401B6"/>
    <w:rsid w:val="002403ED"/>
    <w:rsid w:val="002406E3"/>
    <w:rsid w:val="002408DC"/>
    <w:rsid w:val="00241360"/>
    <w:rsid w:val="00243F7B"/>
    <w:rsid w:val="0024439C"/>
    <w:rsid w:val="002443C6"/>
    <w:rsid w:val="00244CAC"/>
    <w:rsid w:val="002463CA"/>
    <w:rsid w:val="00246602"/>
    <w:rsid w:val="00246BCF"/>
    <w:rsid w:val="00246CA3"/>
    <w:rsid w:val="00247531"/>
    <w:rsid w:val="002477B1"/>
    <w:rsid w:val="0024798B"/>
    <w:rsid w:val="00247F3A"/>
    <w:rsid w:val="002518F2"/>
    <w:rsid w:val="00251F6F"/>
    <w:rsid w:val="00252805"/>
    <w:rsid w:val="002529BE"/>
    <w:rsid w:val="00252AB9"/>
    <w:rsid w:val="00252B5A"/>
    <w:rsid w:val="00253734"/>
    <w:rsid w:val="002544EB"/>
    <w:rsid w:val="00254900"/>
    <w:rsid w:val="00254A5A"/>
    <w:rsid w:val="0025507C"/>
    <w:rsid w:val="002572C9"/>
    <w:rsid w:val="002578A1"/>
    <w:rsid w:val="00260D35"/>
    <w:rsid w:val="0026119B"/>
    <w:rsid w:val="00262436"/>
    <w:rsid w:val="00262D32"/>
    <w:rsid w:val="002633C0"/>
    <w:rsid w:val="00263451"/>
    <w:rsid w:val="002635F8"/>
    <w:rsid w:val="0026398A"/>
    <w:rsid w:val="00263B80"/>
    <w:rsid w:val="00265187"/>
    <w:rsid w:val="00265A9F"/>
    <w:rsid w:val="00265E37"/>
    <w:rsid w:val="00266930"/>
    <w:rsid w:val="00267241"/>
    <w:rsid w:val="00267536"/>
    <w:rsid w:val="00267562"/>
    <w:rsid w:val="00267CA9"/>
    <w:rsid w:val="00270431"/>
    <w:rsid w:val="00271A5A"/>
    <w:rsid w:val="00271AA4"/>
    <w:rsid w:val="00271B40"/>
    <w:rsid w:val="00273192"/>
    <w:rsid w:val="00274CB5"/>
    <w:rsid w:val="0027503F"/>
    <w:rsid w:val="002753FF"/>
    <w:rsid w:val="0027554D"/>
    <w:rsid w:val="002772F9"/>
    <w:rsid w:val="0028051F"/>
    <w:rsid w:val="0028090A"/>
    <w:rsid w:val="0028123C"/>
    <w:rsid w:val="002815F9"/>
    <w:rsid w:val="00282FD8"/>
    <w:rsid w:val="0028309A"/>
    <w:rsid w:val="002840AB"/>
    <w:rsid w:val="00284928"/>
    <w:rsid w:val="002849BF"/>
    <w:rsid w:val="0028550A"/>
    <w:rsid w:val="00285CF2"/>
    <w:rsid w:val="00285F38"/>
    <w:rsid w:val="00286037"/>
    <w:rsid w:val="002869AE"/>
    <w:rsid w:val="00286C6D"/>
    <w:rsid w:val="00287916"/>
    <w:rsid w:val="0029090C"/>
    <w:rsid w:val="00291305"/>
    <w:rsid w:val="00291B52"/>
    <w:rsid w:val="0029248D"/>
    <w:rsid w:val="002936FF"/>
    <w:rsid w:val="00293B96"/>
    <w:rsid w:val="0029433A"/>
    <w:rsid w:val="00295409"/>
    <w:rsid w:val="002956E6"/>
    <w:rsid w:val="002965BB"/>
    <w:rsid w:val="002968AF"/>
    <w:rsid w:val="00296B81"/>
    <w:rsid w:val="00296C17"/>
    <w:rsid w:val="00296C28"/>
    <w:rsid w:val="00297080"/>
    <w:rsid w:val="00297F4C"/>
    <w:rsid w:val="002A027C"/>
    <w:rsid w:val="002A02C8"/>
    <w:rsid w:val="002A04EF"/>
    <w:rsid w:val="002A17CA"/>
    <w:rsid w:val="002A1875"/>
    <w:rsid w:val="002A2092"/>
    <w:rsid w:val="002A2289"/>
    <w:rsid w:val="002A2697"/>
    <w:rsid w:val="002A2AA8"/>
    <w:rsid w:val="002A2DBD"/>
    <w:rsid w:val="002A2FDD"/>
    <w:rsid w:val="002A32C1"/>
    <w:rsid w:val="002A35B7"/>
    <w:rsid w:val="002A39B9"/>
    <w:rsid w:val="002A3D14"/>
    <w:rsid w:val="002A3EAA"/>
    <w:rsid w:val="002A4560"/>
    <w:rsid w:val="002A47A7"/>
    <w:rsid w:val="002A4966"/>
    <w:rsid w:val="002A4E79"/>
    <w:rsid w:val="002A5391"/>
    <w:rsid w:val="002A53D5"/>
    <w:rsid w:val="002A54AD"/>
    <w:rsid w:val="002A68A7"/>
    <w:rsid w:val="002A68BC"/>
    <w:rsid w:val="002A6D5B"/>
    <w:rsid w:val="002A734B"/>
    <w:rsid w:val="002A7FA7"/>
    <w:rsid w:val="002B003A"/>
    <w:rsid w:val="002B02B7"/>
    <w:rsid w:val="002B07AD"/>
    <w:rsid w:val="002B083A"/>
    <w:rsid w:val="002B0ABE"/>
    <w:rsid w:val="002B1072"/>
    <w:rsid w:val="002B1AFE"/>
    <w:rsid w:val="002B255F"/>
    <w:rsid w:val="002B3559"/>
    <w:rsid w:val="002B35A8"/>
    <w:rsid w:val="002B375F"/>
    <w:rsid w:val="002B396D"/>
    <w:rsid w:val="002B3F85"/>
    <w:rsid w:val="002B4BCF"/>
    <w:rsid w:val="002B5FFC"/>
    <w:rsid w:val="002B613E"/>
    <w:rsid w:val="002B63E7"/>
    <w:rsid w:val="002B6633"/>
    <w:rsid w:val="002B766F"/>
    <w:rsid w:val="002B77A2"/>
    <w:rsid w:val="002C0FCD"/>
    <w:rsid w:val="002C1311"/>
    <w:rsid w:val="002C1A90"/>
    <w:rsid w:val="002C273C"/>
    <w:rsid w:val="002C359C"/>
    <w:rsid w:val="002C393B"/>
    <w:rsid w:val="002C39B5"/>
    <w:rsid w:val="002C406F"/>
    <w:rsid w:val="002C4DD5"/>
    <w:rsid w:val="002C4F29"/>
    <w:rsid w:val="002C5ECB"/>
    <w:rsid w:val="002C65F4"/>
    <w:rsid w:val="002C77AD"/>
    <w:rsid w:val="002C7DAE"/>
    <w:rsid w:val="002D0038"/>
    <w:rsid w:val="002D07FF"/>
    <w:rsid w:val="002D0D47"/>
    <w:rsid w:val="002D1D2B"/>
    <w:rsid w:val="002D226A"/>
    <w:rsid w:val="002D259B"/>
    <w:rsid w:val="002D3071"/>
    <w:rsid w:val="002D311D"/>
    <w:rsid w:val="002D36D1"/>
    <w:rsid w:val="002D38D7"/>
    <w:rsid w:val="002D3B31"/>
    <w:rsid w:val="002D47E5"/>
    <w:rsid w:val="002D4859"/>
    <w:rsid w:val="002D4D1F"/>
    <w:rsid w:val="002D4EB8"/>
    <w:rsid w:val="002D5344"/>
    <w:rsid w:val="002D58AE"/>
    <w:rsid w:val="002D5BFF"/>
    <w:rsid w:val="002D606D"/>
    <w:rsid w:val="002D7247"/>
    <w:rsid w:val="002D7B96"/>
    <w:rsid w:val="002D7E81"/>
    <w:rsid w:val="002E0455"/>
    <w:rsid w:val="002E0C39"/>
    <w:rsid w:val="002E193E"/>
    <w:rsid w:val="002E25DC"/>
    <w:rsid w:val="002E2E72"/>
    <w:rsid w:val="002E35B7"/>
    <w:rsid w:val="002E37D6"/>
    <w:rsid w:val="002E3EA1"/>
    <w:rsid w:val="002E41A0"/>
    <w:rsid w:val="002E44F0"/>
    <w:rsid w:val="002E5448"/>
    <w:rsid w:val="002E6BC9"/>
    <w:rsid w:val="002E72C4"/>
    <w:rsid w:val="002E77FF"/>
    <w:rsid w:val="002E7A7E"/>
    <w:rsid w:val="002F017E"/>
    <w:rsid w:val="002F043E"/>
    <w:rsid w:val="002F0EC1"/>
    <w:rsid w:val="002F1514"/>
    <w:rsid w:val="002F15F5"/>
    <w:rsid w:val="002F1F27"/>
    <w:rsid w:val="002F2307"/>
    <w:rsid w:val="002F2E71"/>
    <w:rsid w:val="002F3318"/>
    <w:rsid w:val="002F34AC"/>
    <w:rsid w:val="002F3716"/>
    <w:rsid w:val="002F409F"/>
    <w:rsid w:val="002F434B"/>
    <w:rsid w:val="002F4465"/>
    <w:rsid w:val="002F4A60"/>
    <w:rsid w:val="002F4D1A"/>
    <w:rsid w:val="002F59CD"/>
    <w:rsid w:val="002F635C"/>
    <w:rsid w:val="002F6BFB"/>
    <w:rsid w:val="002F7439"/>
    <w:rsid w:val="002F76B7"/>
    <w:rsid w:val="002F7A8C"/>
    <w:rsid w:val="002F7CC0"/>
    <w:rsid w:val="00300B7F"/>
    <w:rsid w:val="00300C19"/>
    <w:rsid w:val="00301592"/>
    <w:rsid w:val="003015FA"/>
    <w:rsid w:val="0030164A"/>
    <w:rsid w:val="00301C40"/>
    <w:rsid w:val="0030388C"/>
    <w:rsid w:val="00303CA5"/>
    <w:rsid w:val="00305CE9"/>
    <w:rsid w:val="00306A70"/>
    <w:rsid w:val="00307517"/>
    <w:rsid w:val="00310053"/>
    <w:rsid w:val="00310208"/>
    <w:rsid w:val="003110E9"/>
    <w:rsid w:val="0031148C"/>
    <w:rsid w:val="003118EB"/>
    <w:rsid w:val="00311E38"/>
    <w:rsid w:val="0031272C"/>
    <w:rsid w:val="00312E92"/>
    <w:rsid w:val="00313105"/>
    <w:rsid w:val="00313335"/>
    <w:rsid w:val="00313621"/>
    <w:rsid w:val="0031375F"/>
    <w:rsid w:val="00314649"/>
    <w:rsid w:val="003147B1"/>
    <w:rsid w:val="00315143"/>
    <w:rsid w:val="0031549D"/>
    <w:rsid w:val="003158FF"/>
    <w:rsid w:val="003165A4"/>
    <w:rsid w:val="0031694E"/>
    <w:rsid w:val="00316D85"/>
    <w:rsid w:val="0031716B"/>
    <w:rsid w:val="0031788C"/>
    <w:rsid w:val="00320285"/>
    <w:rsid w:val="003207F8"/>
    <w:rsid w:val="00320B14"/>
    <w:rsid w:val="00320C2F"/>
    <w:rsid w:val="003214EB"/>
    <w:rsid w:val="00322105"/>
    <w:rsid w:val="00322135"/>
    <w:rsid w:val="003222E1"/>
    <w:rsid w:val="00322A5E"/>
    <w:rsid w:val="00322C02"/>
    <w:rsid w:val="003234FA"/>
    <w:rsid w:val="00323D6A"/>
    <w:rsid w:val="00324263"/>
    <w:rsid w:val="00324813"/>
    <w:rsid w:val="003256B0"/>
    <w:rsid w:val="00325D19"/>
    <w:rsid w:val="0032636D"/>
    <w:rsid w:val="003264D6"/>
    <w:rsid w:val="00326C3F"/>
    <w:rsid w:val="00327ABD"/>
    <w:rsid w:val="0033050E"/>
    <w:rsid w:val="00330645"/>
    <w:rsid w:val="00330B9F"/>
    <w:rsid w:val="00331849"/>
    <w:rsid w:val="00331DDA"/>
    <w:rsid w:val="00332E4F"/>
    <w:rsid w:val="003337CF"/>
    <w:rsid w:val="00333E7C"/>
    <w:rsid w:val="0033412E"/>
    <w:rsid w:val="00334856"/>
    <w:rsid w:val="003353C6"/>
    <w:rsid w:val="003357B5"/>
    <w:rsid w:val="00336729"/>
    <w:rsid w:val="0033730E"/>
    <w:rsid w:val="003376FD"/>
    <w:rsid w:val="003379FA"/>
    <w:rsid w:val="00340203"/>
    <w:rsid w:val="00341509"/>
    <w:rsid w:val="0034243C"/>
    <w:rsid w:val="00342E09"/>
    <w:rsid w:val="00343496"/>
    <w:rsid w:val="00343B37"/>
    <w:rsid w:val="00343F19"/>
    <w:rsid w:val="003443F3"/>
    <w:rsid w:val="00344607"/>
    <w:rsid w:val="00345BF4"/>
    <w:rsid w:val="00346771"/>
    <w:rsid w:val="00347240"/>
    <w:rsid w:val="003472F0"/>
    <w:rsid w:val="00347665"/>
    <w:rsid w:val="003508BF"/>
    <w:rsid w:val="003508F6"/>
    <w:rsid w:val="00352324"/>
    <w:rsid w:val="003526AE"/>
    <w:rsid w:val="00352CE9"/>
    <w:rsid w:val="00353099"/>
    <w:rsid w:val="003542E7"/>
    <w:rsid w:val="003546E2"/>
    <w:rsid w:val="003547CC"/>
    <w:rsid w:val="00354BDF"/>
    <w:rsid w:val="00354E8A"/>
    <w:rsid w:val="00355B78"/>
    <w:rsid w:val="00356A98"/>
    <w:rsid w:val="00356E7F"/>
    <w:rsid w:val="00357050"/>
    <w:rsid w:val="0035736A"/>
    <w:rsid w:val="003578BE"/>
    <w:rsid w:val="00357ACD"/>
    <w:rsid w:val="0036125C"/>
    <w:rsid w:val="0036235E"/>
    <w:rsid w:val="00362450"/>
    <w:rsid w:val="00362805"/>
    <w:rsid w:val="0036353F"/>
    <w:rsid w:val="00364A22"/>
    <w:rsid w:val="00364B05"/>
    <w:rsid w:val="00364C04"/>
    <w:rsid w:val="0036505B"/>
    <w:rsid w:val="00365499"/>
    <w:rsid w:val="00365978"/>
    <w:rsid w:val="00365D43"/>
    <w:rsid w:val="0036601A"/>
    <w:rsid w:val="0036649B"/>
    <w:rsid w:val="003664EA"/>
    <w:rsid w:val="0036668D"/>
    <w:rsid w:val="003667BA"/>
    <w:rsid w:val="00367354"/>
    <w:rsid w:val="00370301"/>
    <w:rsid w:val="00370587"/>
    <w:rsid w:val="00371107"/>
    <w:rsid w:val="00371A75"/>
    <w:rsid w:val="0037234B"/>
    <w:rsid w:val="00372B8C"/>
    <w:rsid w:val="003736F8"/>
    <w:rsid w:val="00373EA5"/>
    <w:rsid w:val="003752B7"/>
    <w:rsid w:val="00375652"/>
    <w:rsid w:val="003760F5"/>
    <w:rsid w:val="00376239"/>
    <w:rsid w:val="003762B2"/>
    <w:rsid w:val="00377CD4"/>
    <w:rsid w:val="0038018B"/>
    <w:rsid w:val="0038022B"/>
    <w:rsid w:val="0038034B"/>
    <w:rsid w:val="00380417"/>
    <w:rsid w:val="00380454"/>
    <w:rsid w:val="00380C70"/>
    <w:rsid w:val="00380FCA"/>
    <w:rsid w:val="003818B1"/>
    <w:rsid w:val="0038193D"/>
    <w:rsid w:val="00381F0F"/>
    <w:rsid w:val="003820ED"/>
    <w:rsid w:val="00383250"/>
    <w:rsid w:val="00384465"/>
    <w:rsid w:val="003844E4"/>
    <w:rsid w:val="00384595"/>
    <w:rsid w:val="00384880"/>
    <w:rsid w:val="00384EAB"/>
    <w:rsid w:val="003859A5"/>
    <w:rsid w:val="00385ED1"/>
    <w:rsid w:val="003868C0"/>
    <w:rsid w:val="00387268"/>
    <w:rsid w:val="003872EA"/>
    <w:rsid w:val="00387B26"/>
    <w:rsid w:val="0039029D"/>
    <w:rsid w:val="003908CA"/>
    <w:rsid w:val="00390DAA"/>
    <w:rsid w:val="00391157"/>
    <w:rsid w:val="0039207B"/>
    <w:rsid w:val="003925E1"/>
    <w:rsid w:val="00392824"/>
    <w:rsid w:val="003928F4"/>
    <w:rsid w:val="003935A9"/>
    <w:rsid w:val="00393630"/>
    <w:rsid w:val="00393661"/>
    <w:rsid w:val="00393B93"/>
    <w:rsid w:val="00394856"/>
    <w:rsid w:val="00394CC3"/>
    <w:rsid w:val="0039537F"/>
    <w:rsid w:val="003965CB"/>
    <w:rsid w:val="003975F5"/>
    <w:rsid w:val="003A0907"/>
    <w:rsid w:val="003A0BE0"/>
    <w:rsid w:val="003A1E18"/>
    <w:rsid w:val="003A23C1"/>
    <w:rsid w:val="003A2CF8"/>
    <w:rsid w:val="003A383E"/>
    <w:rsid w:val="003A5498"/>
    <w:rsid w:val="003A54B5"/>
    <w:rsid w:val="003A6F90"/>
    <w:rsid w:val="003A7C27"/>
    <w:rsid w:val="003B0FE4"/>
    <w:rsid w:val="003B1173"/>
    <w:rsid w:val="003B32BE"/>
    <w:rsid w:val="003B3DF5"/>
    <w:rsid w:val="003B3FDE"/>
    <w:rsid w:val="003B4045"/>
    <w:rsid w:val="003B4751"/>
    <w:rsid w:val="003B5859"/>
    <w:rsid w:val="003B58B3"/>
    <w:rsid w:val="003B5AE8"/>
    <w:rsid w:val="003B61F4"/>
    <w:rsid w:val="003B6251"/>
    <w:rsid w:val="003B7006"/>
    <w:rsid w:val="003B701A"/>
    <w:rsid w:val="003B702F"/>
    <w:rsid w:val="003B74F4"/>
    <w:rsid w:val="003B78BE"/>
    <w:rsid w:val="003C086B"/>
    <w:rsid w:val="003C0E2D"/>
    <w:rsid w:val="003C1F30"/>
    <w:rsid w:val="003C256B"/>
    <w:rsid w:val="003C2B70"/>
    <w:rsid w:val="003C2C3D"/>
    <w:rsid w:val="003C31B1"/>
    <w:rsid w:val="003C3711"/>
    <w:rsid w:val="003C3D37"/>
    <w:rsid w:val="003C4750"/>
    <w:rsid w:val="003C4916"/>
    <w:rsid w:val="003C4F2E"/>
    <w:rsid w:val="003C5079"/>
    <w:rsid w:val="003C6823"/>
    <w:rsid w:val="003C79AD"/>
    <w:rsid w:val="003C7CD1"/>
    <w:rsid w:val="003C7EBB"/>
    <w:rsid w:val="003C7F26"/>
    <w:rsid w:val="003D0003"/>
    <w:rsid w:val="003D003B"/>
    <w:rsid w:val="003D010F"/>
    <w:rsid w:val="003D0472"/>
    <w:rsid w:val="003D0A2F"/>
    <w:rsid w:val="003D20BF"/>
    <w:rsid w:val="003D229A"/>
    <w:rsid w:val="003D24D3"/>
    <w:rsid w:val="003D30A4"/>
    <w:rsid w:val="003D50C3"/>
    <w:rsid w:val="003D51BA"/>
    <w:rsid w:val="003D685E"/>
    <w:rsid w:val="003D6BCF"/>
    <w:rsid w:val="003D6C77"/>
    <w:rsid w:val="003D7D66"/>
    <w:rsid w:val="003E04B0"/>
    <w:rsid w:val="003E1601"/>
    <w:rsid w:val="003E1A23"/>
    <w:rsid w:val="003E1F3C"/>
    <w:rsid w:val="003E25E0"/>
    <w:rsid w:val="003E286D"/>
    <w:rsid w:val="003E2ED6"/>
    <w:rsid w:val="003E3536"/>
    <w:rsid w:val="003E3D7A"/>
    <w:rsid w:val="003E405D"/>
    <w:rsid w:val="003E46D1"/>
    <w:rsid w:val="003E4A2E"/>
    <w:rsid w:val="003E50FD"/>
    <w:rsid w:val="003E59B8"/>
    <w:rsid w:val="003E5B5D"/>
    <w:rsid w:val="003E5EAE"/>
    <w:rsid w:val="003E6FAD"/>
    <w:rsid w:val="003E701F"/>
    <w:rsid w:val="003E736A"/>
    <w:rsid w:val="003F03A4"/>
    <w:rsid w:val="003F0436"/>
    <w:rsid w:val="003F08C3"/>
    <w:rsid w:val="003F0D40"/>
    <w:rsid w:val="003F0F4D"/>
    <w:rsid w:val="003F1B30"/>
    <w:rsid w:val="003F1E05"/>
    <w:rsid w:val="003F1EA4"/>
    <w:rsid w:val="003F2BA5"/>
    <w:rsid w:val="003F2D2E"/>
    <w:rsid w:val="003F2EC2"/>
    <w:rsid w:val="003F33B3"/>
    <w:rsid w:val="003F36EB"/>
    <w:rsid w:val="003F3E1B"/>
    <w:rsid w:val="003F4641"/>
    <w:rsid w:val="003F597A"/>
    <w:rsid w:val="003F5B76"/>
    <w:rsid w:val="003F68AE"/>
    <w:rsid w:val="003F6E7B"/>
    <w:rsid w:val="003F72C7"/>
    <w:rsid w:val="003F72C9"/>
    <w:rsid w:val="003F7EF6"/>
    <w:rsid w:val="00400067"/>
    <w:rsid w:val="004012E2"/>
    <w:rsid w:val="0040187B"/>
    <w:rsid w:val="004038BF"/>
    <w:rsid w:val="00403EE6"/>
    <w:rsid w:val="0040408A"/>
    <w:rsid w:val="00404513"/>
    <w:rsid w:val="0040632A"/>
    <w:rsid w:val="00406A2C"/>
    <w:rsid w:val="00406CE8"/>
    <w:rsid w:val="004109E0"/>
    <w:rsid w:val="00411140"/>
    <w:rsid w:val="004115E5"/>
    <w:rsid w:val="00411890"/>
    <w:rsid w:val="00411D5A"/>
    <w:rsid w:val="00412BBC"/>
    <w:rsid w:val="00412FD5"/>
    <w:rsid w:val="004136B6"/>
    <w:rsid w:val="00414264"/>
    <w:rsid w:val="004144E2"/>
    <w:rsid w:val="00416923"/>
    <w:rsid w:val="00416D6B"/>
    <w:rsid w:val="0041776D"/>
    <w:rsid w:val="00417DC0"/>
    <w:rsid w:val="00420C96"/>
    <w:rsid w:val="00421403"/>
    <w:rsid w:val="00421A30"/>
    <w:rsid w:val="00421EA0"/>
    <w:rsid w:val="00422258"/>
    <w:rsid w:val="00423B9F"/>
    <w:rsid w:val="00424B95"/>
    <w:rsid w:val="004253A0"/>
    <w:rsid w:val="004253C3"/>
    <w:rsid w:val="00425B31"/>
    <w:rsid w:val="004273E4"/>
    <w:rsid w:val="0042750B"/>
    <w:rsid w:val="004314DD"/>
    <w:rsid w:val="00431E51"/>
    <w:rsid w:val="0043207B"/>
    <w:rsid w:val="0043229C"/>
    <w:rsid w:val="00432934"/>
    <w:rsid w:val="00432B5A"/>
    <w:rsid w:val="004338EE"/>
    <w:rsid w:val="00433C24"/>
    <w:rsid w:val="00433CC4"/>
    <w:rsid w:val="00433E30"/>
    <w:rsid w:val="004340C9"/>
    <w:rsid w:val="004340EF"/>
    <w:rsid w:val="00435191"/>
    <w:rsid w:val="00435745"/>
    <w:rsid w:val="00435C16"/>
    <w:rsid w:val="0043653B"/>
    <w:rsid w:val="004365D6"/>
    <w:rsid w:val="0043692B"/>
    <w:rsid w:val="00436ABC"/>
    <w:rsid w:val="0043705D"/>
    <w:rsid w:val="00437F72"/>
    <w:rsid w:val="00440763"/>
    <w:rsid w:val="00440A09"/>
    <w:rsid w:val="00440BF5"/>
    <w:rsid w:val="0044104C"/>
    <w:rsid w:val="00441539"/>
    <w:rsid w:val="00442222"/>
    <w:rsid w:val="00442532"/>
    <w:rsid w:val="00442869"/>
    <w:rsid w:val="00442DB3"/>
    <w:rsid w:val="004432D7"/>
    <w:rsid w:val="00443413"/>
    <w:rsid w:val="00443592"/>
    <w:rsid w:val="0044367E"/>
    <w:rsid w:val="00443683"/>
    <w:rsid w:val="00443794"/>
    <w:rsid w:val="004439EC"/>
    <w:rsid w:val="00443D0C"/>
    <w:rsid w:val="00443FBA"/>
    <w:rsid w:val="00445A96"/>
    <w:rsid w:val="004460D4"/>
    <w:rsid w:val="00446B39"/>
    <w:rsid w:val="004471E7"/>
    <w:rsid w:val="00447C23"/>
    <w:rsid w:val="00447F93"/>
    <w:rsid w:val="0045189E"/>
    <w:rsid w:val="00452B3E"/>
    <w:rsid w:val="00453325"/>
    <w:rsid w:val="004534CF"/>
    <w:rsid w:val="00453DDA"/>
    <w:rsid w:val="004544A2"/>
    <w:rsid w:val="00454831"/>
    <w:rsid w:val="00454A07"/>
    <w:rsid w:val="004553E2"/>
    <w:rsid w:val="00455783"/>
    <w:rsid w:val="0045581E"/>
    <w:rsid w:val="00456176"/>
    <w:rsid w:val="004571E2"/>
    <w:rsid w:val="004577E3"/>
    <w:rsid w:val="00457C2B"/>
    <w:rsid w:val="00457FD0"/>
    <w:rsid w:val="00460162"/>
    <w:rsid w:val="004605FF"/>
    <w:rsid w:val="00460AE6"/>
    <w:rsid w:val="00460CEE"/>
    <w:rsid w:val="00461C5E"/>
    <w:rsid w:val="00462C9A"/>
    <w:rsid w:val="00463667"/>
    <w:rsid w:val="00463929"/>
    <w:rsid w:val="0046566D"/>
    <w:rsid w:val="00466A5E"/>
    <w:rsid w:val="00466CCB"/>
    <w:rsid w:val="00466EC7"/>
    <w:rsid w:val="00467245"/>
    <w:rsid w:val="00467420"/>
    <w:rsid w:val="004708C0"/>
    <w:rsid w:val="00470D9A"/>
    <w:rsid w:val="00471054"/>
    <w:rsid w:val="00471190"/>
    <w:rsid w:val="00471B0A"/>
    <w:rsid w:val="004725AE"/>
    <w:rsid w:val="00473E61"/>
    <w:rsid w:val="00473F15"/>
    <w:rsid w:val="004741FC"/>
    <w:rsid w:val="004758A9"/>
    <w:rsid w:val="00475958"/>
    <w:rsid w:val="00475A78"/>
    <w:rsid w:val="00477D52"/>
    <w:rsid w:val="004800A5"/>
    <w:rsid w:val="0048010D"/>
    <w:rsid w:val="0048035E"/>
    <w:rsid w:val="004812F8"/>
    <w:rsid w:val="004817E1"/>
    <w:rsid w:val="0048226D"/>
    <w:rsid w:val="00482532"/>
    <w:rsid w:val="0048328F"/>
    <w:rsid w:val="004845E0"/>
    <w:rsid w:val="004856AB"/>
    <w:rsid w:val="00485757"/>
    <w:rsid w:val="00485890"/>
    <w:rsid w:val="00485E64"/>
    <w:rsid w:val="00486324"/>
    <w:rsid w:val="00486BF8"/>
    <w:rsid w:val="00487DD9"/>
    <w:rsid w:val="00490E82"/>
    <w:rsid w:val="004924D1"/>
    <w:rsid w:val="00492574"/>
    <w:rsid w:val="00493427"/>
    <w:rsid w:val="004937D6"/>
    <w:rsid w:val="00493884"/>
    <w:rsid w:val="00494AF8"/>
    <w:rsid w:val="004950A4"/>
    <w:rsid w:val="004958D9"/>
    <w:rsid w:val="00495CD1"/>
    <w:rsid w:val="00495F99"/>
    <w:rsid w:val="00496BF3"/>
    <w:rsid w:val="0049703E"/>
    <w:rsid w:val="0049778B"/>
    <w:rsid w:val="004A0AFC"/>
    <w:rsid w:val="004A0DA0"/>
    <w:rsid w:val="004A1009"/>
    <w:rsid w:val="004A19B3"/>
    <w:rsid w:val="004A2296"/>
    <w:rsid w:val="004A24D2"/>
    <w:rsid w:val="004A3418"/>
    <w:rsid w:val="004A3E03"/>
    <w:rsid w:val="004A3F4E"/>
    <w:rsid w:val="004A43A0"/>
    <w:rsid w:val="004A4B54"/>
    <w:rsid w:val="004A4FAC"/>
    <w:rsid w:val="004A5533"/>
    <w:rsid w:val="004A67E6"/>
    <w:rsid w:val="004A6970"/>
    <w:rsid w:val="004A6F77"/>
    <w:rsid w:val="004A7F5F"/>
    <w:rsid w:val="004B00F4"/>
    <w:rsid w:val="004B05FD"/>
    <w:rsid w:val="004B3784"/>
    <w:rsid w:val="004B38A8"/>
    <w:rsid w:val="004B3BF3"/>
    <w:rsid w:val="004B3CAB"/>
    <w:rsid w:val="004B405F"/>
    <w:rsid w:val="004B4C09"/>
    <w:rsid w:val="004B4F3A"/>
    <w:rsid w:val="004B5A3E"/>
    <w:rsid w:val="004B6463"/>
    <w:rsid w:val="004B6614"/>
    <w:rsid w:val="004B70CE"/>
    <w:rsid w:val="004C018F"/>
    <w:rsid w:val="004C0E00"/>
    <w:rsid w:val="004C1801"/>
    <w:rsid w:val="004C1B30"/>
    <w:rsid w:val="004C2A2C"/>
    <w:rsid w:val="004C34A1"/>
    <w:rsid w:val="004C366F"/>
    <w:rsid w:val="004C3B52"/>
    <w:rsid w:val="004C486B"/>
    <w:rsid w:val="004C49E7"/>
    <w:rsid w:val="004C5A7A"/>
    <w:rsid w:val="004C67AA"/>
    <w:rsid w:val="004C6DAF"/>
    <w:rsid w:val="004C72F1"/>
    <w:rsid w:val="004C7A6D"/>
    <w:rsid w:val="004D12BC"/>
    <w:rsid w:val="004D209A"/>
    <w:rsid w:val="004D26F0"/>
    <w:rsid w:val="004D2AA5"/>
    <w:rsid w:val="004D2AC7"/>
    <w:rsid w:val="004D2E1F"/>
    <w:rsid w:val="004D307B"/>
    <w:rsid w:val="004D3576"/>
    <w:rsid w:val="004D3761"/>
    <w:rsid w:val="004D3EFE"/>
    <w:rsid w:val="004D402E"/>
    <w:rsid w:val="004D5FE7"/>
    <w:rsid w:val="004D6231"/>
    <w:rsid w:val="004D64A9"/>
    <w:rsid w:val="004D7046"/>
    <w:rsid w:val="004D7275"/>
    <w:rsid w:val="004E0588"/>
    <w:rsid w:val="004E0599"/>
    <w:rsid w:val="004E08E5"/>
    <w:rsid w:val="004E130D"/>
    <w:rsid w:val="004E1B1A"/>
    <w:rsid w:val="004E330A"/>
    <w:rsid w:val="004E4139"/>
    <w:rsid w:val="004E4961"/>
    <w:rsid w:val="004E4AB1"/>
    <w:rsid w:val="004E50CA"/>
    <w:rsid w:val="004E531C"/>
    <w:rsid w:val="004E5F25"/>
    <w:rsid w:val="004E603D"/>
    <w:rsid w:val="004E6771"/>
    <w:rsid w:val="004E751E"/>
    <w:rsid w:val="004E7828"/>
    <w:rsid w:val="004E7EEF"/>
    <w:rsid w:val="004F00F4"/>
    <w:rsid w:val="004F01D3"/>
    <w:rsid w:val="004F178C"/>
    <w:rsid w:val="004F2272"/>
    <w:rsid w:val="004F27CA"/>
    <w:rsid w:val="004F2D16"/>
    <w:rsid w:val="004F3152"/>
    <w:rsid w:val="004F3BB1"/>
    <w:rsid w:val="004F3BF4"/>
    <w:rsid w:val="004F4454"/>
    <w:rsid w:val="004F4A04"/>
    <w:rsid w:val="004F5E91"/>
    <w:rsid w:val="004F6E5C"/>
    <w:rsid w:val="004F70B4"/>
    <w:rsid w:val="004F7569"/>
    <w:rsid w:val="004F7586"/>
    <w:rsid w:val="004F77E6"/>
    <w:rsid w:val="004F7810"/>
    <w:rsid w:val="004F7CF0"/>
    <w:rsid w:val="004F7F8A"/>
    <w:rsid w:val="0050079E"/>
    <w:rsid w:val="00500844"/>
    <w:rsid w:val="00501EA7"/>
    <w:rsid w:val="00502E02"/>
    <w:rsid w:val="00503954"/>
    <w:rsid w:val="00505420"/>
    <w:rsid w:val="0050582E"/>
    <w:rsid w:val="00506AA2"/>
    <w:rsid w:val="00507360"/>
    <w:rsid w:val="00510B0B"/>
    <w:rsid w:val="00511060"/>
    <w:rsid w:val="00511106"/>
    <w:rsid w:val="00511310"/>
    <w:rsid w:val="005115F5"/>
    <w:rsid w:val="0051315C"/>
    <w:rsid w:val="00513AA2"/>
    <w:rsid w:val="00514B33"/>
    <w:rsid w:val="00515130"/>
    <w:rsid w:val="005173C3"/>
    <w:rsid w:val="005179A3"/>
    <w:rsid w:val="00517E3E"/>
    <w:rsid w:val="00517FDA"/>
    <w:rsid w:val="0052001D"/>
    <w:rsid w:val="00520544"/>
    <w:rsid w:val="005207E6"/>
    <w:rsid w:val="005211FE"/>
    <w:rsid w:val="0052155F"/>
    <w:rsid w:val="005215C8"/>
    <w:rsid w:val="00521D36"/>
    <w:rsid w:val="00522880"/>
    <w:rsid w:val="00522CD1"/>
    <w:rsid w:val="00522D41"/>
    <w:rsid w:val="00522E88"/>
    <w:rsid w:val="00522FB7"/>
    <w:rsid w:val="0052357C"/>
    <w:rsid w:val="005237C6"/>
    <w:rsid w:val="0052380B"/>
    <w:rsid w:val="00523819"/>
    <w:rsid w:val="00523A29"/>
    <w:rsid w:val="005240E8"/>
    <w:rsid w:val="005248DE"/>
    <w:rsid w:val="00524B30"/>
    <w:rsid w:val="00525267"/>
    <w:rsid w:val="00525D1F"/>
    <w:rsid w:val="00525E52"/>
    <w:rsid w:val="00526255"/>
    <w:rsid w:val="00526928"/>
    <w:rsid w:val="00527540"/>
    <w:rsid w:val="005277EE"/>
    <w:rsid w:val="00527E46"/>
    <w:rsid w:val="00530F16"/>
    <w:rsid w:val="00531558"/>
    <w:rsid w:val="00531E3F"/>
    <w:rsid w:val="0053235A"/>
    <w:rsid w:val="00532449"/>
    <w:rsid w:val="0053254B"/>
    <w:rsid w:val="0053280C"/>
    <w:rsid w:val="005339CA"/>
    <w:rsid w:val="005340FF"/>
    <w:rsid w:val="00534901"/>
    <w:rsid w:val="00534FC8"/>
    <w:rsid w:val="00536366"/>
    <w:rsid w:val="00536AB1"/>
    <w:rsid w:val="00536F49"/>
    <w:rsid w:val="00537168"/>
    <w:rsid w:val="005374FD"/>
    <w:rsid w:val="00537727"/>
    <w:rsid w:val="00537969"/>
    <w:rsid w:val="0054089D"/>
    <w:rsid w:val="0054097F"/>
    <w:rsid w:val="00541624"/>
    <w:rsid w:val="00541D79"/>
    <w:rsid w:val="005428F8"/>
    <w:rsid w:val="005440F6"/>
    <w:rsid w:val="0054462D"/>
    <w:rsid w:val="00544F46"/>
    <w:rsid w:val="00545AE0"/>
    <w:rsid w:val="00546443"/>
    <w:rsid w:val="0054722D"/>
    <w:rsid w:val="00547612"/>
    <w:rsid w:val="00547CA2"/>
    <w:rsid w:val="005525DF"/>
    <w:rsid w:val="00552E0A"/>
    <w:rsid w:val="0055346A"/>
    <w:rsid w:val="00553EB3"/>
    <w:rsid w:val="005543A8"/>
    <w:rsid w:val="00554E73"/>
    <w:rsid w:val="005555F7"/>
    <w:rsid w:val="0055578F"/>
    <w:rsid w:val="00555A60"/>
    <w:rsid w:val="00556ADF"/>
    <w:rsid w:val="00556DD5"/>
    <w:rsid w:val="00557CCF"/>
    <w:rsid w:val="0056003D"/>
    <w:rsid w:val="00560AD1"/>
    <w:rsid w:val="00560E25"/>
    <w:rsid w:val="00560F83"/>
    <w:rsid w:val="005618A3"/>
    <w:rsid w:val="00563938"/>
    <w:rsid w:val="00563993"/>
    <w:rsid w:val="00564E12"/>
    <w:rsid w:val="00565C36"/>
    <w:rsid w:val="00570B01"/>
    <w:rsid w:val="0057180D"/>
    <w:rsid w:val="00572547"/>
    <w:rsid w:val="00572581"/>
    <w:rsid w:val="005729A5"/>
    <w:rsid w:val="0057432F"/>
    <w:rsid w:val="005746F9"/>
    <w:rsid w:val="00577279"/>
    <w:rsid w:val="005773EA"/>
    <w:rsid w:val="0057754C"/>
    <w:rsid w:val="00577962"/>
    <w:rsid w:val="00580E9E"/>
    <w:rsid w:val="00581123"/>
    <w:rsid w:val="00581388"/>
    <w:rsid w:val="00581626"/>
    <w:rsid w:val="00581907"/>
    <w:rsid w:val="00582746"/>
    <w:rsid w:val="00582A50"/>
    <w:rsid w:val="00582F30"/>
    <w:rsid w:val="00583EFF"/>
    <w:rsid w:val="005843FD"/>
    <w:rsid w:val="00584B77"/>
    <w:rsid w:val="00585711"/>
    <w:rsid w:val="00590A04"/>
    <w:rsid w:val="005911FD"/>
    <w:rsid w:val="0059222A"/>
    <w:rsid w:val="00592383"/>
    <w:rsid w:val="00592564"/>
    <w:rsid w:val="00592D2F"/>
    <w:rsid w:val="00593A62"/>
    <w:rsid w:val="005944E1"/>
    <w:rsid w:val="00595211"/>
    <w:rsid w:val="00595D02"/>
    <w:rsid w:val="00596027"/>
    <w:rsid w:val="00596107"/>
    <w:rsid w:val="00596341"/>
    <w:rsid w:val="00596772"/>
    <w:rsid w:val="00596B86"/>
    <w:rsid w:val="00596D16"/>
    <w:rsid w:val="00597725"/>
    <w:rsid w:val="00597E10"/>
    <w:rsid w:val="005A05A0"/>
    <w:rsid w:val="005A09E1"/>
    <w:rsid w:val="005A0B69"/>
    <w:rsid w:val="005A198F"/>
    <w:rsid w:val="005A1E1B"/>
    <w:rsid w:val="005A24EC"/>
    <w:rsid w:val="005A3025"/>
    <w:rsid w:val="005A30A8"/>
    <w:rsid w:val="005A322A"/>
    <w:rsid w:val="005A37D1"/>
    <w:rsid w:val="005A37F3"/>
    <w:rsid w:val="005A47E2"/>
    <w:rsid w:val="005A4EE8"/>
    <w:rsid w:val="005A5A54"/>
    <w:rsid w:val="005A5AF3"/>
    <w:rsid w:val="005A64CF"/>
    <w:rsid w:val="005A66AA"/>
    <w:rsid w:val="005A6901"/>
    <w:rsid w:val="005A6DBE"/>
    <w:rsid w:val="005A7062"/>
    <w:rsid w:val="005A77D2"/>
    <w:rsid w:val="005A79BB"/>
    <w:rsid w:val="005B097D"/>
    <w:rsid w:val="005B09D2"/>
    <w:rsid w:val="005B0A85"/>
    <w:rsid w:val="005B0BEA"/>
    <w:rsid w:val="005B0C2B"/>
    <w:rsid w:val="005B11B1"/>
    <w:rsid w:val="005B1320"/>
    <w:rsid w:val="005B14C4"/>
    <w:rsid w:val="005B290D"/>
    <w:rsid w:val="005B2AE1"/>
    <w:rsid w:val="005B2FB7"/>
    <w:rsid w:val="005B3A99"/>
    <w:rsid w:val="005B3DD3"/>
    <w:rsid w:val="005B3E3D"/>
    <w:rsid w:val="005B5583"/>
    <w:rsid w:val="005B5CD0"/>
    <w:rsid w:val="005B5D3E"/>
    <w:rsid w:val="005B6541"/>
    <w:rsid w:val="005B677E"/>
    <w:rsid w:val="005B6A27"/>
    <w:rsid w:val="005B7267"/>
    <w:rsid w:val="005B7627"/>
    <w:rsid w:val="005B79EB"/>
    <w:rsid w:val="005C01B2"/>
    <w:rsid w:val="005C07A9"/>
    <w:rsid w:val="005C1452"/>
    <w:rsid w:val="005C1628"/>
    <w:rsid w:val="005C261B"/>
    <w:rsid w:val="005C2A94"/>
    <w:rsid w:val="005C30E7"/>
    <w:rsid w:val="005C33C4"/>
    <w:rsid w:val="005C381D"/>
    <w:rsid w:val="005C5A08"/>
    <w:rsid w:val="005C5A87"/>
    <w:rsid w:val="005C7569"/>
    <w:rsid w:val="005C7815"/>
    <w:rsid w:val="005C78FF"/>
    <w:rsid w:val="005C7ED3"/>
    <w:rsid w:val="005D00CA"/>
    <w:rsid w:val="005D1D5C"/>
    <w:rsid w:val="005D1F6B"/>
    <w:rsid w:val="005D40FE"/>
    <w:rsid w:val="005D4EEE"/>
    <w:rsid w:val="005D5901"/>
    <w:rsid w:val="005D5A57"/>
    <w:rsid w:val="005D622C"/>
    <w:rsid w:val="005D6A2B"/>
    <w:rsid w:val="005D6ABB"/>
    <w:rsid w:val="005D6EF4"/>
    <w:rsid w:val="005D7316"/>
    <w:rsid w:val="005E1D8B"/>
    <w:rsid w:val="005E2F2E"/>
    <w:rsid w:val="005E356B"/>
    <w:rsid w:val="005E3682"/>
    <w:rsid w:val="005E3F82"/>
    <w:rsid w:val="005E4AB2"/>
    <w:rsid w:val="005E51AF"/>
    <w:rsid w:val="005E5592"/>
    <w:rsid w:val="005E57FF"/>
    <w:rsid w:val="005E592A"/>
    <w:rsid w:val="005E6ACC"/>
    <w:rsid w:val="005E6B18"/>
    <w:rsid w:val="005E6EA4"/>
    <w:rsid w:val="005E6F51"/>
    <w:rsid w:val="005E72D0"/>
    <w:rsid w:val="005E7382"/>
    <w:rsid w:val="005F0BBB"/>
    <w:rsid w:val="005F11DA"/>
    <w:rsid w:val="005F1C05"/>
    <w:rsid w:val="005F1CC6"/>
    <w:rsid w:val="005F2CF4"/>
    <w:rsid w:val="005F306B"/>
    <w:rsid w:val="005F3EA0"/>
    <w:rsid w:val="005F4E08"/>
    <w:rsid w:val="005F4E99"/>
    <w:rsid w:val="005F549F"/>
    <w:rsid w:val="005F5A44"/>
    <w:rsid w:val="005F5C87"/>
    <w:rsid w:val="005F651C"/>
    <w:rsid w:val="005F71DC"/>
    <w:rsid w:val="005F7444"/>
    <w:rsid w:val="005F78AB"/>
    <w:rsid w:val="006006DF"/>
    <w:rsid w:val="00601014"/>
    <w:rsid w:val="0060224A"/>
    <w:rsid w:val="00602581"/>
    <w:rsid w:val="00602931"/>
    <w:rsid w:val="00602DDF"/>
    <w:rsid w:val="00603294"/>
    <w:rsid w:val="0060329C"/>
    <w:rsid w:val="00603439"/>
    <w:rsid w:val="0060356C"/>
    <w:rsid w:val="006037DF"/>
    <w:rsid w:val="00603E92"/>
    <w:rsid w:val="00604222"/>
    <w:rsid w:val="006059EB"/>
    <w:rsid w:val="00606539"/>
    <w:rsid w:val="00606684"/>
    <w:rsid w:val="0060691F"/>
    <w:rsid w:val="006073EB"/>
    <w:rsid w:val="006106A6"/>
    <w:rsid w:val="006106ED"/>
    <w:rsid w:val="00610A31"/>
    <w:rsid w:val="00611261"/>
    <w:rsid w:val="006112D0"/>
    <w:rsid w:val="006114A8"/>
    <w:rsid w:val="0061288F"/>
    <w:rsid w:val="00612924"/>
    <w:rsid w:val="00614907"/>
    <w:rsid w:val="00614968"/>
    <w:rsid w:val="00614CF9"/>
    <w:rsid w:val="0061510B"/>
    <w:rsid w:val="0061518D"/>
    <w:rsid w:val="00615327"/>
    <w:rsid w:val="006166EB"/>
    <w:rsid w:val="00616E31"/>
    <w:rsid w:val="006201C5"/>
    <w:rsid w:val="006203A6"/>
    <w:rsid w:val="00620FB0"/>
    <w:rsid w:val="006212D8"/>
    <w:rsid w:val="00621AB3"/>
    <w:rsid w:val="00621B9D"/>
    <w:rsid w:val="00621C5F"/>
    <w:rsid w:val="00622362"/>
    <w:rsid w:val="00622B51"/>
    <w:rsid w:val="00622B87"/>
    <w:rsid w:val="00623380"/>
    <w:rsid w:val="00624721"/>
    <w:rsid w:val="00624741"/>
    <w:rsid w:val="00624A1E"/>
    <w:rsid w:val="00624D8D"/>
    <w:rsid w:val="006258B7"/>
    <w:rsid w:val="006266C2"/>
    <w:rsid w:val="00626B33"/>
    <w:rsid w:val="006273FC"/>
    <w:rsid w:val="0062741F"/>
    <w:rsid w:val="00627A12"/>
    <w:rsid w:val="00627CC1"/>
    <w:rsid w:val="00630A17"/>
    <w:rsid w:val="00630CAB"/>
    <w:rsid w:val="00631A19"/>
    <w:rsid w:val="006321DF"/>
    <w:rsid w:val="00632267"/>
    <w:rsid w:val="006326A6"/>
    <w:rsid w:val="00632E48"/>
    <w:rsid w:val="00632EEB"/>
    <w:rsid w:val="00632FC9"/>
    <w:rsid w:val="00633074"/>
    <w:rsid w:val="00633118"/>
    <w:rsid w:val="006339E8"/>
    <w:rsid w:val="00633E25"/>
    <w:rsid w:val="006345BE"/>
    <w:rsid w:val="00634647"/>
    <w:rsid w:val="00634CE4"/>
    <w:rsid w:val="00634E66"/>
    <w:rsid w:val="0063598E"/>
    <w:rsid w:val="00636B71"/>
    <w:rsid w:val="0063750A"/>
    <w:rsid w:val="0063762C"/>
    <w:rsid w:val="00637FA6"/>
    <w:rsid w:val="00637FCD"/>
    <w:rsid w:val="00640EE6"/>
    <w:rsid w:val="00641018"/>
    <w:rsid w:val="00641C00"/>
    <w:rsid w:val="00641FE8"/>
    <w:rsid w:val="00642A78"/>
    <w:rsid w:val="00642E46"/>
    <w:rsid w:val="00642F81"/>
    <w:rsid w:val="0064335D"/>
    <w:rsid w:val="00643659"/>
    <w:rsid w:val="00645801"/>
    <w:rsid w:val="00646254"/>
    <w:rsid w:val="006465B8"/>
    <w:rsid w:val="00646C53"/>
    <w:rsid w:val="00646CBD"/>
    <w:rsid w:val="006478E0"/>
    <w:rsid w:val="00650AD0"/>
    <w:rsid w:val="00652326"/>
    <w:rsid w:val="006533EE"/>
    <w:rsid w:val="00653CA3"/>
    <w:rsid w:val="0065465B"/>
    <w:rsid w:val="0065510C"/>
    <w:rsid w:val="006551CA"/>
    <w:rsid w:val="0065583F"/>
    <w:rsid w:val="00655BFD"/>
    <w:rsid w:val="00655ED8"/>
    <w:rsid w:val="006564AA"/>
    <w:rsid w:val="00662C52"/>
    <w:rsid w:val="006632BD"/>
    <w:rsid w:val="00663A9A"/>
    <w:rsid w:val="00663AA4"/>
    <w:rsid w:val="00664523"/>
    <w:rsid w:val="0066495E"/>
    <w:rsid w:val="00664AE8"/>
    <w:rsid w:val="00665210"/>
    <w:rsid w:val="00665617"/>
    <w:rsid w:val="00665D9A"/>
    <w:rsid w:val="00666485"/>
    <w:rsid w:val="00666C58"/>
    <w:rsid w:val="00666D1B"/>
    <w:rsid w:val="00666EBC"/>
    <w:rsid w:val="0066737E"/>
    <w:rsid w:val="00667757"/>
    <w:rsid w:val="006704A6"/>
    <w:rsid w:val="006708D1"/>
    <w:rsid w:val="00670AF9"/>
    <w:rsid w:val="00670F64"/>
    <w:rsid w:val="006716FE"/>
    <w:rsid w:val="006718CB"/>
    <w:rsid w:val="00671F3A"/>
    <w:rsid w:val="006720B7"/>
    <w:rsid w:val="0067328F"/>
    <w:rsid w:val="006732A8"/>
    <w:rsid w:val="00673788"/>
    <w:rsid w:val="00674DAF"/>
    <w:rsid w:val="0067546B"/>
    <w:rsid w:val="00675684"/>
    <w:rsid w:val="00675A2A"/>
    <w:rsid w:val="00675CAE"/>
    <w:rsid w:val="0067612D"/>
    <w:rsid w:val="00676166"/>
    <w:rsid w:val="00676A53"/>
    <w:rsid w:val="00676D17"/>
    <w:rsid w:val="00677217"/>
    <w:rsid w:val="00677D12"/>
    <w:rsid w:val="00677DB2"/>
    <w:rsid w:val="00680158"/>
    <w:rsid w:val="00680680"/>
    <w:rsid w:val="006807AB"/>
    <w:rsid w:val="00681203"/>
    <w:rsid w:val="00681544"/>
    <w:rsid w:val="00681938"/>
    <w:rsid w:val="00681B69"/>
    <w:rsid w:val="00681DE1"/>
    <w:rsid w:val="0068252F"/>
    <w:rsid w:val="006825EF"/>
    <w:rsid w:val="00682894"/>
    <w:rsid w:val="0068340F"/>
    <w:rsid w:val="0068358B"/>
    <w:rsid w:val="006836CE"/>
    <w:rsid w:val="00684222"/>
    <w:rsid w:val="00684562"/>
    <w:rsid w:val="006857F0"/>
    <w:rsid w:val="00687BEE"/>
    <w:rsid w:val="00687D2F"/>
    <w:rsid w:val="006901E3"/>
    <w:rsid w:val="00690305"/>
    <w:rsid w:val="0069038D"/>
    <w:rsid w:val="00691913"/>
    <w:rsid w:val="00691A48"/>
    <w:rsid w:val="006920C2"/>
    <w:rsid w:val="0069235E"/>
    <w:rsid w:val="00692367"/>
    <w:rsid w:val="00692F31"/>
    <w:rsid w:val="00693722"/>
    <w:rsid w:val="0069376E"/>
    <w:rsid w:val="006937D4"/>
    <w:rsid w:val="006949E9"/>
    <w:rsid w:val="00695206"/>
    <w:rsid w:val="00695909"/>
    <w:rsid w:val="00695BD6"/>
    <w:rsid w:val="00695DEA"/>
    <w:rsid w:val="00696B17"/>
    <w:rsid w:val="006976ED"/>
    <w:rsid w:val="006A1675"/>
    <w:rsid w:val="006A2979"/>
    <w:rsid w:val="006A3AA3"/>
    <w:rsid w:val="006A45C0"/>
    <w:rsid w:val="006A4A0F"/>
    <w:rsid w:val="006A5953"/>
    <w:rsid w:val="006A5F14"/>
    <w:rsid w:val="006A6E4C"/>
    <w:rsid w:val="006A742F"/>
    <w:rsid w:val="006B04BD"/>
    <w:rsid w:val="006B0868"/>
    <w:rsid w:val="006B0DD7"/>
    <w:rsid w:val="006B1012"/>
    <w:rsid w:val="006B10AF"/>
    <w:rsid w:val="006B1297"/>
    <w:rsid w:val="006B1C68"/>
    <w:rsid w:val="006B1E1F"/>
    <w:rsid w:val="006B29D1"/>
    <w:rsid w:val="006B33E7"/>
    <w:rsid w:val="006B3C81"/>
    <w:rsid w:val="006B4B6F"/>
    <w:rsid w:val="006B515A"/>
    <w:rsid w:val="006B5AE6"/>
    <w:rsid w:val="006B640A"/>
    <w:rsid w:val="006B7F34"/>
    <w:rsid w:val="006C035B"/>
    <w:rsid w:val="006C06A3"/>
    <w:rsid w:val="006C06F7"/>
    <w:rsid w:val="006C0C42"/>
    <w:rsid w:val="006C0CCD"/>
    <w:rsid w:val="006C1FEF"/>
    <w:rsid w:val="006C24CE"/>
    <w:rsid w:val="006C48CA"/>
    <w:rsid w:val="006C5714"/>
    <w:rsid w:val="006C6E17"/>
    <w:rsid w:val="006C710E"/>
    <w:rsid w:val="006C7607"/>
    <w:rsid w:val="006D0C37"/>
    <w:rsid w:val="006D1C02"/>
    <w:rsid w:val="006D248F"/>
    <w:rsid w:val="006D2522"/>
    <w:rsid w:val="006D257A"/>
    <w:rsid w:val="006D28D3"/>
    <w:rsid w:val="006D2A10"/>
    <w:rsid w:val="006D469D"/>
    <w:rsid w:val="006D5476"/>
    <w:rsid w:val="006D549A"/>
    <w:rsid w:val="006D5ABA"/>
    <w:rsid w:val="006D6851"/>
    <w:rsid w:val="006D6C1F"/>
    <w:rsid w:val="006D6CD8"/>
    <w:rsid w:val="006D72AE"/>
    <w:rsid w:val="006D7750"/>
    <w:rsid w:val="006D790D"/>
    <w:rsid w:val="006D7CCF"/>
    <w:rsid w:val="006E00F7"/>
    <w:rsid w:val="006E03E5"/>
    <w:rsid w:val="006E0486"/>
    <w:rsid w:val="006E0B32"/>
    <w:rsid w:val="006E14D2"/>
    <w:rsid w:val="006E17FB"/>
    <w:rsid w:val="006E1853"/>
    <w:rsid w:val="006E189A"/>
    <w:rsid w:val="006E20CF"/>
    <w:rsid w:val="006E25B8"/>
    <w:rsid w:val="006E31A6"/>
    <w:rsid w:val="006E31DC"/>
    <w:rsid w:val="006E36EF"/>
    <w:rsid w:val="006E3782"/>
    <w:rsid w:val="006E388D"/>
    <w:rsid w:val="006E3D5A"/>
    <w:rsid w:val="006E4ACE"/>
    <w:rsid w:val="006E54BA"/>
    <w:rsid w:val="006E5E01"/>
    <w:rsid w:val="006E5F2F"/>
    <w:rsid w:val="006E74C1"/>
    <w:rsid w:val="006E752B"/>
    <w:rsid w:val="006E7795"/>
    <w:rsid w:val="006E78C1"/>
    <w:rsid w:val="006F0104"/>
    <w:rsid w:val="006F0619"/>
    <w:rsid w:val="006F07B0"/>
    <w:rsid w:val="006F07D5"/>
    <w:rsid w:val="006F0B11"/>
    <w:rsid w:val="006F0CCE"/>
    <w:rsid w:val="006F0D43"/>
    <w:rsid w:val="006F10E6"/>
    <w:rsid w:val="006F192E"/>
    <w:rsid w:val="006F1B13"/>
    <w:rsid w:val="006F1FE1"/>
    <w:rsid w:val="006F3D7B"/>
    <w:rsid w:val="006F421B"/>
    <w:rsid w:val="006F4C74"/>
    <w:rsid w:val="006F5339"/>
    <w:rsid w:val="006F618E"/>
    <w:rsid w:val="006F6B63"/>
    <w:rsid w:val="006F7473"/>
    <w:rsid w:val="006F776C"/>
    <w:rsid w:val="006F7F62"/>
    <w:rsid w:val="00700E0A"/>
    <w:rsid w:val="00701987"/>
    <w:rsid w:val="00701BBB"/>
    <w:rsid w:val="007021B7"/>
    <w:rsid w:val="007021E5"/>
    <w:rsid w:val="0070273E"/>
    <w:rsid w:val="00704A4B"/>
    <w:rsid w:val="007050F8"/>
    <w:rsid w:val="00705B77"/>
    <w:rsid w:val="00705DEB"/>
    <w:rsid w:val="007060CC"/>
    <w:rsid w:val="00706170"/>
    <w:rsid w:val="00706F27"/>
    <w:rsid w:val="0070752E"/>
    <w:rsid w:val="0071001D"/>
    <w:rsid w:val="00710690"/>
    <w:rsid w:val="00710BE4"/>
    <w:rsid w:val="00710E12"/>
    <w:rsid w:val="007110E3"/>
    <w:rsid w:val="00711E1D"/>
    <w:rsid w:val="0071207B"/>
    <w:rsid w:val="00713970"/>
    <w:rsid w:val="00713A19"/>
    <w:rsid w:val="00714203"/>
    <w:rsid w:val="007142EC"/>
    <w:rsid w:val="007156B7"/>
    <w:rsid w:val="00715B30"/>
    <w:rsid w:val="007164CF"/>
    <w:rsid w:val="00716DCD"/>
    <w:rsid w:val="007176AA"/>
    <w:rsid w:val="007177A5"/>
    <w:rsid w:val="007202B8"/>
    <w:rsid w:val="00720B65"/>
    <w:rsid w:val="00720C31"/>
    <w:rsid w:val="00720FDF"/>
    <w:rsid w:val="007215F1"/>
    <w:rsid w:val="007226F9"/>
    <w:rsid w:val="007236AE"/>
    <w:rsid w:val="00723C66"/>
    <w:rsid w:val="00723E76"/>
    <w:rsid w:val="00723FCF"/>
    <w:rsid w:val="00724407"/>
    <w:rsid w:val="0072454C"/>
    <w:rsid w:val="007246A9"/>
    <w:rsid w:val="007249CE"/>
    <w:rsid w:val="00724CDD"/>
    <w:rsid w:val="007250D1"/>
    <w:rsid w:val="007255C4"/>
    <w:rsid w:val="00725EAA"/>
    <w:rsid w:val="007267D3"/>
    <w:rsid w:val="007268CB"/>
    <w:rsid w:val="00726F88"/>
    <w:rsid w:val="00727210"/>
    <w:rsid w:val="00727C27"/>
    <w:rsid w:val="0073007D"/>
    <w:rsid w:val="00730409"/>
    <w:rsid w:val="0073084D"/>
    <w:rsid w:val="00730AAC"/>
    <w:rsid w:val="00732E9E"/>
    <w:rsid w:val="00733525"/>
    <w:rsid w:val="00733DC7"/>
    <w:rsid w:val="00734429"/>
    <w:rsid w:val="00734532"/>
    <w:rsid w:val="00734892"/>
    <w:rsid w:val="00734925"/>
    <w:rsid w:val="00734989"/>
    <w:rsid w:val="00734C87"/>
    <w:rsid w:val="00735347"/>
    <w:rsid w:val="00735866"/>
    <w:rsid w:val="00735C38"/>
    <w:rsid w:val="0073638C"/>
    <w:rsid w:val="00736A96"/>
    <w:rsid w:val="00736C19"/>
    <w:rsid w:val="00736D3E"/>
    <w:rsid w:val="00736D6E"/>
    <w:rsid w:val="00737D4F"/>
    <w:rsid w:val="00740078"/>
    <w:rsid w:val="007415CB"/>
    <w:rsid w:val="00741CB1"/>
    <w:rsid w:val="007423A9"/>
    <w:rsid w:val="007427A0"/>
    <w:rsid w:val="007444C3"/>
    <w:rsid w:val="007447C0"/>
    <w:rsid w:val="007449E4"/>
    <w:rsid w:val="00744C04"/>
    <w:rsid w:val="00744C9A"/>
    <w:rsid w:val="007453C0"/>
    <w:rsid w:val="00745C4D"/>
    <w:rsid w:val="00745E58"/>
    <w:rsid w:val="00746049"/>
    <w:rsid w:val="00746AC3"/>
    <w:rsid w:val="007476ED"/>
    <w:rsid w:val="00747CBA"/>
    <w:rsid w:val="0075069C"/>
    <w:rsid w:val="007517E9"/>
    <w:rsid w:val="007519D1"/>
    <w:rsid w:val="00751E80"/>
    <w:rsid w:val="00752642"/>
    <w:rsid w:val="00752868"/>
    <w:rsid w:val="00752CFA"/>
    <w:rsid w:val="00753B60"/>
    <w:rsid w:val="00753DB7"/>
    <w:rsid w:val="00753E4C"/>
    <w:rsid w:val="0075443F"/>
    <w:rsid w:val="00754D48"/>
    <w:rsid w:val="007555B6"/>
    <w:rsid w:val="00755DBD"/>
    <w:rsid w:val="007562B1"/>
    <w:rsid w:val="00756859"/>
    <w:rsid w:val="00756E6E"/>
    <w:rsid w:val="0075771D"/>
    <w:rsid w:val="0076233D"/>
    <w:rsid w:val="00762A76"/>
    <w:rsid w:val="00762A95"/>
    <w:rsid w:val="00762D08"/>
    <w:rsid w:val="007638F5"/>
    <w:rsid w:val="007638F9"/>
    <w:rsid w:val="00763D9E"/>
    <w:rsid w:val="00763EC6"/>
    <w:rsid w:val="007646CA"/>
    <w:rsid w:val="00764845"/>
    <w:rsid w:val="007648FD"/>
    <w:rsid w:val="00765597"/>
    <w:rsid w:val="00765680"/>
    <w:rsid w:val="00765E90"/>
    <w:rsid w:val="00765ECF"/>
    <w:rsid w:val="00770A28"/>
    <w:rsid w:val="00771195"/>
    <w:rsid w:val="00771A5D"/>
    <w:rsid w:val="00771B7C"/>
    <w:rsid w:val="00772ECA"/>
    <w:rsid w:val="00773207"/>
    <w:rsid w:val="00773825"/>
    <w:rsid w:val="00774966"/>
    <w:rsid w:val="00774DA7"/>
    <w:rsid w:val="007751A9"/>
    <w:rsid w:val="007759CF"/>
    <w:rsid w:val="00775C37"/>
    <w:rsid w:val="0077716E"/>
    <w:rsid w:val="00777C06"/>
    <w:rsid w:val="00777D86"/>
    <w:rsid w:val="00777DF1"/>
    <w:rsid w:val="00777F33"/>
    <w:rsid w:val="00780C71"/>
    <w:rsid w:val="00781207"/>
    <w:rsid w:val="007818DB"/>
    <w:rsid w:val="00781F9F"/>
    <w:rsid w:val="007825B0"/>
    <w:rsid w:val="00782B37"/>
    <w:rsid w:val="007830FB"/>
    <w:rsid w:val="00783D72"/>
    <w:rsid w:val="007846AB"/>
    <w:rsid w:val="00784CF1"/>
    <w:rsid w:val="00785741"/>
    <w:rsid w:val="007858B1"/>
    <w:rsid w:val="00785BE5"/>
    <w:rsid w:val="00786F56"/>
    <w:rsid w:val="00786F65"/>
    <w:rsid w:val="007905F6"/>
    <w:rsid w:val="0079120F"/>
    <w:rsid w:val="00791F49"/>
    <w:rsid w:val="00792052"/>
    <w:rsid w:val="00792513"/>
    <w:rsid w:val="0079283D"/>
    <w:rsid w:val="00792C91"/>
    <w:rsid w:val="00792E7D"/>
    <w:rsid w:val="007938DE"/>
    <w:rsid w:val="007939CD"/>
    <w:rsid w:val="00793BFF"/>
    <w:rsid w:val="007940E1"/>
    <w:rsid w:val="00794159"/>
    <w:rsid w:val="0079612B"/>
    <w:rsid w:val="0079669D"/>
    <w:rsid w:val="00796E72"/>
    <w:rsid w:val="00797125"/>
    <w:rsid w:val="00797FE7"/>
    <w:rsid w:val="007A01C4"/>
    <w:rsid w:val="007A02A3"/>
    <w:rsid w:val="007A0E84"/>
    <w:rsid w:val="007A0EE6"/>
    <w:rsid w:val="007A1DAC"/>
    <w:rsid w:val="007A2930"/>
    <w:rsid w:val="007A2CAF"/>
    <w:rsid w:val="007A2D04"/>
    <w:rsid w:val="007A3FAC"/>
    <w:rsid w:val="007A3FD8"/>
    <w:rsid w:val="007A4251"/>
    <w:rsid w:val="007A438F"/>
    <w:rsid w:val="007A4762"/>
    <w:rsid w:val="007A4ADF"/>
    <w:rsid w:val="007A58C6"/>
    <w:rsid w:val="007A7160"/>
    <w:rsid w:val="007A746C"/>
    <w:rsid w:val="007A74A6"/>
    <w:rsid w:val="007A7C31"/>
    <w:rsid w:val="007B01ED"/>
    <w:rsid w:val="007B0E18"/>
    <w:rsid w:val="007B24E0"/>
    <w:rsid w:val="007B2A6B"/>
    <w:rsid w:val="007B2B02"/>
    <w:rsid w:val="007B2CA6"/>
    <w:rsid w:val="007B2D6A"/>
    <w:rsid w:val="007B3472"/>
    <w:rsid w:val="007B37BB"/>
    <w:rsid w:val="007B4AFA"/>
    <w:rsid w:val="007B4BBE"/>
    <w:rsid w:val="007B5881"/>
    <w:rsid w:val="007B62D1"/>
    <w:rsid w:val="007B6791"/>
    <w:rsid w:val="007B6BD9"/>
    <w:rsid w:val="007C018F"/>
    <w:rsid w:val="007C028F"/>
    <w:rsid w:val="007C084C"/>
    <w:rsid w:val="007C0C10"/>
    <w:rsid w:val="007C1068"/>
    <w:rsid w:val="007C1207"/>
    <w:rsid w:val="007C17F8"/>
    <w:rsid w:val="007C22B4"/>
    <w:rsid w:val="007C2E8E"/>
    <w:rsid w:val="007C3507"/>
    <w:rsid w:val="007C39C1"/>
    <w:rsid w:val="007C3B2D"/>
    <w:rsid w:val="007C43DE"/>
    <w:rsid w:val="007C47B3"/>
    <w:rsid w:val="007C4D66"/>
    <w:rsid w:val="007C5914"/>
    <w:rsid w:val="007C799A"/>
    <w:rsid w:val="007C7B9E"/>
    <w:rsid w:val="007C7BF3"/>
    <w:rsid w:val="007D0059"/>
    <w:rsid w:val="007D023E"/>
    <w:rsid w:val="007D0426"/>
    <w:rsid w:val="007D1410"/>
    <w:rsid w:val="007D16F1"/>
    <w:rsid w:val="007D1A11"/>
    <w:rsid w:val="007D2D6D"/>
    <w:rsid w:val="007D335F"/>
    <w:rsid w:val="007D3F3F"/>
    <w:rsid w:val="007D41D6"/>
    <w:rsid w:val="007D4460"/>
    <w:rsid w:val="007D44FA"/>
    <w:rsid w:val="007D4AB0"/>
    <w:rsid w:val="007D5325"/>
    <w:rsid w:val="007D6A43"/>
    <w:rsid w:val="007E0AD1"/>
    <w:rsid w:val="007E1728"/>
    <w:rsid w:val="007E1AEB"/>
    <w:rsid w:val="007E1F5C"/>
    <w:rsid w:val="007E26E9"/>
    <w:rsid w:val="007E3086"/>
    <w:rsid w:val="007E3D1B"/>
    <w:rsid w:val="007E4A08"/>
    <w:rsid w:val="007E4B67"/>
    <w:rsid w:val="007E5F34"/>
    <w:rsid w:val="007E6120"/>
    <w:rsid w:val="007E61E9"/>
    <w:rsid w:val="007E6AE4"/>
    <w:rsid w:val="007E6D4C"/>
    <w:rsid w:val="007E7394"/>
    <w:rsid w:val="007E7D89"/>
    <w:rsid w:val="007F050C"/>
    <w:rsid w:val="007F062C"/>
    <w:rsid w:val="007F0A83"/>
    <w:rsid w:val="007F153B"/>
    <w:rsid w:val="007F1816"/>
    <w:rsid w:val="007F1AB4"/>
    <w:rsid w:val="007F2DB6"/>
    <w:rsid w:val="007F344F"/>
    <w:rsid w:val="007F3D39"/>
    <w:rsid w:val="007F491F"/>
    <w:rsid w:val="007F4DBC"/>
    <w:rsid w:val="007F580C"/>
    <w:rsid w:val="007F6E44"/>
    <w:rsid w:val="007F7935"/>
    <w:rsid w:val="007F79AB"/>
    <w:rsid w:val="0080025F"/>
    <w:rsid w:val="0080122D"/>
    <w:rsid w:val="00801C4C"/>
    <w:rsid w:val="00801C87"/>
    <w:rsid w:val="00801E1D"/>
    <w:rsid w:val="00801E69"/>
    <w:rsid w:val="00801E80"/>
    <w:rsid w:val="008021A1"/>
    <w:rsid w:val="00802492"/>
    <w:rsid w:val="00802790"/>
    <w:rsid w:val="00803E89"/>
    <w:rsid w:val="00803F80"/>
    <w:rsid w:val="0080455D"/>
    <w:rsid w:val="008045B5"/>
    <w:rsid w:val="00804D07"/>
    <w:rsid w:val="008051FB"/>
    <w:rsid w:val="00805216"/>
    <w:rsid w:val="00805536"/>
    <w:rsid w:val="0080565B"/>
    <w:rsid w:val="00805911"/>
    <w:rsid w:val="008067F4"/>
    <w:rsid w:val="00806FA8"/>
    <w:rsid w:val="008104B8"/>
    <w:rsid w:val="008105F5"/>
    <w:rsid w:val="00810C60"/>
    <w:rsid w:val="00812310"/>
    <w:rsid w:val="00812863"/>
    <w:rsid w:val="00813784"/>
    <w:rsid w:val="00814286"/>
    <w:rsid w:val="008142A5"/>
    <w:rsid w:val="008149A8"/>
    <w:rsid w:val="00814A9D"/>
    <w:rsid w:val="008166C5"/>
    <w:rsid w:val="00816703"/>
    <w:rsid w:val="00820019"/>
    <w:rsid w:val="008207D2"/>
    <w:rsid w:val="0082155F"/>
    <w:rsid w:val="00821754"/>
    <w:rsid w:val="00821A0B"/>
    <w:rsid w:val="00822142"/>
    <w:rsid w:val="008221F7"/>
    <w:rsid w:val="00822480"/>
    <w:rsid w:val="00822D4D"/>
    <w:rsid w:val="00823384"/>
    <w:rsid w:val="008235C2"/>
    <w:rsid w:val="00823791"/>
    <w:rsid w:val="00823C50"/>
    <w:rsid w:val="0082461B"/>
    <w:rsid w:val="008249F8"/>
    <w:rsid w:val="00825B07"/>
    <w:rsid w:val="00826C0C"/>
    <w:rsid w:val="00827C36"/>
    <w:rsid w:val="0083031F"/>
    <w:rsid w:val="00830835"/>
    <w:rsid w:val="008318ED"/>
    <w:rsid w:val="00831D29"/>
    <w:rsid w:val="00831F4C"/>
    <w:rsid w:val="0083458A"/>
    <w:rsid w:val="00834885"/>
    <w:rsid w:val="00834B6E"/>
    <w:rsid w:val="008350B4"/>
    <w:rsid w:val="008353DA"/>
    <w:rsid w:val="00835A8D"/>
    <w:rsid w:val="00835C78"/>
    <w:rsid w:val="00836A0C"/>
    <w:rsid w:val="00836D2E"/>
    <w:rsid w:val="00836D83"/>
    <w:rsid w:val="0083713D"/>
    <w:rsid w:val="0083718E"/>
    <w:rsid w:val="008400CF"/>
    <w:rsid w:val="0084166D"/>
    <w:rsid w:val="00841731"/>
    <w:rsid w:val="0084183E"/>
    <w:rsid w:val="008435B7"/>
    <w:rsid w:val="00844115"/>
    <w:rsid w:val="00844647"/>
    <w:rsid w:val="00845718"/>
    <w:rsid w:val="00845961"/>
    <w:rsid w:val="00846567"/>
    <w:rsid w:val="0084701E"/>
    <w:rsid w:val="008502C8"/>
    <w:rsid w:val="00850B1C"/>
    <w:rsid w:val="00850E12"/>
    <w:rsid w:val="008522E1"/>
    <w:rsid w:val="008524B7"/>
    <w:rsid w:val="008526F2"/>
    <w:rsid w:val="00853019"/>
    <w:rsid w:val="0085301B"/>
    <w:rsid w:val="0085357D"/>
    <w:rsid w:val="00853593"/>
    <w:rsid w:val="00855150"/>
    <w:rsid w:val="0085518F"/>
    <w:rsid w:val="0085521B"/>
    <w:rsid w:val="00855796"/>
    <w:rsid w:val="00856086"/>
    <w:rsid w:val="008560ED"/>
    <w:rsid w:val="00856C73"/>
    <w:rsid w:val="008575C3"/>
    <w:rsid w:val="008579C2"/>
    <w:rsid w:val="00857AD9"/>
    <w:rsid w:val="00857CB9"/>
    <w:rsid w:val="0086027A"/>
    <w:rsid w:val="00861366"/>
    <w:rsid w:val="008629FA"/>
    <w:rsid w:val="00862EE8"/>
    <w:rsid w:val="008637B2"/>
    <w:rsid w:val="00863EFA"/>
    <w:rsid w:val="00864065"/>
    <w:rsid w:val="00864824"/>
    <w:rsid w:val="00865D2F"/>
    <w:rsid w:val="00866813"/>
    <w:rsid w:val="00867765"/>
    <w:rsid w:val="00867A66"/>
    <w:rsid w:val="00870646"/>
    <w:rsid w:val="008708F7"/>
    <w:rsid w:val="00871A7A"/>
    <w:rsid w:val="00871ABA"/>
    <w:rsid w:val="00871EBD"/>
    <w:rsid w:val="00872388"/>
    <w:rsid w:val="00872740"/>
    <w:rsid w:val="0087279D"/>
    <w:rsid w:val="008727B7"/>
    <w:rsid w:val="008727CE"/>
    <w:rsid w:val="008729AF"/>
    <w:rsid w:val="00872CA9"/>
    <w:rsid w:val="00874714"/>
    <w:rsid w:val="008747BF"/>
    <w:rsid w:val="0087609F"/>
    <w:rsid w:val="008769E0"/>
    <w:rsid w:val="00876FEC"/>
    <w:rsid w:val="0087701E"/>
    <w:rsid w:val="008805FD"/>
    <w:rsid w:val="00882126"/>
    <w:rsid w:val="00882A9A"/>
    <w:rsid w:val="00882F16"/>
    <w:rsid w:val="0088371F"/>
    <w:rsid w:val="008847B0"/>
    <w:rsid w:val="00885649"/>
    <w:rsid w:val="00886A23"/>
    <w:rsid w:val="00887957"/>
    <w:rsid w:val="00887A05"/>
    <w:rsid w:val="00887DE1"/>
    <w:rsid w:val="00890D26"/>
    <w:rsid w:val="00891063"/>
    <w:rsid w:val="0089167A"/>
    <w:rsid w:val="00891BF5"/>
    <w:rsid w:val="00891DFD"/>
    <w:rsid w:val="008922C9"/>
    <w:rsid w:val="00892DF6"/>
    <w:rsid w:val="008930ED"/>
    <w:rsid w:val="00893A5F"/>
    <w:rsid w:val="00894099"/>
    <w:rsid w:val="00894244"/>
    <w:rsid w:val="0089563B"/>
    <w:rsid w:val="00895971"/>
    <w:rsid w:val="008959A7"/>
    <w:rsid w:val="008960F1"/>
    <w:rsid w:val="00896DF9"/>
    <w:rsid w:val="00896E10"/>
    <w:rsid w:val="00896FAF"/>
    <w:rsid w:val="008971D9"/>
    <w:rsid w:val="00897DE3"/>
    <w:rsid w:val="008A1299"/>
    <w:rsid w:val="008A1658"/>
    <w:rsid w:val="008A1C53"/>
    <w:rsid w:val="008A25BD"/>
    <w:rsid w:val="008A262B"/>
    <w:rsid w:val="008A2A7F"/>
    <w:rsid w:val="008A30B1"/>
    <w:rsid w:val="008A31B8"/>
    <w:rsid w:val="008A3636"/>
    <w:rsid w:val="008A4130"/>
    <w:rsid w:val="008A6050"/>
    <w:rsid w:val="008A632B"/>
    <w:rsid w:val="008A6FAA"/>
    <w:rsid w:val="008A70AB"/>
    <w:rsid w:val="008A7549"/>
    <w:rsid w:val="008A770B"/>
    <w:rsid w:val="008A78B6"/>
    <w:rsid w:val="008A7A4F"/>
    <w:rsid w:val="008A7B5F"/>
    <w:rsid w:val="008B0C41"/>
    <w:rsid w:val="008B1269"/>
    <w:rsid w:val="008B1643"/>
    <w:rsid w:val="008B16DD"/>
    <w:rsid w:val="008B1D2A"/>
    <w:rsid w:val="008B2E1F"/>
    <w:rsid w:val="008B4F96"/>
    <w:rsid w:val="008B5BBC"/>
    <w:rsid w:val="008B6917"/>
    <w:rsid w:val="008B6C06"/>
    <w:rsid w:val="008B6E84"/>
    <w:rsid w:val="008B73BE"/>
    <w:rsid w:val="008B7B7A"/>
    <w:rsid w:val="008B7BEC"/>
    <w:rsid w:val="008C0C39"/>
    <w:rsid w:val="008C1E6E"/>
    <w:rsid w:val="008C2054"/>
    <w:rsid w:val="008C219C"/>
    <w:rsid w:val="008C21CA"/>
    <w:rsid w:val="008C27B2"/>
    <w:rsid w:val="008C37EC"/>
    <w:rsid w:val="008C3D1F"/>
    <w:rsid w:val="008C41A4"/>
    <w:rsid w:val="008C4435"/>
    <w:rsid w:val="008C46B8"/>
    <w:rsid w:val="008C4E9A"/>
    <w:rsid w:val="008C52E7"/>
    <w:rsid w:val="008C6D08"/>
    <w:rsid w:val="008C73C0"/>
    <w:rsid w:val="008C7561"/>
    <w:rsid w:val="008C7A61"/>
    <w:rsid w:val="008C7E8F"/>
    <w:rsid w:val="008D0CE2"/>
    <w:rsid w:val="008D0FDB"/>
    <w:rsid w:val="008D14BA"/>
    <w:rsid w:val="008D1832"/>
    <w:rsid w:val="008D24F1"/>
    <w:rsid w:val="008D3539"/>
    <w:rsid w:val="008D369E"/>
    <w:rsid w:val="008D3A11"/>
    <w:rsid w:val="008D4B44"/>
    <w:rsid w:val="008D4EB1"/>
    <w:rsid w:val="008D501E"/>
    <w:rsid w:val="008D5991"/>
    <w:rsid w:val="008D5EB6"/>
    <w:rsid w:val="008D693B"/>
    <w:rsid w:val="008D6E31"/>
    <w:rsid w:val="008D7327"/>
    <w:rsid w:val="008D7B42"/>
    <w:rsid w:val="008E103C"/>
    <w:rsid w:val="008E1C0F"/>
    <w:rsid w:val="008E26B2"/>
    <w:rsid w:val="008E3596"/>
    <w:rsid w:val="008E3770"/>
    <w:rsid w:val="008E38A9"/>
    <w:rsid w:val="008E3D3C"/>
    <w:rsid w:val="008E46F6"/>
    <w:rsid w:val="008E5512"/>
    <w:rsid w:val="008E603F"/>
    <w:rsid w:val="008E63BC"/>
    <w:rsid w:val="008E65B8"/>
    <w:rsid w:val="008E6846"/>
    <w:rsid w:val="008E6AF0"/>
    <w:rsid w:val="008E6D1A"/>
    <w:rsid w:val="008E6F46"/>
    <w:rsid w:val="008E7101"/>
    <w:rsid w:val="008E7751"/>
    <w:rsid w:val="008F0C0F"/>
    <w:rsid w:val="008F0E5C"/>
    <w:rsid w:val="008F1DD9"/>
    <w:rsid w:val="008F1E39"/>
    <w:rsid w:val="008F30F3"/>
    <w:rsid w:val="008F3537"/>
    <w:rsid w:val="008F4525"/>
    <w:rsid w:val="008F49D3"/>
    <w:rsid w:val="008F545B"/>
    <w:rsid w:val="008F73DC"/>
    <w:rsid w:val="008F765D"/>
    <w:rsid w:val="008F76B1"/>
    <w:rsid w:val="008F7A84"/>
    <w:rsid w:val="00900157"/>
    <w:rsid w:val="009007C0"/>
    <w:rsid w:val="0090217C"/>
    <w:rsid w:val="00903B9C"/>
    <w:rsid w:val="00903D0E"/>
    <w:rsid w:val="0090480D"/>
    <w:rsid w:val="009048C7"/>
    <w:rsid w:val="00905D75"/>
    <w:rsid w:val="00906825"/>
    <w:rsid w:val="009069B1"/>
    <w:rsid w:val="00907040"/>
    <w:rsid w:val="0090765C"/>
    <w:rsid w:val="00910581"/>
    <w:rsid w:val="00910DA0"/>
    <w:rsid w:val="00910EA1"/>
    <w:rsid w:val="00911067"/>
    <w:rsid w:val="0091110F"/>
    <w:rsid w:val="00911C8C"/>
    <w:rsid w:val="00912B0A"/>
    <w:rsid w:val="00914875"/>
    <w:rsid w:val="009150C8"/>
    <w:rsid w:val="009157D2"/>
    <w:rsid w:val="00915E07"/>
    <w:rsid w:val="009161A3"/>
    <w:rsid w:val="009163E1"/>
    <w:rsid w:val="009168CD"/>
    <w:rsid w:val="00917023"/>
    <w:rsid w:val="009177CD"/>
    <w:rsid w:val="00917939"/>
    <w:rsid w:val="00920A1F"/>
    <w:rsid w:val="009213B8"/>
    <w:rsid w:val="009221AB"/>
    <w:rsid w:val="00923633"/>
    <w:rsid w:val="00923D27"/>
    <w:rsid w:val="0092460A"/>
    <w:rsid w:val="00924DAB"/>
    <w:rsid w:val="00925765"/>
    <w:rsid w:val="00926226"/>
    <w:rsid w:val="0092782E"/>
    <w:rsid w:val="00927F94"/>
    <w:rsid w:val="009302CB"/>
    <w:rsid w:val="009302CD"/>
    <w:rsid w:val="00931005"/>
    <w:rsid w:val="00931158"/>
    <w:rsid w:val="00931377"/>
    <w:rsid w:val="0093142A"/>
    <w:rsid w:val="0093183B"/>
    <w:rsid w:val="00931C01"/>
    <w:rsid w:val="00932604"/>
    <w:rsid w:val="0093285D"/>
    <w:rsid w:val="009335F0"/>
    <w:rsid w:val="00933E37"/>
    <w:rsid w:val="00936C5B"/>
    <w:rsid w:val="0093745D"/>
    <w:rsid w:val="00940C19"/>
    <w:rsid w:val="00941104"/>
    <w:rsid w:val="00941436"/>
    <w:rsid w:val="009415A1"/>
    <w:rsid w:val="009416C6"/>
    <w:rsid w:val="00941BBE"/>
    <w:rsid w:val="00942767"/>
    <w:rsid w:val="00942896"/>
    <w:rsid w:val="009429A3"/>
    <w:rsid w:val="009429B5"/>
    <w:rsid w:val="00942A5D"/>
    <w:rsid w:val="00942AD1"/>
    <w:rsid w:val="00942EFE"/>
    <w:rsid w:val="0094319B"/>
    <w:rsid w:val="009431A9"/>
    <w:rsid w:val="00943850"/>
    <w:rsid w:val="009443E1"/>
    <w:rsid w:val="00945142"/>
    <w:rsid w:val="00945B32"/>
    <w:rsid w:val="00945D64"/>
    <w:rsid w:val="00946C69"/>
    <w:rsid w:val="0094716B"/>
    <w:rsid w:val="009473E0"/>
    <w:rsid w:val="0094791F"/>
    <w:rsid w:val="00947B87"/>
    <w:rsid w:val="00947D6C"/>
    <w:rsid w:val="00947FBB"/>
    <w:rsid w:val="0095120B"/>
    <w:rsid w:val="0095144D"/>
    <w:rsid w:val="00951AC3"/>
    <w:rsid w:val="00951E0F"/>
    <w:rsid w:val="0095220B"/>
    <w:rsid w:val="00952482"/>
    <w:rsid w:val="009528AD"/>
    <w:rsid w:val="00952D3B"/>
    <w:rsid w:val="0095384A"/>
    <w:rsid w:val="0095396D"/>
    <w:rsid w:val="00953F72"/>
    <w:rsid w:val="00954240"/>
    <w:rsid w:val="00954386"/>
    <w:rsid w:val="00954CA2"/>
    <w:rsid w:val="009566E2"/>
    <w:rsid w:val="00957E60"/>
    <w:rsid w:val="00957F06"/>
    <w:rsid w:val="00960E2D"/>
    <w:rsid w:val="00963283"/>
    <w:rsid w:val="009634F3"/>
    <w:rsid w:val="00963C10"/>
    <w:rsid w:val="00963C75"/>
    <w:rsid w:val="00963FB3"/>
    <w:rsid w:val="00964739"/>
    <w:rsid w:val="00964CCA"/>
    <w:rsid w:val="00964FDA"/>
    <w:rsid w:val="00965928"/>
    <w:rsid w:val="00966483"/>
    <w:rsid w:val="009674F0"/>
    <w:rsid w:val="00967570"/>
    <w:rsid w:val="00970664"/>
    <w:rsid w:val="00970837"/>
    <w:rsid w:val="009708A8"/>
    <w:rsid w:val="00970F14"/>
    <w:rsid w:val="009712C7"/>
    <w:rsid w:val="0097138E"/>
    <w:rsid w:val="0097151A"/>
    <w:rsid w:val="00971AE9"/>
    <w:rsid w:val="0097222A"/>
    <w:rsid w:val="00973FC0"/>
    <w:rsid w:val="00974626"/>
    <w:rsid w:val="009748B9"/>
    <w:rsid w:val="00974C9F"/>
    <w:rsid w:val="009755DB"/>
    <w:rsid w:val="00975BD8"/>
    <w:rsid w:val="0097619B"/>
    <w:rsid w:val="0097747B"/>
    <w:rsid w:val="00977577"/>
    <w:rsid w:val="00977739"/>
    <w:rsid w:val="00977FFB"/>
    <w:rsid w:val="0098004D"/>
    <w:rsid w:val="00980494"/>
    <w:rsid w:val="0098175E"/>
    <w:rsid w:val="009817AF"/>
    <w:rsid w:val="00981820"/>
    <w:rsid w:val="00981902"/>
    <w:rsid w:val="00981DEE"/>
    <w:rsid w:val="00981E5F"/>
    <w:rsid w:val="00981ED3"/>
    <w:rsid w:val="00982491"/>
    <w:rsid w:val="00982ED1"/>
    <w:rsid w:val="00983E1B"/>
    <w:rsid w:val="00983ED7"/>
    <w:rsid w:val="00984258"/>
    <w:rsid w:val="009846C5"/>
    <w:rsid w:val="00984CBE"/>
    <w:rsid w:val="009851B4"/>
    <w:rsid w:val="0098771D"/>
    <w:rsid w:val="00990155"/>
    <w:rsid w:val="0099042F"/>
    <w:rsid w:val="00990E86"/>
    <w:rsid w:val="00991497"/>
    <w:rsid w:val="00992258"/>
    <w:rsid w:val="00993104"/>
    <w:rsid w:val="009932E1"/>
    <w:rsid w:val="00993511"/>
    <w:rsid w:val="00993CA1"/>
    <w:rsid w:val="00994E38"/>
    <w:rsid w:val="009963D5"/>
    <w:rsid w:val="0099667E"/>
    <w:rsid w:val="00996926"/>
    <w:rsid w:val="0099698C"/>
    <w:rsid w:val="00997110"/>
    <w:rsid w:val="009A03C3"/>
    <w:rsid w:val="009A03F2"/>
    <w:rsid w:val="009A073C"/>
    <w:rsid w:val="009A09EA"/>
    <w:rsid w:val="009A0CB0"/>
    <w:rsid w:val="009A10F0"/>
    <w:rsid w:val="009A21D5"/>
    <w:rsid w:val="009A221A"/>
    <w:rsid w:val="009A2B43"/>
    <w:rsid w:val="009A2DBC"/>
    <w:rsid w:val="009A30A8"/>
    <w:rsid w:val="009A3458"/>
    <w:rsid w:val="009A3CCE"/>
    <w:rsid w:val="009A4B53"/>
    <w:rsid w:val="009A4B6D"/>
    <w:rsid w:val="009A4E0F"/>
    <w:rsid w:val="009A4F3F"/>
    <w:rsid w:val="009A5213"/>
    <w:rsid w:val="009A54AD"/>
    <w:rsid w:val="009A59BD"/>
    <w:rsid w:val="009A6305"/>
    <w:rsid w:val="009A7088"/>
    <w:rsid w:val="009A71C9"/>
    <w:rsid w:val="009A73F9"/>
    <w:rsid w:val="009A7667"/>
    <w:rsid w:val="009A7D4C"/>
    <w:rsid w:val="009A7E7D"/>
    <w:rsid w:val="009A7FED"/>
    <w:rsid w:val="009B25B6"/>
    <w:rsid w:val="009B36E6"/>
    <w:rsid w:val="009B3BF3"/>
    <w:rsid w:val="009B3E1E"/>
    <w:rsid w:val="009B3F6E"/>
    <w:rsid w:val="009B40C1"/>
    <w:rsid w:val="009B4325"/>
    <w:rsid w:val="009B47C4"/>
    <w:rsid w:val="009B48E0"/>
    <w:rsid w:val="009B4EB1"/>
    <w:rsid w:val="009B5625"/>
    <w:rsid w:val="009B6604"/>
    <w:rsid w:val="009B7127"/>
    <w:rsid w:val="009B79AE"/>
    <w:rsid w:val="009B7FF3"/>
    <w:rsid w:val="009C0472"/>
    <w:rsid w:val="009C08E0"/>
    <w:rsid w:val="009C0EE1"/>
    <w:rsid w:val="009C17F3"/>
    <w:rsid w:val="009C1E92"/>
    <w:rsid w:val="009C2FE8"/>
    <w:rsid w:val="009C44A1"/>
    <w:rsid w:val="009C478C"/>
    <w:rsid w:val="009C499B"/>
    <w:rsid w:val="009C49F4"/>
    <w:rsid w:val="009C5081"/>
    <w:rsid w:val="009C5BD4"/>
    <w:rsid w:val="009C66FD"/>
    <w:rsid w:val="009C6813"/>
    <w:rsid w:val="009C7852"/>
    <w:rsid w:val="009D09E8"/>
    <w:rsid w:val="009D0A4F"/>
    <w:rsid w:val="009D146A"/>
    <w:rsid w:val="009D1A43"/>
    <w:rsid w:val="009D25B5"/>
    <w:rsid w:val="009D2948"/>
    <w:rsid w:val="009D2BB3"/>
    <w:rsid w:val="009D2BCB"/>
    <w:rsid w:val="009D2DCC"/>
    <w:rsid w:val="009D2ED5"/>
    <w:rsid w:val="009D378F"/>
    <w:rsid w:val="009D3DB7"/>
    <w:rsid w:val="009D3F0D"/>
    <w:rsid w:val="009D4B77"/>
    <w:rsid w:val="009D51C5"/>
    <w:rsid w:val="009D66DD"/>
    <w:rsid w:val="009D6FE5"/>
    <w:rsid w:val="009E110B"/>
    <w:rsid w:val="009E1A2C"/>
    <w:rsid w:val="009E215C"/>
    <w:rsid w:val="009E308D"/>
    <w:rsid w:val="009E30B6"/>
    <w:rsid w:val="009E3DA3"/>
    <w:rsid w:val="009E42F6"/>
    <w:rsid w:val="009E4703"/>
    <w:rsid w:val="009E474F"/>
    <w:rsid w:val="009E4A06"/>
    <w:rsid w:val="009E4F94"/>
    <w:rsid w:val="009E5890"/>
    <w:rsid w:val="009E6465"/>
    <w:rsid w:val="009E75C7"/>
    <w:rsid w:val="009E77D3"/>
    <w:rsid w:val="009F07B9"/>
    <w:rsid w:val="009F0F4A"/>
    <w:rsid w:val="009F16DB"/>
    <w:rsid w:val="009F2873"/>
    <w:rsid w:val="009F2BFD"/>
    <w:rsid w:val="009F2D91"/>
    <w:rsid w:val="009F4976"/>
    <w:rsid w:val="009F5E60"/>
    <w:rsid w:val="009F6116"/>
    <w:rsid w:val="009F69F8"/>
    <w:rsid w:val="009F6D43"/>
    <w:rsid w:val="009F72B1"/>
    <w:rsid w:val="009F77B2"/>
    <w:rsid w:val="009F7B14"/>
    <w:rsid w:val="00A00E94"/>
    <w:rsid w:val="00A00F4F"/>
    <w:rsid w:val="00A019DA"/>
    <w:rsid w:val="00A01B7F"/>
    <w:rsid w:val="00A01FFB"/>
    <w:rsid w:val="00A023F3"/>
    <w:rsid w:val="00A02B57"/>
    <w:rsid w:val="00A0389A"/>
    <w:rsid w:val="00A03DCE"/>
    <w:rsid w:val="00A04108"/>
    <w:rsid w:val="00A0436B"/>
    <w:rsid w:val="00A063DD"/>
    <w:rsid w:val="00A068DB"/>
    <w:rsid w:val="00A06DA1"/>
    <w:rsid w:val="00A071FD"/>
    <w:rsid w:val="00A07895"/>
    <w:rsid w:val="00A10272"/>
    <w:rsid w:val="00A105AA"/>
    <w:rsid w:val="00A10BA7"/>
    <w:rsid w:val="00A10DFF"/>
    <w:rsid w:val="00A11F43"/>
    <w:rsid w:val="00A1214E"/>
    <w:rsid w:val="00A131E5"/>
    <w:rsid w:val="00A136CE"/>
    <w:rsid w:val="00A14004"/>
    <w:rsid w:val="00A1436D"/>
    <w:rsid w:val="00A14773"/>
    <w:rsid w:val="00A14B9F"/>
    <w:rsid w:val="00A14F90"/>
    <w:rsid w:val="00A150AB"/>
    <w:rsid w:val="00A150CD"/>
    <w:rsid w:val="00A154A1"/>
    <w:rsid w:val="00A159E6"/>
    <w:rsid w:val="00A160D8"/>
    <w:rsid w:val="00A16218"/>
    <w:rsid w:val="00A1672C"/>
    <w:rsid w:val="00A168F7"/>
    <w:rsid w:val="00A17313"/>
    <w:rsid w:val="00A175F5"/>
    <w:rsid w:val="00A2025B"/>
    <w:rsid w:val="00A206F4"/>
    <w:rsid w:val="00A2071B"/>
    <w:rsid w:val="00A20ADD"/>
    <w:rsid w:val="00A214BD"/>
    <w:rsid w:val="00A21964"/>
    <w:rsid w:val="00A21D68"/>
    <w:rsid w:val="00A2227F"/>
    <w:rsid w:val="00A22598"/>
    <w:rsid w:val="00A2281A"/>
    <w:rsid w:val="00A232BE"/>
    <w:rsid w:val="00A239E8"/>
    <w:rsid w:val="00A23B92"/>
    <w:rsid w:val="00A23CEF"/>
    <w:rsid w:val="00A247EC"/>
    <w:rsid w:val="00A24DEF"/>
    <w:rsid w:val="00A250EB"/>
    <w:rsid w:val="00A2582C"/>
    <w:rsid w:val="00A25C90"/>
    <w:rsid w:val="00A25E19"/>
    <w:rsid w:val="00A263BB"/>
    <w:rsid w:val="00A2708C"/>
    <w:rsid w:val="00A27487"/>
    <w:rsid w:val="00A27E15"/>
    <w:rsid w:val="00A31700"/>
    <w:rsid w:val="00A31F5A"/>
    <w:rsid w:val="00A3224B"/>
    <w:rsid w:val="00A3224E"/>
    <w:rsid w:val="00A32778"/>
    <w:rsid w:val="00A32D23"/>
    <w:rsid w:val="00A337F4"/>
    <w:rsid w:val="00A34DC3"/>
    <w:rsid w:val="00A34F0F"/>
    <w:rsid w:val="00A34FAD"/>
    <w:rsid w:val="00A3518B"/>
    <w:rsid w:val="00A35328"/>
    <w:rsid w:val="00A358CB"/>
    <w:rsid w:val="00A36543"/>
    <w:rsid w:val="00A365A3"/>
    <w:rsid w:val="00A36B41"/>
    <w:rsid w:val="00A36C68"/>
    <w:rsid w:val="00A37417"/>
    <w:rsid w:val="00A411DA"/>
    <w:rsid w:val="00A41F1F"/>
    <w:rsid w:val="00A42534"/>
    <w:rsid w:val="00A43131"/>
    <w:rsid w:val="00A43986"/>
    <w:rsid w:val="00A44679"/>
    <w:rsid w:val="00A44F39"/>
    <w:rsid w:val="00A455D7"/>
    <w:rsid w:val="00A467C5"/>
    <w:rsid w:val="00A469CE"/>
    <w:rsid w:val="00A46E25"/>
    <w:rsid w:val="00A50100"/>
    <w:rsid w:val="00A51A23"/>
    <w:rsid w:val="00A52204"/>
    <w:rsid w:val="00A524DB"/>
    <w:rsid w:val="00A52698"/>
    <w:rsid w:val="00A52FF2"/>
    <w:rsid w:val="00A53193"/>
    <w:rsid w:val="00A539FD"/>
    <w:rsid w:val="00A54EBF"/>
    <w:rsid w:val="00A558EF"/>
    <w:rsid w:val="00A55B7F"/>
    <w:rsid w:val="00A55E79"/>
    <w:rsid w:val="00A5619A"/>
    <w:rsid w:val="00A5657E"/>
    <w:rsid w:val="00A56D9B"/>
    <w:rsid w:val="00A56E09"/>
    <w:rsid w:val="00A570DC"/>
    <w:rsid w:val="00A60161"/>
    <w:rsid w:val="00A60209"/>
    <w:rsid w:val="00A60314"/>
    <w:rsid w:val="00A60776"/>
    <w:rsid w:val="00A60BE9"/>
    <w:rsid w:val="00A61403"/>
    <w:rsid w:val="00A61B52"/>
    <w:rsid w:val="00A61D28"/>
    <w:rsid w:val="00A61F92"/>
    <w:rsid w:val="00A620E1"/>
    <w:rsid w:val="00A62326"/>
    <w:rsid w:val="00A63EB3"/>
    <w:rsid w:val="00A64081"/>
    <w:rsid w:val="00A64B0A"/>
    <w:rsid w:val="00A65081"/>
    <w:rsid w:val="00A65E45"/>
    <w:rsid w:val="00A70417"/>
    <w:rsid w:val="00A705CA"/>
    <w:rsid w:val="00A71336"/>
    <w:rsid w:val="00A71375"/>
    <w:rsid w:val="00A71654"/>
    <w:rsid w:val="00A717CB"/>
    <w:rsid w:val="00A73334"/>
    <w:rsid w:val="00A73B15"/>
    <w:rsid w:val="00A74086"/>
    <w:rsid w:val="00A7453C"/>
    <w:rsid w:val="00A74715"/>
    <w:rsid w:val="00A76AF4"/>
    <w:rsid w:val="00A774EB"/>
    <w:rsid w:val="00A774F5"/>
    <w:rsid w:val="00A77912"/>
    <w:rsid w:val="00A80C38"/>
    <w:rsid w:val="00A81111"/>
    <w:rsid w:val="00A814D2"/>
    <w:rsid w:val="00A81AB5"/>
    <w:rsid w:val="00A82610"/>
    <w:rsid w:val="00A83124"/>
    <w:rsid w:val="00A83458"/>
    <w:rsid w:val="00A83EC6"/>
    <w:rsid w:val="00A84274"/>
    <w:rsid w:val="00A846A2"/>
    <w:rsid w:val="00A84E3D"/>
    <w:rsid w:val="00A84F40"/>
    <w:rsid w:val="00A859E3"/>
    <w:rsid w:val="00A85AA9"/>
    <w:rsid w:val="00A867F1"/>
    <w:rsid w:val="00A87559"/>
    <w:rsid w:val="00A877F6"/>
    <w:rsid w:val="00A905E5"/>
    <w:rsid w:val="00A90799"/>
    <w:rsid w:val="00A90F91"/>
    <w:rsid w:val="00A912E2"/>
    <w:rsid w:val="00A9188F"/>
    <w:rsid w:val="00A919B1"/>
    <w:rsid w:val="00A91A05"/>
    <w:rsid w:val="00A91C29"/>
    <w:rsid w:val="00A91D21"/>
    <w:rsid w:val="00A931F6"/>
    <w:rsid w:val="00A93B94"/>
    <w:rsid w:val="00A93DC7"/>
    <w:rsid w:val="00A93ED8"/>
    <w:rsid w:val="00A9439A"/>
    <w:rsid w:val="00A949CE"/>
    <w:rsid w:val="00A94F3D"/>
    <w:rsid w:val="00A950E4"/>
    <w:rsid w:val="00A97C49"/>
    <w:rsid w:val="00A97CCA"/>
    <w:rsid w:val="00AA0060"/>
    <w:rsid w:val="00AA0106"/>
    <w:rsid w:val="00AA0332"/>
    <w:rsid w:val="00AA1417"/>
    <w:rsid w:val="00AA1F39"/>
    <w:rsid w:val="00AA23BA"/>
    <w:rsid w:val="00AA2BDF"/>
    <w:rsid w:val="00AA2C85"/>
    <w:rsid w:val="00AA3146"/>
    <w:rsid w:val="00AA38C1"/>
    <w:rsid w:val="00AA4BD3"/>
    <w:rsid w:val="00AA4F53"/>
    <w:rsid w:val="00AA5CAB"/>
    <w:rsid w:val="00AA668C"/>
    <w:rsid w:val="00AA67F2"/>
    <w:rsid w:val="00AA6C61"/>
    <w:rsid w:val="00AA6DB8"/>
    <w:rsid w:val="00AA6E52"/>
    <w:rsid w:val="00AA758D"/>
    <w:rsid w:val="00AA7976"/>
    <w:rsid w:val="00AA7CB6"/>
    <w:rsid w:val="00AB0921"/>
    <w:rsid w:val="00AB0B07"/>
    <w:rsid w:val="00AB0E9F"/>
    <w:rsid w:val="00AB19F2"/>
    <w:rsid w:val="00AB209C"/>
    <w:rsid w:val="00AB23C5"/>
    <w:rsid w:val="00AB3165"/>
    <w:rsid w:val="00AB3B02"/>
    <w:rsid w:val="00AB5255"/>
    <w:rsid w:val="00AB565C"/>
    <w:rsid w:val="00AB57F4"/>
    <w:rsid w:val="00AB59AB"/>
    <w:rsid w:val="00AB61C0"/>
    <w:rsid w:val="00AB63DF"/>
    <w:rsid w:val="00AB6D0F"/>
    <w:rsid w:val="00AB6D99"/>
    <w:rsid w:val="00AB7018"/>
    <w:rsid w:val="00AB776D"/>
    <w:rsid w:val="00AB7866"/>
    <w:rsid w:val="00AB7911"/>
    <w:rsid w:val="00AC0C7C"/>
    <w:rsid w:val="00AC0F3F"/>
    <w:rsid w:val="00AC1AC7"/>
    <w:rsid w:val="00AC3CE6"/>
    <w:rsid w:val="00AC431F"/>
    <w:rsid w:val="00AC463C"/>
    <w:rsid w:val="00AC58D7"/>
    <w:rsid w:val="00AC58E0"/>
    <w:rsid w:val="00AC5A85"/>
    <w:rsid w:val="00AC5FBC"/>
    <w:rsid w:val="00AC6453"/>
    <w:rsid w:val="00AC657E"/>
    <w:rsid w:val="00AC6A95"/>
    <w:rsid w:val="00AC7A09"/>
    <w:rsid w:val="00AD027C"/>
    <w:rsid w:val="00AD0B92"/>
    <w:rsid w:val="00AD173D"/>
    <w:rsid w:val="00AD2483"/>
    <w:rsid w:val="00AD26B0"/>
    <w:rsid w:val="00AD2722"/>
    <w:rsid w:val="00AD28B8"/>
    <w:rsid w:val="00AD313D"/>
    <w:rsid w:val="00AD321C"/>
    <w:rsid w:val="00AD343E"/>
    <w:rsid w:val="00AD3614"/>
    <w:rsid w:val="00AD491E"/>
    <w:rsid w:val="00AD52A1"/>
    <w:rsid w:val="00AD5542"/>
    <w:rsid w:val="00AD5996"/>
    <w:rsid w:val="00AD5A4F"/>
    <w:rsid w:val="00AD5BF6"/>
    <w:rsid w:val="00AD624C"/>
    <w:rsid w:val="00AD68D6"/>
    <w:rsid w:val="00AD69E8"/>
    <w:rsid w:val="00AD6E2D"/>
    <w:rsid w:val="00AD70F4"/>
    <w:rsid w:val="00AD77DB"/>
    <w:rsid w:val="00AD78BB"/>
    <w:rsid w:val="00AD79C8"/>
    <w:rsid w:val="00AD7D00"/>
    <w:rsid w:val="00AD7EBE"/>
    <w:rsid w:val="00AE04C5"/>
    <w:rsid w:val="00AE2E96"/>
    <w:rsid w:val="00AE30F3"/>
    <w:rsid w:val="00AE5255"/>
    <w:rsid w:val="00AE5CDE"/>
    <w:rsid w:val="00AE6E3B"/>
    <w:rsid w:val="00AE6EB3"/>
    <w:rsid w:val="00AE7901"/>
    <w:rsid w:val="00AE7A8F"/>
    <w:rsid w:val="00AF06D0"/>
    <w:rsid w:val="00AF0D92"/>
    <w:rsid w:val="00AF165B"/>
    <w:rsid w:val="00AF20BB"/>
    <w:rsid w:val="00AF262F"/>
    <w:rsid w:val="00AF27BE"/>
    <w:rsid w:val="00AF334C"/>
    <w:rsid w:val="00AF3607"/>
    <w:rsid w:val="00AF3934"/>
    <w:rsid w:val="00AF3FDE"/>
    <w:rsid w:val="00AF43E8"/>
    <w:rsid w:val="00AF459E"/>
    <w:rsid w:val="00AF59B7"/>
    <w:rsid w:val="00AF7849"/>
    <w:rsid w:val="00B00DB1"/>
    <w:rsid w:val="00B01562"/>
    <w:rsid w:val="00B01BA1"/>
    <w:rsid w:val="00B01D5E"/>
    <w:rsid w:val="00B02AE8"/>
    <w:rsid w:val="00B02B8E"/>
    <w:rsid w:val="00B02CE1"/>
    <w:rsid w:val="00B03186"/>
    <w:rsid w:val="00B0371D"/>
    <w:rsid w:val="00B04604"/>
    <w:rsid w:val="00B04AD2"/>
    <w:rsid w:val="00B05489"/>
    <w:rsid w:val="00B054D1"/>
    <w:rsid w:val="00B05693"/>
    <w:rsid w:val="00B05AD9"/>
    <w:rsid w:val="00B05CCE"/>
    <w:rsid w:val="00B05FCA"/>
    <w:rsid w:val="00B068DD"/>
    <w:rsid w:val="00B06F4E"/>
    <w:rsid w:val="00B071A3"/>
    <w:rsid w:val="00B10E8E"/>
    <w:rsid w:val="00B10FC1"/>
    <w:rsid w:val="00B11A9E"/>
    <w:rsid w:val="00B11C13"/>
    <w:rsid w:val="00B120A6"/>
    <w:rsid w:val="00B122DC"/>
    <w:rsid w:val="00B12592"/>
    <w:rsid w:val="00B13298"/>
    <w:rsid w:val="00B13A68"/>
    <w:rsid w:val="00B1407F"/>
    <w:rsid w:val="00B14338"/>
    <w:rsid w:val="00B148C8"/>
    <w:rsid w:val="00B14B13"/>
    <w:rsid w:val="00B1663D"/>
    <w:rsid w:val="00B16AA4"/>
    <w:rsid w:val="00B16AC2"/>
    <w:rsid w:val="00B173C4"/>
    <w:rsid w:val="00B206E7"/>
    <w:rsid w:val="00B20B06"/>
    <w:rsid w:val="00B20FEB"/>
    <w:rsid w:val="00B21351"/>
    <w:rsid w:val="00B21517"/>
    <w:rsid w:val="00B2281D"/>
    <w:rsid w:val="00B22871"/>
    <w:rsid w:val="00B23802"/>
    <w:rsid w:val="00B246E2"/>
    <w:rsid w:val="00B24CC8"/>
    <w:rsid w:val="00B24D64"/>
    <w:rsid w:val="00B259D8"/>
    <w:rsid w:val="00B25CEC"/>
    <w:rsid w:val="00B26B92"/>
    <w:rsid w:val="00B26D44"/>
    <w:rsid w:val="00B272D2"/>
    <w:rsid w:val="00B3013E"/>
    <w:rsid w:val="00B31A55"/>
    <w:rsid w:val="00B329E8"/>
    <w:rsid w:val="00B32C50"/>
    <w:rsid w:val="00B3309B"/>
    <w:rsid w:val="00B33628"/>
    <w:rsid w:val="00B33D9D"/>
    <w:rsid w:val="00B34771"/>
    <w:rsid w:val="00B34C37"/>
    <w:rsid w:val="00B3549E"/>
    <w:rsid w:val="00B3586A"/>
    <w:rsid w:val="00B35B28"/>
    <w:rsid w:val="00B3686C"/>
    <w:rsid w:val="00B37384"/>
    <w:rsid w:val="00B376E0"/>
    <w:rsid w:val="00B40024"/>
    <w:rsid w:val="00B40740"/>
    <w:rsid w:val="00B41664"/>
    <w:rsid w:val="00B418BF"/>
    <w:rsid w:val="00B41C20"/>
    <w:rsid w:val="00B421B7"/>
    <w:rsid w:val="00B4238C"/>
    <w:rsid w:val="00B42A2D"/>
    <w:rsid w:val="00B42FD0"/>
    <w:rsid w:val="00B430CB"/>
    <w:rsid w:val="00B437AC"/>
    <w:rsid w:val="00B43A0F"/>
    <w:rsid w:val="00B441BF"/>
    <w:rsid w:val="00B4537C"/>
    <w:rsid w:val="00B45A3F"/>
    <w:rsid w:val="00B45F03"/>
    <w:rsid w:val="00B45F10"/>
    <w:rsid w:val="00B465F2"/>
    <w:rsid w:val="00B46F35"/>
    <w:rsid w:val="00B4743B"/>
    <w:rsid w:val="00B4754C"/>
    <w:rsid w:val="00B50808"/>
    <w:rsid w:val="00B50CC0"/>
    <w:rsid w:val="00B510ED"/>
    <w:rsid w:val="00B51523"/>
    <w:rsid w:val="00B516F8"/>
    <w:rsid w:val="00B51A2A"/>
    <w:rsid w:val="00B525E6"/>
    <w:rsid w:val="00B53F7C"/>
    <w:rsid w:val="00B5410C"/>
    <w:rsid w:val="00B54E0F"/>
    <w:rsid w:val="00B5502A"/>
    <w:rsid w:val="00B55BF3"/>
    <w:rsid w:val="00B563A1"/>
    <w:rsid w:val="00B57190"/>
    <w:rsid w:val="00B579DC"/>
    <w:rsid w:val="00B600D5"/>
    <w:rsid w:val="00B61367"/>
    <w:rsid w:val="00B61964"/>
    <w:rsid w:val="00B61A68"/>
    <w:rsid w:val="00B61CFF"/>
    <w:rsid w:val="00B62060"/>
    <w:rsid w:val="00B63418"/>
    <w:rsid w:val="00B639B4"/>
    <w:rsid w:val="00B63A96"/>
    <w:rsid w:val="00B63F8F"/>
    <w:rsid w:val="00B644AB"/>
    <w:rsid w:val="00B657E1"/>
    <w:rsid w:val="00B663CD"/>
    <w:rsid w:val="00B66E80"/>
    <w:rsid w:val="00B674A0"/>
    <w:rsid w:val="00B67D88"/>
    <w:rsid w:val="00B700D4"/>
    <w:rsid w:val="00B71759"/>
    <w:rsid w:val="00B71AC5"/>
    <w:rsid w:val="00B73739"/>
    <w:rsid w:val="00B73865"/>
    <w:rsid w:val="00B7491D"/>
    <w:rsid w:val="00B74EFC"/>
    <w:rsid w:val="00B75126"/>
    <w:rsid w:val="00B75976"/>
    <w:rsid w:val="00B760BC"/>
    <w:rsid w:val="00B7684B"/>
    <w:rsid w:val="00B7760C"/>
    <w:rsid w:val="00B77ED9"/>
    <w:rsid w:val="00B80168"/>
    <w:rsid w:val="00B8154A"/>
    <w:rsid w:val="00B81606"/>
    <w:rsid w:val="00B81C43"/>
    <w:rsid w:val="00B81F1F"/>
    <w:rsid w:val="00B8271B"/>
    <w:rsid w:val="00B829B3"/>
    <w:rsid w:val="00B8507B"/>
    <w:rsid w:val="00B85974"/>
    <w:rsid w:val="00B85A2E"/>
    <w:rsid w:val="00B85C12"/>
    <w:rsid w:val="00B85C69"/>
    <w:rsid w:val="00B86B98"/>
    <w:rsid w:val="00B86F40"/>
    <w:rsid w:val="00B87610"/>
    <w:rsid w:val="00B87A2D"/>
    <w:rsid w:val="00B904D1"/>
    <w:rsid w:val="00B90E78"/>
    <w:rsid w:val="00B911E2"/>
    <w:rsid w:val="00B91340"/>
    <w:rsid w:val="00B9143F"/>
    <w:rsid w:val="00B91AC4"/>
    <w:rsid w:val="00B92D3B"/>
    <w:rsid w:val="00B94410"/>
    <w:rsid w:val="00B950F4"/>
    <w:rsid w:val="00B95BD5"/>
    <w:rsid w:val="00B961B6"/>
    <w:rsid w:val="00B975C8"/>
    <w:rsid w:val="00B9794B"/>
    <w:rsid w:val="00B97CC0"/>
    <w:rsid w:val="00B97F52"/>
    <w:rsid w:val="00BA049B"/>
    <w:rsid w:val="00BA0612"/>
    <w:rsid w:val="00BA07D9"/>
    <w:rsid w:val="00BA083C"/>
    <w:rsid w:val="00BA0B72"/>
    <w:rsid w:val="00BA1710"/>
    <w:rsid w:val="00BA2204"/>
    <w:rsid w:val="00BA2E52"/>
    <w:rsid w:val="00BA3AF9"/>
    <w:rsid w:val="00BA42D4"/>
    <w:rsid w:val="00BA4E4D"/>
    <w:rsid w:val="00BA5B77"/>
    <w:rsid w:val="00BA5BD5"/>
    <w:rsid w:val="00BA6715"/>
    <w:rsid w:val="00BA6BAF"/>
    <w:rsid w:val="00BA72A7"/>
    <w:rsid w:val="00BA7557"/>
    <w:rsid w:val="00BA7ED5"/>
    <w:rsid w:val="00BB0B0A"/>
    <w:rsid w:val="00BB114C"/>
    <w:rsid w:val="00BB16D2"/>
    <w:rsid w:val="00BB2268"/>
    <w:rsid w:val="00BB28B7"/>
    <w:rsid w:val="00BB28C8"/>
    <w:rsid w:val="00BB2ABB"/>
    <w:rsid w:val="00BB3633"/>
    <w:rsid w:val="00BB4572"/>
    <w:rsid w:val="00BB5CC6"/>
    <w:rsid w:val="00BB5DB0"/>
    <w:rsid w:val="00BB7587"/>
    <w:rsid w:val="00BB7696"/>
    <w:rsid w:val="00BB7B70"/>
    <w:rsid w:val="00BC09D5"/>
    <w:rsid w:val="00BC14AB"/>
    <w:rsid w:val="00BC2F78"/>
    <w:rsid w:val="00BC318C"/>
    <w:rsid w:val="00BC31A6"/>
    <w:rsid w:val="00BC3732"/>
    <w:rsid w:val="00BC3BB0"/>
    <w:rsid w:val="00BC3F54"/>
    <w:rsid w:val="00BC66CD"/>
    <w:rsid w:val="00BC6E01"/>
    <w:rsid w:val="00BD006F"/>
    <w:rsid w:val="00BD029C"/>
    <w:rsid w:val="00BD02E1"/>
    <w:rsid w:val="00BD104B"/>
    <w:rsid w:val="00BD116D"/>
    <w:rsid w:val="00BD16C9"/>
    <w:rsid w:val="00BD1900"/>
    <w:rsid w:val="00BD1E24"/>
    <w:rsid w:val="00BD23C5"/>
    <w:rsid w:val="00BD268F"/>
    <w:rsid w:val="00BD2C3A"/>
    <w:rsid w:val="00BD2E4E"/>
    <w:rsid w:val="00BD5EBA"/>
    <w:rsid w:val="00BD67EC"/>
    <w:rsid w:val="00BD6A49"/>
    <w:rsid w:val="00BD7381"/>
    <w:rsid w:val="00BD75C1"/>
    <w:rsid w:val="00BD76BD"/>
    <w:rsid w:val="00BD77A4"/>
    <w:rsid w:val="00BD78BC"/>
    <w:rsid w:val="00BE00AE"/>
    <w:rsid w:val="00BE032A"/>
    <w:rsid w:val="00BE0387"/>
    <w:rsid w:val="00BE0889"/>
    <w:rsid w:val="00BE0A8B"/>
    <w:rsid w:val="00BE0DF4"/>
    <w:rsid w:val="00BE1B08"/>
    <w:rsid w:val="00BE1C6F"/>
    <w:rsid w:val="00BE1F76"/>
    <w:rsid w:val="00BE2620"/>
    <w:rsid w:val="00BE2CA7"/>
    <w:rsid w:val="00BE3AC3"/>
    <w:rsid w:val="00BE3C65"/>
    <w:rsid w:val="00BE494A"/>
    <w:rsid w:val="00BE4B31"/>
    <w:rsid w:val="00BE599C"/>
    <w:rsid w:val="00BE6415"/>
    <w:rsid w:val="00BE6E65"/>
    <w:rsid w:val="00BF010E"/>
    <w:rsid w:val="00BF0523"/>
    <w:rsid w:val="00BF08FD"/>
    <w:rsid w:val="00BF1000"/>
    <w:rsid w:val="00BF168C"/>
    <w:rsid w:val="00BF1B14"/>
    <w:rsid w:val="00BF1EDD"/>
    <w:rsid w:val="00BF3BEA"/>
    <w:rsid w:val="00BF5027"/>
    <w:rsid w:val="00BF5C8B"/>
    <w:rsid w:val="00BF5E57"/>
    <w:rsid w:val="00BF6C09"/>
    <w:rsid w:val="00BF6CF2"/>
    <w:rsid w:val="00BF7E2D"/>
    <w:rsid w:val="00C0162D"/>
    <w:rsid w:val="00C01FA8"/>
    <w:rsid w:val="00C01FCA"/>
    <w:rsid w:val="00C0258A"/>
    <w:rsid w:val="00C02A72"/>
    <w:rsid w:val="00C03699"/>
    <w:rsid w:val="00C041F3"/>
    <w:rsid w:val="00C0505A"/>
    <w:rsid w:val="00C05B6F"/>
    <w:rsid w:val="00C05C50"/>
    <w:rsid w:val="00C0657D"/>
    <w:rsid w:val="00C070ED"/>
    <w:rsid w:val="00C07751"/>
    <w:rsid w:val="00C07905"/>
    <w:rsid w:val="00C1007A"/>
    <w:rsid w:val="00C1086A"/>
    <w:rsid w:val="00C117D6"/>
    <w:rsid w:val="00C1182F"/>
    <w:rsid w:val="00C11DFE"/>
    <w:rsid w:val="00C12593"/>
    <w:rsid w:val="00C12D3B"/>
    <w:rsid w:val="00C12F80"/>
    <w:rsid w:val="00C13043"/>
    <w:rsid w:val="00C14681"/>
    <w:rsid w:val="00C1565E"/>
    <w:rsid w:val="00C15AD9"/>
    <w:rsid w:val="00C16453"/>
    <w:rsid w:val="00C1672F"/>
    <w:rsid w:val="00C16840"/>
    <w:rsid w:val="00C1696A"/>
    <w:rsid w:val="00C16DA0"/>
    <w:rsid w:val="00C17398"/>
    <w:rsid w:val="00C174A8"/>
    <w:rsid w:val="00C17C06"/>
    <w:rsid w:val="00C17E7D"/>
    <w:rsid w:val="00C20130"/>
    <w:rsid w:val="00C201A5"/>
    <w:rsid w:val="00C210A4"/>
    <w:rsid w:val="00C234D0"/>
    <w:rsid w:val="00C2410D"/>
    <w:rsid w:val="00C250D7"/>
    <w:rsid w:val="00C257D7"/>
    <w:rsid w:val="00C25D19"/>
    <w:rsid w:val="00C26349"/>
    <w:rsid w:val="00C26993"/>
    <w:rsid w:val="00C26F3A"/>
    <w:rsid w:val="00C27849"/>
    <w:rsid w:val="00C30186"/>
    <w:rsid w:val="00C31A3E"/>
    <w:rsid w:val="00C31E1F"/>
    <w:rsid w:val="00C327AF"/>
    <w:rsid w:val="00C33607"/>
    <w:rsid w:val="00C33B49"/>
    <w:rsid w:val="00C34664"/>
    <w:rsid w:val="00C35B2D"/>
    <w:rsid w:val="00C35BA9"/>
    <w:rsid w:val="00C35D53"/>
    <w:rsid w:val="00C369F2"/>
    <w:rsid w:val="00C36F3A"/>
    <w:rsid w:val="00C37637"/>
    <w:rsid w:val="00C37CC2"/>
    <w:rsid w:val="00C37F01"/>
    <w:rsid w:val="00C409D6"/>
    <w:rsid w:val="00C423A2"/>
    <w:rsid w:val="00C43AF7"/>
    <w:rsid w:val="00C44307"/>
    <w:rsid w:val="00C44DE8"/>
    <w:rsid w:val="00C463E4"/>
    <w:rsid w:val="00C46883"/>
    <w:rsid w:val="00C46C1F"/>
    <w:rsid w:val="00C4756C"/>
    <w:rsid w:val="00C4760A"/>
    <w:rsid w:val="00C4761F"/>
    <w:rsid w:val="00C47B82"/>
    <w:rsid w:val="00C5044B"/>
    <w:rsid w:val="00C50631"/>
    <w:rsid w:val="00C519DE"/>
    <w:rsid w:val="00C52168"/>
    <w:rsid w:val="00C52E75"/>
    <w:rsid w:val="00C530C7"/>
    <w:rsid w:val="00C54E9F"/>
    <w:rsid w:val="00C55258"/>
    <w:rsid w:val="00C552D1"/>
    <w:rsid w:val="00C553EE"/>
    <w:rsid w:val="00C56F4A"/>
    <w:rsid w:val="00C578BB"/>
    <w:rsid w:val="00C60191"/>
    <w:rsid w:val="00C60C48"/>
    <w:rsid w:val="00C610DF"/>
    <w:rsid w:val="00C6199C"/>
    <w:rsid w:val="00C61BD7"/>
    <w:rsid w:val="00C61BEF"/>
    <w:rsid w:val="00C61DD7"/>
    <w:rsid w:val="00C62348"/>
    <w:rsid w:val="00C628C9"/>
    <w:rsid w:val="00C629DC"/>
    <w:rsid w:val="00C63E51"/>
    <w:rsid w:val="00C6574B"/>
    <w:rsid w:val="00C65779"/>
    <w:rsid w:val="00C65A64"/>
    <w:rsid w:val="00C65AFF"/>
    <w:rsid w:val="00C65B0A"/>
    <w:rsid w:val="00C66558"/>
    <w:rsid w:val="00C66D67"/>
    <w:rsid w:val="00C6731D"/>
    <w:rsid w:val="00C703CF"/>
    <w:rsid w:val="00C70C6D"/>
    <w:rsid w:val="00C71225"/>
    <w:rsid w:val="00C71D3D"/>
    <w:rsid w:val="00C71E5D"/>
    <w:rsid w:val="00C7220F"/>
    <w:rsid w:val="00C7292F"/>
    <w:rsid w:val="00C72AC1"/>
    <w:rsid w:val="00C74D4A"/>
    <w:rsid w:val="00C74E2B"/>
    <w:rsid w:val="00C751A9"/>
    <w:rsid w:val="00C75826"/>
    <w:rsid w:val="00C773D3"/>
    <w:rsid w:val="00C775AC"/>
    <w:rsid w:val="00C77AE2"/>
    <w:rsid w:val="00C77DA7"/>
    <w:rsid w:val="00C805DD"/>
    <w:rsid w:val="00C8094C"/>
    <w:rsid w:val="00C809E6"/>
    <w:rsid w:val="00C80E96"/>
    <w:rsid w:val="00C8158B"/>
    <w:rsid w:val="00C81C5F"/>
    <w:rsid w:val="00C82C46"/>
    <w:rsid w:val="00C833A8"/>
    <w:rsid w:val="00C83C0A"/>
    <w:rsid w:val="00C8424D"/>
    <w:rsid w:val="00C84282"/>
    <w:rsid w:val="00C84443"/>
    <w:rsid w:val="00C855E2"/>
    <w:rsid w:val="00C858CB"/>
    <w:rsid w:val="00C858E0"/>
    <w:rsid w:val="00C85A15"/>
    <w:rsid w:val="00C85EB4"/>
    <w:rsid w:val="00C860A6"/>
    <w:rsid w:val="00C868B9"/>
    <w:rsid w:val="00C868FD"/>
    <w:rsid w:val="00C86FAE"/>
    <w:rsid w:val="00C87AD4"/>
    <w:rsid w:val="00C9005F"/>
    <w:rsid w:val="00C90A53"/>
    <w:rsid w:val="00C90A8D"/>
    <w:rsid w:val="00C90E89"/>
    <w:rsid w:val="00C91241"/>
    <w:rsid w:val="00C92106"/>
    <w:rsid w:val="00C92C18"/>
    <w:rsid w:val="00C92EA9"/>
    <w:rsid w:val="00C93012"/>
    <w:rsid w:val="00C943C6"/>
    <w:rsid w:val="00C9459C"/>
    <w:rsid w:val="00C949FF"/>
    <w:rsid w:val="00C94B44"/>
    <w:rsid w:val="00C9530D"/>
    <w:rsid w:val="00C9544E"/>
    <w:rsid w:val="00C958BA"/>
    <w:rsid w:val="00C966F0"/>
    <w:rsid w:val="00C96AF8"/>
    <w:rsid w:val="00C97457"/>
    <w:rsid w:val="00CA017B"/>
    <w:rsid w:val="00CA0590"/>
    <w:rsid w:val="00CA09D8"/>
    <w:rsid w:val="00CA13F2"/>
    <w:rsid w:val="00CA18B5"/>
    <w:rsid w:val="00CA2868"/>
    <w:rsid w:val="00CA2933"/>
    <w:rsid w:val="00CA29DA"/>
    <w:rsid w:val="00CA29E0"/>
    <w:rsid w:val="00CA2B9F"/>
    <w:rsid w:val="00CA2F23"/>
    <w:rsid w:val="00CA318A"/>
    <w:rsid w:val="00CA3241"/>
    <w:rsid w:val="00CA3604"/>
    <w:rsid w:val="00CA37F0"/>
    <w:rsid w:val="00CA3FED"/>
    <w:rsid w:val="00CA4296"/>
    <w:rsid w:val="00CA484C"/>
    <w:rsid w:val="00CA4BAB"/>
    <w:rsid w:val="00CA4BDA"/>
    <w:rsid w:val="00CA4FE4"/>
    <w:rsid w:val="00CA5AAA"/>
    <w:rsid w:val="00CA6376"/>
    <w:rsid w:val="00CA6449"/>
    <w:rsid w:val="00CA6ECA"/>
    <w:rsid w:val="00CB0588"/>
    <w:rsid w:val="00CB0D08"/>
    <w:rsid w:val="00CB0DED"/>
    <w:rsid w:val="00CB13A2"/>
    <w:rsid w:val="00CB2762"/>
    <w:rsid w:val="00CB2BF1"/>
    <w:rsid w:val="00CB42ED"/>
    <w:rsid w:val="00CB6718"/>
    <w:rsid w:val="00CB6FB4"/>
    <w:rsid w:val="00CB7B7D"/>
    <w:rsid w:val="00CC0606"/>
    <w:rsid w:val="00CC07AB"/>
    <w:rsid w:val="00CC27F2"/>
    <w:rsid w:val="00CC311D"/>
    <w:rsid w:val="00CC39B4"/>
    <w:rsid w:val="00CC3C17"/>
    <w:rsid w:val="00CC3EEB"/>
    <w:rsid w:val="00CC41E8"/>
    <w:rsid w:val="00CC484F"/>
    <w:rsid w:val="00CC4DCB"/>
    <w:rsid w:val="00CC664E"/>
    <w:rsid w:val="00CC691E"/>
    <w:rsid w:val="00CC78F7"/>
    <w:rsid w:val="00CC79C3"/>
    <w:rsid w:val="00CD0529"/>
    <w:rsid w:val="00CD0548"/>
    <w:rsid w:val="00CD0CA5"/>
    <w:rsid w:val="00CD0FEE"/>
    <w:rsid w:val="00CD18FE"/>
    <w:rsid w:val="00CD192B"/>
    <w:rsid w:val="00CD291C"/>
    <w:rsid w:val="00CD2E6B"/>
    <w:rsid w:val="00CD3542"/>
    <w:rsid w:val="00CD3817"/>
    <w:rsid w:val="00CD38F3"/>
    <w:rsid w:val="00CD39BF"/>
    <w:rsid w:val="00CD4834"/>
    <w:rsid w:val="00CD58B5"/>
    <w:rsid w:val="00CD69E6"/>
    <w:rsid w:val="00CD6ABA"/>
    <w:rsid w:val="00CD7261"/>
    <w:rsid w:val="00CD7F8E"/>
    <w:rsid w:val="00CE00BC"/>
    <w:rsid w:val="00CE0757"/>
    <w:rsid w:val="00CE0A89"/>
    <w:rsid w:val="00CE2797"/>
    <w:rsid w:val="00CE2D30"/>
    <w:rsid w:val="00CE376B"/>
    <w:rsid w:val="00CE38A7"/>
    <w:rsid w:val="00CE5014"/>
    <w:rsid w:val="00CE506E"/>
    <w:rsid w:val="00CE5D4F"/>
    <w:rsid w:val="00CE667D"/>
    <w:rsid w:val="00CE6929"/>
    <w:rsid w:val="00CE6BB1"/>
    <w:rsid w:val="00CE6FF0"/>
    <w:rsid w:val="00CE7EDB"/>
    <w:rsid w:val="00CF0D93"/>
    <w:rsid w:val="00CF16A3"/>
    <w:rsid w:val="00CF1996"/>
    <w:rsid w:val="00CF1B1A"/>
    <w:rsid w:val="00CF1B8F"/>
    <w:rsid w:val="00CF3804"/>
    <w:rsid w:val="00CF480A"/>
    <w:rsid w:val="00CF4E41"/>
    <w:rsid w:val="00CF5D7D"/>
    <w:rsid w:val="00CF62F5"/>
    <w:rsid w:val="00CF6C95"/>
    <w:rsid w:val="00CF6DC9"/>
    <w:rsid w:val="00CF72BC"/>
    <w:rsid w:val="00CF7480"/>
    <w:rsid w:val="00CF774E"/>
    <w:rsid w:val="00CF77D1"/>
    <w:rsid w:val="00CF7830"/>
    <w:rsid w:val="00CF78DB"/>
    <w:rsid w:val="00CF7C7A"/>
    <w:rsid w:val="00D0032C"/>
    <w:rsid w:val="00D00E64"/>
    <w:rsid w:val="00D013E7"/>
    <w:rsid w:val="00D0194D"/>
    <w:rsid w:val="00D01DB8"/>
    <w:rsid w:val="00D0288B"/>
    <w:rsid w:val="00D029DC"/>
    <w:rsid w:val="00D02C8A"/>
    <w:rsid w:val="00D02E0E"/>
    <w:rsid w:val="00D03E31"/>
    <w:rsid w:val="00D04C1E"/>
    <w:rsid w:val="00D05E7A"/>
    <w:rsid w:val="00D05F8E"/>
    <w:rsid w:val="00D06D00"/>
    <w:rsid w:val="00D07859"/>
    <w:rsid w:val="00D07D26"/>
    <w:rsid w:val="00D11173"/>
    <w:rsid w:val="00D11DC9"/>
    <w:rsid w:val="00D12188"/>
    <w:rsid w:val="00D121CA"/>
    <w:rsid w:val="00D12556"/>
    <w:rsid w:val="00D12F45"/>
    <w:rsid w:val="00D12F49"/>
    <w:rsid w:val="00D141BC"/>
    <w:rsid w:val="00D14487"/>
    <w:rsid w:val="00D151A9"/>
    <w:rsid w:val="00D152A5"/>
    <w:rsid w:val="00D1594C"/>
    <w:rsid w:val="00D15C35"/>
    <w:rsid w:val="00D1640D"/>
    <w:rsid w:val="00D164FE"/>
    <w:rsid w:val="00D16938"/>
    <w:rsid w:val="00D17937"/>
    <w:rsid w:val="00D204F4"/>
    <w:rsid w:val="00D20515"/>
    <w:rsid w:val="00D20538"/>
    <w:rsid w:val="00D209E0"/>
    <w:rsid w:val="00D20E56"/>
    <w:rsid w:val="00D21335"/>
    <w:rsid w:val="00D2155A"/>
    <w:rsid w:val="00D2176E"/>
    <w:rsid w:val="00D21D0D"/>
    <w:rsid w:val="00D22D6B"/>
    <w:rsid w:val="00D23FC6"/>
    <w:rsid w:val="00D2403F"/>
    <w:rsid w:val="00D2425B"/>
    <w:rsid w:val="00D24AAC"/>
    <w:rsid w:val="00D2542E"/>
    <w:rsid w:val="00D25588"/>
    <w:rsid w:val="00D25FA6"/>
    <w:rsid w:val="00D263B2"/>
    <w:rsid w:val="00D2751B"/>
    <w:rsid w:val="00D27718"/>
    <w:rsid w:val="00D2774F"/>
    <w:rsid w:val="00D27A65"/>
    <w:rsid w:val="00D27E1F"/>
    <w:rsid w:val="00D27E86"/>
    <w:rsid w:val="00D31339"/>
    <w:rsid w:val="00D31EBE"/>
    <w:rsid w:val="00D3273F"/>
    <w:rsid w:val="00D33638"/>
    <w:rsid w:val="00D3369B"/>
    <w:rsid w:val="00D337EC"/>
    <w:rsid w:val="00D33F9A"/>
    <w:rsid w:val="00D342A4"/>
    <w:rsid w:val="00D34F08"/>
    <w:rsid w:val="00D35B57"/>
    <w:rsid w:val="00D36209"/>
    <w:rsid w:val="00D366B3"/>
    <w:rsid w:val="00D379DD"/>
    <w:rsid w:val="00D40496"/>
    <w:rsid w:val="00D4148C"/>
    <w:rsid w:val="00D415D0"/>
    <w:rsid w:val="00D41D00"/>
    <w:rsid w:val="00D41FB9"/>
    <w:rsid w:val="00D421EC"/>
    <w:rsid w:val="00D431F8"/>
    <w:rsid w:val="00D43EBB"/>
    <w:rsid w:val="00D440E7"/>
    <w:rsid w:val="00D4453B"/>
    <w:rsid w:val="00D473F9"/>
    <w:rsid w:val="00D47BF4"/>
    <w:rsid w:val="00D47D92"/>
    <w:rsid w:val="00D501E4"/>
    <w:rsid w:val="00D50ABF"/>
    <w:rsid w:val="00D50B25"/>
    <w:rsid w:val="00D51514"/>
    <w:rsid w:val="00D51689"/>
    <w:rsid w:val="00D522F8"/>
    <w:rsid w:val="00D523BA"/>
    <w:rsid w:val="00D526B7"/>
    <w:rsid w:val="00D529C5"/>
    <w:rsid w:val="00D529D3"/>
    <w:rsid w:val="00D52C03"/>
    <w:rsid w:val="00D52C3C"/>
    <w:rsid w:val="00D52D38"/>
    <w:rsid w:val="00D53185"/>
    <w:rsid w:val="00D5365B"/>
    <w:rsid w:val="00D53A1B"/>
    <w:rsid w:val="00D53C7B"/>
    <w:rsid w:val="00D54A40"/>
    <w:rsid w:val="00D55A36"/>
    <w:rsid w:val="00D55E48"/>
    <w:rsid w:val="00D56461"/>
    <w:rsid w:val="00D565DC"/>
    <w:rsid w:val="00D57FC1"/>
    <w:rsid w:val="00D6023F"/>
    <w:rsid w:val="00D60673"/>
    <w:rsid w:val="00D609D9"/>
    <w:rsid w:val="00D61A90"/>
    <w:rsid w:val="00D62D38"/>
    <w:rsid w:val="00D6364A"/>
    <w:rsid w:val="00D63927"/>
    <w:rsid w:val="00D64587"/>
    <w:rsid w:val="00D65A2D"/>
    <w:rsid w:val="00D66926"/>
    <w:rsid w:val="00D67997"/>
    <w:rsid w:val="00D700B7"/>
    <w:rsid w:val="00D7133F"/>
    <w:rsid w:val="00D71636"/>
    <w:rsid w:val="00D719C0"/>
    <w:rsid w:val="00D724D5"/>
    <w:rsid w:val="00D730AF"/>
    <w:rsid w:val="00D730DF"/>
    <w:rsid w:val="00D737E8"/>
    <w:rsid w:val="00D73B72"/>
    <w:rsid w:val="00D73BD2"/>
    <w:rsid w:val="00D74995"/>
    <w:rsid w:val="00D749ED"/>
    <w:rsid w:val="00D74AD3"/>
    <w:rsid w:val="00D75B2E"/>
    <w:rsid w:val="00D75E6D"/>
    <w:rsid w:val="00D76348"/>
    <w:rsid w:val="00D770A6"/>
    <w:rsid w:val="00D7727A"/>
    <w:rsid w:val="00D77A33"/>
    <w:rsid w:val="00D77C39"/>
    <w:rsid w:val="00D8018B"/>
    <w:rsid w:val="00D808D6"/>
    <w:rsid w:val="00D80D05"/>
    <w:rsid w:val="00D80F8A"/>
    <w:rsid w:val="00D81260"/>
    <w:rsid w:val="00D820E9"/>
    <w:rsid w:val="00D829DE"/>
    <w:rsid w:val="00D83396"/>
    <w:rsid w:val="00D83994"/>
    <w:rsid w:val="00D83DD6"/>
    <w:rsid w:val="00D840E0"/>
    <w:rsid w:val="00D85AE1"/>
    <w:rsid w:val="00D85D2A"/>
    <w:rsid w:val="00D86CCD"/>
    <w:rsid w:val="00D86D27"/>
    <w:rsid w:val="00D92233"/>
    <w:rsid w:val="00D92273"/>
    <w:rsid w:val="00D922B6"/>
    <w:rsid w:val="00D926C1"/>
    <w:rsid w:val="00D92CF5"/>
    <w:rsid w:val="00D92F10"/>
    <w:rsid w:val="00D931CF"/>
    <w:rsid w:val="00D93281"/>
    <w:rsid w:val="00D95799"/>
    <w:rsid w:val="00D9588F"/>
    <w:rsid w:val="00D962E7"/>
    <w:rsid w:val="00D96432"/>
    <w:rsid w:val="00D964A2"/>
    <w:rsid w:val="00D972A7"/>
    <w:rsid w:val="00D97586"/>
    <w:rsid w:val="00DA0318"/>
    <w:rsid w:val="00DA0A97"/>
    <w:rsid w:val="00DA21F4"/>
    <w:rsid w:val="00DA29FF"/>
    <w:rsid w:val="00DA31B0"/>
    <w:rsid w:val="00DA31EC"/>
    <w:rsid w:val="00DA3334"/>
    <w:rsid w:val="00DA3829"/>
    <w:rsid w:val="00DA4044"/>
    <w:rsid w:val="00DA445C"/>
    <w:rsid w:val="00DA452F"/>
    <w:rsid w:val="00DA4775"/>
    <w:rsid w:val="00DA498A"/>
    <w:rsid w:val="00DA4BAD"/>
    <w:rsid w:val="00DA4C37"/>
    <w:rsid w:val="00DA4D69"/>
    <w:rsid w:val="00DA4F84"/>
    <w:rsid w:val="00DA5345"/>
    <w:rsid w:val="00DA5823"/>
    <w:rsid w:val="00DA615D"/>
    <w:rsid w:val="00DA7825"/>
    <w:rsid w:val="00DB02F2"/>
    <w:rsid w:val="00DB23EF"/>
    <w:rsid w:val="00DB3055"/>
    <w:rsid w:val="00DB33B0"/>
    <w:rsid w:val="00DB33C9"/>
    <w:rsid w:val="00DB3E75"/>
    <w:rsid w:val="00DB4B29"/>
    <w:rsid w:val="00DB5EFA"/>
    <w:rsid w:val="00DB6F67"/>
    <w:rsid w:val="00DB772E"/>
    <w:rsid w:val="00DB7FEF"/>
    <w:rsid w:val="00DC0CAC"/>
    <w:rsid w:val="00DC1097"/>
    <w:rsid w:val="00DC2236"/>
    <w:rsid w:val="00DC243C"/>
    <w:rsid w:val="00DC27F0"/>
    <w:rsid w:val="00DC3F58"/>
    <w:rsid w:val="00DC4104"/>
    <w:rsid w:val="00DC4822"/>
    <w:rsid w:val="00DC5E04"/>
    <w:rsid w:val="00DC6846"/>
    <w:rsid w:val="00DC78D2"/>
    <w:rsid w:val="00DC7E84"/>
    <w:rsid w:val="00DD0050"/>
    <w:rsid w:val="00DD0A69"/>
    <w:rsid w:val="00DD0F13"/>
    <w:rsid w:val="00DD16B9"/>
    <w:rsid w:val="00DD1A74"/>
    <w:rsid w:val="00DD3DD4"/>
    <w:rsid w:val="00DD4238"/>
    <w:rsid w:val="00DD7284"/>
    <w:rsid w:val="00DD7F5C"/>
    <w:rsid w:val="00DD7FA3"/>
    <w:rsid w:val="00DE0440"/>
    <w:rsid w:val="00DE0F01"/>
    <w:rsid w:val="00DE118E"/>
    <w:rsid w:val="00DE1D39"/>
    <w:rsid w:val="00DE1F01"/>
    <w:rsid w:val="00DE2082"/>
    <w:rsid w:val="00DE25D1"/>
    <w:rsid w:val="00DE2657"/>
    <w:rsid w:val="00DE2EAA"/>
    <w:rsid w:val="00DE3459"/>
    <w:rsid w:val="00DE373B"/>
    <w:rsid w:val="00DE3DF5"/>
    <w:rsid w:val="00DE3FCF"/>
    <w:rsid w:val="00DE4744"/>
    <w:rsid w:val="00DE4986"/>
    <w:rsid w:val="00DE5280"/>
    <w:rsid w:val="00DE53B6"/>
    <w:rsid w:val="00DE574D"/>
    <w:rsid w:val="00DE59D3"/>
    <w:rsid w:val="00DE61DC"/>
    <w:rsid w:val="00DE665A"/>
    <w:rsid w:val="00DE666B"/>
    <w:rsid w:val="00DE6733"/>
    <w:rsid w:val="00DE74EC"/>
    <w:rsid w:val="00DE7826"/>
    <w:rsid w:val="00DF0022"/>
    <w:rsid w:val="00DF02F7"/>
    <w:rsid w:val="00DF2B47"/>
    <w:rsid w:val="00DF2C19"/>
    <w:rsid w:val="00DF30F3"/>
    <w:rsid w:val="00DF42D8"/>
    <w:rsid w:val="00DF4526"/>
    <w:rsid w:val="00DF60ED"/>
    <w:rsid w:val="00DF6750"/>
    <w:rsid w:val="00DF79E5"/>
    <w:rsid w:val="00E0026A"/>
    <w:rsid w:val="00E00474"/>
    <w:rsid w:val="00E00A26"/>
    <w:rsid w:val="00E01711"/>
    <w:rsid w:val="00E01DD6"/>
    <w:rsid w:val="00E023E5"/>
    <w:rsid w:val="00E02EEC"/>
    <w:rsid w:val="00E02F4E"/>
    <w:rsid w:val="00E0301B"/>
    <w:rsid w:val="00E04404"/>
    <w:rsid w:val="00E044D3"/>
    <w:rsid w:val="00E0690B"/>
    <w:rsid w:val="00E078B0"/>
    <w:rsid w:val="00E07A72"/>
    <w:rsid w:val="00E07E94"/>
    <w:rsid w:val="00E07E97"/>
    <w:rsid w:val="00E10316"/>
    <w:rsid w:val="00E107B9"/>
    <w:rsid w:val="00E11D57"/>
    <w:rsid w:val="00E11E68"/>
    <w:rsid w:val="00E134A3"/>
    <w:rsid w:val="00E14B2F"/>
    <w:rsid w:val="00E157E1"/>
    <w:rsid w:val="00E1588D"/>
    <w:rsid w:val="00E15DBA"/>
    <w:rsid w:val="00E16B8F"/>
    <w:rsid w:val="00E174AE"/>
    <w:rsid w:val="00E17777"/>
    <w:rsid w:val="00E210CA"/>
    <w:rsid w:val="00E210E3"/>
    <w:rsid w:val="00E22054"/>
    <w:rsid w:val="00E22B3F"/>
    <w:rsid w:val="00E23690"/>
    <w:rsid w:val="00E239DF"/>
    <w:rsid w:val="00E23EFD"/>
    <w:rsid w:val="00E24047"/>
    <w:rsid w:val="00E25613"/>
    <w:rsid w:val="00E25ACB"/>
    <w:rsid w:val="00E25B79"/>
    <w:rsid w:val="00E263AD"/>
    <w:rsid w:val="00E26970"/>
    <w:rsid w:val="00E30C88"/>
    <w:rsid w:val="00E30ECE"/>
    <w:rsid w:val="00E3169E"/>
    <w:rsid w:val="00E31A44"/>
    <w:rsid w:val="00E33A8E"/>
    <w:rsid w:val="00E343AF"/>
    <w:rsid w:val="00E34E2E"/>
    <w:rsid w:val="00E34E9B"/>
    <w:rsid w:val="00E358A9"/>
    <w:rsid w:val="00E35E05"/>
    <w:rsid w:val="00E362A7"/>
    <w:rsid w:val="00E36406"/>
    <w:rsid w:val="00E36E26"/>
    <w:rsid w:val="00E4264C"/>
    <w:rsid w:val="00E42A5F"/>
    <w:rsid w:val="00E42C68"/>
    <w:rsid w:val="00E4402C"/>
    <w:rsid w:val="00E44163"/>
    <w:rsid w:val="00E4458F"/>
    <w:rsid w:val="00E4534D"/>
    <w:rsid w:val="00E455F8"/>
    <w:rsid w:val="00E45CAF"/>
    <w:rsid w:val="00E46D10"/>
    <w:rsid w:val="00E50A1B"/>
    <w:rsid w:val="00E50A4C"/>
    <w:rsid w:val="00E51747"/>
    <w:rsid w:val="00E51CC6"/>
    <w:rsid w:val="00E52548"/>
    <w:rsid w:val="00E52A57"/>
    <w:rsid w:val="00E52C11"/>
    <w:rsid w:val="00E531E5"/>
    <w:rsid w:val="00E55138"/>
    <w:rsid w:val="00E553ED"/>
    <w:rsid w:val="00E5571C"/>
    <w:rsid w:val="00E5584F"/>
    <w:rsid w:val="00E56505"/>
    <w:rsid w:val="00E574B1"/>
    <w:rsid w:val="00E57E92"/>
    <w:rsid w:val="00E57F13"/>
    <w:rsid w:val="00E61546"/>
    <w:rsid w:val="00E626AD"/>
    <w:rsid w:val="00E627E3"/>
    <w:rsid w:val="00E62E91"/>
    <w:rsid w:val="00E631A0"/>
    <w:rsid w:val="00E63506"/>
    <w:rsid w:val="00E63714"/>
    <w:rsid w:val="00E63952"/>
    <w:rsid w:val="00E63A44"/>
    <w:rsid w:val="00E63BE0"/>
    <w:rsid w:val="00E646C7"/>
    <w:rsid w:val="00E647BA"/>
    <w:rsid w:val="00E64A18"/>
    <w:rsid w:val="00E64EF2"/>
    <w:rsid w:val="00E65A7F"/>
    <w:rsid w:val="00E66AB0"/>
    <w:rsid w:val="00E677E9"/>
    <w:rsid w:val="00E7026E"/>
    <w:rsid w:val="00E70443"/>
    <w:rsid w:val="00E70469"/>
    <w:rsid w:val="00E7084E"/>
    <w:rsid w:val="00E72025"/>
    <w:rsid w:val="00E72EEF"/>
    <w:rsid w:val="00E73AF3"/>
    <w:rsid w:val="00E74591"/>
    <w:rsid w:val="00E747F9"/>
    <w:rsid w:val="00E76248"/>
    <w:rsid w:val="00E76580"/>
    <w:rsid w:val="00E76C32"/>
    <w:rsid w:val="00E7718C"/>
    <w:rsid w:val="00E77366"/>
    <w:rsid w:val="00E77DFF"/>
    <w:rsid w:val="00E8079D"/>
    <w:rsid w:val="00E81007"/>
    <w:rsid w:val="00E81D9D"/>
    <w:rsid w:val="00E82250"/>
    <w:rsid w:val="00E823E3"/>
    <w:rsid w:val="00E8261A"/>
    <w:rsid w:val="00E82A28"/>
    <w:rsid w:val="00E83620"/>
    <w:rsid w:val="00E845A5"/>
    <w:rsid w:val="00E8486B"/>
    <w:rsid w:val="00E85A29"/>
    <w:rsid w:val="00E85C95"/>
    <w:rsid w:val="00E86300"/>
    <w:rsid w:val="00E8668E"/>
    <w:rsid w:val="00E869E1"/>
    <w:rsid w:val="00E873B1"/>
    <w:rsid w:val="00E87D4F"/>
    <w:rsid w:val="00E90A09"/>
    <w:rsid w:val="00E90A0F"/>
    <w:rsid w:val="00E90A53"/>
    <w:rsid w:val="00E9188B"/>
    <w:rsid w:val="00E9242B"/>
    <w:rsid w:val="00E93352"/>
    <w:rsid w:val="00E9357C"/>
    <w:rsid w:val="00E94555"/>
    <w:rsid w:val="00E94E34"/>
    <w:rsid w:val="00E94EBE"/>
    <w:rsid w:val="00E973EB"/>
    <w:rsid w:val="00E97591"/>
    <w:rsid w:val="00E97CF6"/>
    <w:rsid w:val="00EA11D6"/>
    <w:rsid w:val="00EA16BC"/>
    <w:rsid w:val="00EA18EB"/>
    <w:rsid w:val="00EA20F9"/>
    <w:rsid w:val="00EA2870"/>
    <w:rsid w:val="00EA2B19"/>
    <w:rsid w:val="00EA2B89"/>
    <w:rsid w:val="00EA342D"/>
    <w:rsid w:val="00EA3B8F"/>
    <w:rsid w:val="00EA4D5D"/>
    <w:rsid w:val="00EA50AE"/>
    <w:rsid w:val="00EA61BE"/>
    <w:rsid w:val="00EA62FE"/>
    <w:rsid w:val="00EA652D"/>
    <w:rsid w:val="00EA67E8"/>
    <w:rsid w:val="00EA6916"/>
    <w:rsid w:val="00EA74CD"/>
    <w:rsid w:val="00EA7CF1"/>
    <w:rsid w:val="00EA7F00"/>
    <w:rsid w:val="00EB0C6F"/>
    <w:rsid w:val="00EB169B"/>
    <w:rsid w:val="00EB17F9"/>
    <w:rsid w:val="00EB1964"/>
    <w:rsid w:val="00EB1A5E"/>
    <w:rsid w:val="00EB22E4"/>
    <w:rsid w:val="00EB24FF"/>
    <w:rsid w:val="00EB27E8"/>
    <w:rsid w:val="00EB2FB2"/>
    <w:rsid w:val="00EB3728"/>
    <w:rsid w:val="00EB3CAC"/>
    <w:rsid w:val="00EB3D5B"/>
    <w:rsid w:val="00EB511E"/>
    <w:rsid w:val="00EB5540"/>
    <w:rsid w:val="00EB566D"/>
    <w:rsid w:val="00EB6205"/>
    <w:rsid w:val="00EB6424"/>
    <w:rsid w:val="00EB66D5"/>
    <w:rsid w:val="00EB6B17"/>
    <w:rsid w:val="00EB769E"/>
    <w:rsid w:val="00EB79C0"/>
    <w:rsid w:val="00EC0369"/>
    <w:rsid w:val="00EC0BFC"/>
    <w:rsid w:val="00EC0E50"/>
    <w:rsid w:val="00EC0F95"/>
    <w:rsid w:val="00EC1479"/>
    <w:rsid w:val="00EC14F3"/>
    <w:rsid w:val="00EC1FB3"/>
    <w:rsid w:val="00EC335E"/>
    <w:rsid w:val="00EC3A05"/>
    <w:rsid w:val="00EC437A"/>
    <w:rsid w:val="00EC5D74"/>
    <w:rsid w:val="00EC61C2"/>
    <w:rsid w:val="00EC63D4"/>
    <w:rsid w:val="00EC7E2E"/>
    <w:rsid w:val="00ED0799"/>
    <w:rsid w:val="00ED0BF9"/>
    <w:rsid w:val="00ED1DD9"/>
    <w:rsid w:val="00ED231B"/>
    <w:rsid w:val="00ED280C"/>
    <w:rsid w:val="00ED37F1"/>
    <w:rsid w:val="00ED3B51"/>
    <w:rsid w:val="00ED51DA"/>
    <w:rsid w:val="00ED532F"/>
    <w:rsid w:val="00ED622F"/>
    <w:rsid w:val="00ED6846"/>
    <w:rsid w:val="00ED78CF"/>
    <w:rsid w:val="00EE0204"/>
    <w:rsid w:val="00EE077D"/>
    <w:rsid w:val="00EE0C0B"/>
    <w:rsid w:val="00EE0C23"/>
    <w:rsid w:val="00EE1638"/>
    <w:rsid w:val="00EE21CD"/>
    <w:rsid w:val="00EE2EC3"/>
    <w:rsid w:val="00EE35E1"/>
    <w:rsid w:val="00EE4837"/>
    <w:rsid w:val="00EE50AC"/>
    <w:rsid w:val="00EE50D7"/>
    <w:rsid w:val="00EE5372"/>
    <w:rsid w:val="00EE600F"/>
    <w:rsid w:val="00EE6729"/>
    <w:rsid w:val="00EE6821"/>
    <w:rsid w:val="00EE700F"/>
    <w:rsid w:val="00EF0A35"/>
    <w:rsid w:val="00EF0B96"/>
    <w:rsid w:val="00EF0BCB"/>
    <w:rsid w:val="00EF0D82"/>
    <w:rsid w:val="00EF0EF3"/>
    <w:rsid w:val="00EF0FA5"/>
    <w:rsid w:val="00EF2536"/>
    <w:rsid w:val="00EF25FE"/>
    <w:rsid w:val="00EF292F"/>
    <w:rsid w:val="00EF3478"/>
    <w:rsid w:val="00EF47D9"/>
    <w:rsid w:val="00EF4D71"/>
    <w:rsid w:val="00EF650B"/>
    <w:rsid w:val="00EF6BBE"/>
    <w:rsid w:val="00EF79BE"/>
    <w:rsid w:val="00EF7FC8"/>
    <w:rsid w:val="00F00E96"/>
    <w:rsid w:val="00F0125D"/>
    <w:rsid w:val="00F01BB9"/>
    <w:rsid w:val="00F01DFE"/>
    <w:rsid w:val="00F01E5D"/>
    <w:rsid w:val="00F024FC"/>
    <w:rsid w:val="00F025EF"/>
    <w:rsid w:val="00F02AFD"/>
    <w:rsid w:val="00F035DC"/>
    <w:rsid w:val="00F039E2"/>
    <w:rsid w:val="00F03CF1"/>
    <w:rsid w:val="00F03F8C"/>
    <w:rsid w:val="00F05119"/>
    <w:rsid w:val="00F0513C"/>
    <w:rsid w:val="00F05663"/>
    <w:rsid w:val="00F0602F"/>
    <w:rsid w:val="00F0641F"/>
    <w:rsid w:val="00F0708B"/>
    <w:rsid w:val="00F07A50"/>
    <w:rsid w:val="00F07DB4"/>
    <w:rsid w:val="00F10193"/>
    <w:rsid w:val="00F1145C"/>
    <w:rsid w:val="00F11C6D"/>
    <w:rsid w:val="00F11FBE"/>
    <w:rsid w:val="00F12629"/>
    <w:rsid w:val="00F12A57"/>
    <w:rsid w:val="00F13605"/>
    <w:rsid w:val="00F13BEB"/>
    <w:rsid w:val="00F13D66"/>
    <w:rsid w:val="00F146D9"/>
    <w:rsid w:val="00F147EA"/>
    <w:rsid w:val="00F153D3"/>
    <w:rsid w:val="00F15F06"/>
    <w:rsid w:val="00F162DE"/>
    <w:rsid w:val="00F21482"/>
    <w:rsid w:val="00F2164A"/>
    <w:rsid w:val="00F21C1D"/>
    <w:rsid w:val="00F21FBA"/>
    <w:rsid w:val="00F220C7"/>
    <w:rsid w:val="00F22724"/>
    <w:rsid w:val="00F22C71"/>
    <w:rsid w:val="00F2367E"/>
    <w:rsid w:val="00F23719"/>
    <w:rsid w:val="00F239EE"/>
    <w:rsid w:val="00F239F4"/>
    <w:rsid w:val="00F23F5E"/>
    <w:rsid w:val="00F24CFD"/>
    <w:rsid w:val="00F25581"/>
    <w:rsid w:val="00F269A2"/>
    <w:rsid w:val="00F27EAF"/>
    <w:rsid w:val="00F30B2D"/>
    <w:rsid w:val="00F30CAE"/>
    <w:rsid w:val="00F30FB2"/>
    <w:rsid w:val="00F316D8"/>
    <w:rsid w:val="00F32349"/>
    <w:rsid w:val="00F334C0"/>
    <w:rsid w:val="00F341D0"/>
    <w:rsid w:val="00F342E2"/>
    <w:rsid w:val="00F342FE"/>
    <w:rsid w:val="00F35303"/>
    <w:rsid w:val="00F36396"/>
    <w:rsid w:val="00F365A2"/>
    <w:rsid w:val="00F365ED"/>
    <w:rsid w:val="00F36794"/>
    <w:rsid w:val="00F36C88"/>
    <w:rsid w:val="00F36CB6"/>
    <w:rsid w:val="00F37B03"/>
    <w:rsid w:val="00F37D28"/>
    <w:rsid w:val="00F37F5F"/>
    <w:rsid w:val="00F37F65"/>
    <w:rsid w:val="00F400A4"/>
    <w:rsid w:val="00F416D7"/>
    <w:rsid w:val="00F426B6"/>
    <w:rsid w:val="00F4373E"/>
    <w:rsid w:val="00F44272"/>
    <w:rsid w:val="00F44765"/>
    <w:rsid w:val="00F44D22"/>
    <w:rsid w:val="00F45092"/>
    <w:rsid w:val="00F45E7D"/>
    <w:rsid w:val="00F47190"/>
    <w:rsid w:val="00F47719"/>
    <w:rsid w:val="00F47C97"/>
    <w:rsid w:val="00F5090D"/>
    <w:rsid w:val="00F5092C"/>
    <w:rsid w:val="00F5111A"/>
    <w:rsid w:val="00F5281D"/>
    <w:rsid w:val="00F528D9"/>
    <w:rsid w:val="00F52F3A"/>
    <w:rsid w:val="00F5367D"/>
    <w:rsid w:val="00F53AA5"/>
    <w:rsid w:val="00F54052"/>
    <w:rsid w:val="00F545A7"/>
    <w:rsid w:val="00F5462A"/>
    <w:rsid w:val="00F55B6B"/>
    <w:rsid w:val="00F55F17"/>
    <w:rsid w:val="00F562D6"/>
    <w:rsid w:val="00F5657C"/>
    <w:rsid w:val="00F569F7"/>
    <w:rsid w:val="00F56E62"/>
    <w:rsid w:val="00F5724A"/>
    <w:rsid w:val="00F577FD"/>
    <w:rsid w:val="00F60279"/>
    <w:rsid w:val="00F60439"/>
    <w:rsid w:val="00F60EE9"/>
    <w:rsid w:val="00F6124C"/>
    <w:rsid w:val="00F6133D"/>
    <w:rsid w:val="00F613B6"/>
    <w:rsid w:val="00F620E6"/>
    <w:rsid w:val="00F6254A"/>
    <w:rsid w:val="00F6277C"/>
    <w:rsid w:val="00F62854"/>
    <w:rsid w:val="00F62EAE"/>
    <w:rsid w:val="00F6371A"/>
    <w:rsid w:val="00F642CD"/>
    <w:rsid w:val="00F64627"/>
    <w:rsid w:val="00F649C9"/>
    <w:rsid w:val="00F65CF9"/>
    <w:rsid w:val="00F6606B"/>
    <w:rsid w:val="00F660A7"/>
    <w:rsid w:val="00F66DD7"/>
    <w:rsid w:val="00F672DB"/>
    <w:rsid w:val="00F678B9"/>
    <w:rsid w:val="00F703E1"/>
    <w:rsid w:val="00F708DA"/>
    <w:rsid w:val="00F70974"/>
    <w:rsid w:val="00F713B5"/>
    <w:rsid w:val="00F71FDB"/>
    <w:rsid w:val="00F734EB"/>
    <w:rsid w:val="00F74298"/>
    <w:rsid w:val="00F74506"/>
    <w:rsid w:val="00F751DF"/>
    <w:rsid w:val="00F753D2"/>
    <w:rsid w:val="00F75A7D"/>
    <w:rsid w:val="00F76459"/>
    <w:rsid w:val="00F7665D"/>
    <w:rsid w:val="00F76875"/>
    <w:rsid w:val="00F76C17"/>
    <w:rsid w:val="00F77507"/>
    <w:rsid w:val="00F80432"/>
    <w:rsid w:val="00F804BC"/>
    <w:rsid w:val="00F809EC"/>
    <w:rsid w:val="00F80BEF"/>
    <w:rsid w:val="00F81E26"/>
    <w:rsid w:val="00F83F4B"/>
    <w:rsid w:val="00F84079"/>
    <w:rsid w:val="00F8411C"/>
    <w:rsid w:val="00F845B2"/>
    <w:rsid w:val="00F84897"/>
    <w:rsid w:val="00F84D9C"/>
    <w:rsid w:val="00F869FF"/>
    <w:rsid w:val="00F87075"/>
    <w:rsid w:val="00F91A78"/>
    <w:rsid w:val="00F91BA3"/>
    <w:rsid w:val="00F922E4"/>
    <w:rsid w:val="00F9465C"/>
    <w:rsid w:val="00F959DA"/>
    <w:rsid w:val="00F9603D"/>
    <w:rsid w:val="00F9639E"/>
    <w:rsid w:val="00F964A5"/>
    <w:rsid w:val="00F96E10"/>
    <w:rsid w:val="00F97AA9"/>
    <w:rsid w:val="00F97AD6"/>
    <w:rsid w:val="00FA1065"/>
    <w:rsid w:val="00FA121E"/>
    <w:rsid w:val="00FA14E8"/>
    <w:rsid w:val="00FA1853"/>
    <w:rsid w:val="00FA28B2"/>
    <w:rsid w:val="00FA2C41"/>
    <w:rsid w:val="00FA30E9"/>
    <w:rsid w:val="00FA4002"/>
    <w:rsid w:val="00FA473F"/>
    <w:rsid w:val="00FA5081"/>
    <w:rsid w:val="00FA57E4"/>
    <w:rsid w:val="00FA5BFD"/>
    <w:rsid w:val="00FA5D01"/>
    <w:rsid w:val="00FA6308"/>
    <w:rsid w:val="00FA6390"/>
    <w:rsid w:val="00FA6E7F"/>
    <w:rsid w:val="00FA7954"/>
    <w:rsid w:val="00FA7AE0"/>
    <w:rsid w:val="00FB05ED"/>
    <w:rsid w:val="00FB07AF"/>
    <w:rsid w:val="00FB0A48"/>
    <w:rsid w:val="00FB0FB7"/>
    <w:rsid w:val="00FB1FFB"/>
    <w:rsid w:val="00FB2212"/>
    <w:rsid w:val="00FB2751"/>
    <w:rsid w:val="00FB2953"/>
    <w:rsid w:val="00FB2A5C"/>
    <w:rsid w:val="00FB3B4F"/>
    <w:rsid w:val="00FB43F0"/>
    <w:rsid w:val="00FB66D8"/>
    <w:rsid w:val="00FB6F09"/>
    <w:rsid w:val="00FB72C1"/>
    <w:rsid w:val="00FB74DB"/>
    <w:rsid w:val="00FB76CA"/>
    <w:rsid w:val="00FB7E97"/>
    <w:rsid w:val="00FC1052"/>
    <w:rsid w:val="00FC1E7B"/>
    <w:rsid w:val="00FC2760"/>
    <w:rsid w:val="00FC36D7"/>
    <w:rsid w:val="00FC3A65"/>
    <w:rsid w:val="00FC4A2A"/>
    <w:rsid w:val="00FC5259"/>
    <w:rsid w:val="00FC5995"/>
    <w:rsid w:val="00FC5BDC"/>
    <w:rsid w:val="00FC678B"/>
    <w:rsid w:val="00FC682B"/>
    <w:rsid w:val="00FC7007"/>
    <w:rsid w:val="00FC718C"/>
    <w:rsid w:val="00FC71C8"/>
    <w:rsid w:val="00FC7B3F"/>
    <w:rsid w:val="00FC7C3D"/>
    <w:rsid w:val="00FD098F"/>
    <w:rsid w:val="00FD0995"/>
    <w:rsid w:val="00FD0B2D"/>
    <w:rsid w:val="00FD0F55"/>
    <w:rsid w:val="00FD10F6"/>
    <w:rsid w:val="00FD1BA1"/>
    <w:rsid w:val="00FD1C0F"/>
    <w:rsid w:val="00FD1CBE"/>
    <w:rsid w:val="00FD2160"/>
    <w:rsid w:val="00FD2325"/>
    <w:rsid w:val="00FD2B37"/>
    <w:rsid w:val="00FD2E83"/>
    <w:rsid w:val="00FD3852"/>
    <w:rsid w:val="00FD4226"/>
    <w:rsid w:val="00FD4BBB"/>
    <w:rsid w:val="00FD4E59"/>
    <w:rsid w:val="00FD5CA2"/>
    <w:rsid w:val="00FD6790"/>
    <w:rsid w:val="00FD7B6F"/>
    <w:rsid w:val="00FE00A6"/>
    <w:rsid w:val="00FE0458"/>
    <w:rsid w:val="00FE0C8D"/>
    <w:rsid w:val="00FE10EC"/>
    <w:rsid w:val="00FE1B8B"/>
    <w:rsid w:val="00FE1ED8"/>
    <w:rsid w:val="00FE1FEF"/>
    <w:rsid w:val="00FE2023"/>
    <w:rsid w:val="00FE288C"/>
    <w:rsid w:val="00FE3756"/>
    <w:rsid w:val="00FE3BD4"/>
    <w:rsid w:val="00FE3C60"/>
    <w:rsid w:val="00FE3DAC"/>
    <w:rsid w:val="00FE4134"/>
    <w:rsid w:val="00FE46E6"/>
    <w:rsid w:val="00FE48C3"/>
    <w:rsid w:val="00FE5674"/>
    <w:rsid w:val="00FE5BA2"/>
    <w:rsid w:val="00FE5C61"/>
    <w:rsid w:val="00FE6752"/>
    <w:rsid w:val="00FE6A9D"/>
    <w:rsid w:val="00FE7E35"/>
    <w:rsid w:val="00FF0083"/>
    <w:rsid w:val="00FF0483"/>
    <w:rsid w:val="00FF1523"/>
    <w:rsid w:val="00FF1644"/>
    <w:rsid w:val="00FF19C6"/>
    <w:rsid w:val="00FF1F1D"/>
    <w:rsid w:val="00FF29E4"/>
    <w:rsid w:val="00FF2A8C"/>
    <w:rsid w:val="00FF2CE1"/>
    <w:rsid w:val="00FF325C"/>
    <w:rsid w:val="00FF3554"/>
    <w:rsid w:val="00FF3C9C"/>
    <w:rsid w:val="00FF4531"/>
    <w:rsid w:val="00FF5FDC"/>
    <w:rsid w:val="00FF64FD"/>
    <w:rsid w:val="00FF6516"/>
    <w:rsid w:val="00FF6794"/>
    <w:rsid w:val="00FF6923"/>
    <w:rsid w:val="00FF6E37"/>
    <w:rsid w:val="00FF7461"/>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798AF57A-9280-44D9-9990-9015063F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aliases w:val="Meu,Answer Bullet,Itemização"/>
    <w:basedOn w:val="Normal"/>
    <w:link w:val="PargrafodaListaChar"/>
    <w:uiPriority w:val="34"/>
    <w:qFormat/>
    <w:rsid w:val="00527540"/>
    <w:pPr>
      <w:ind w:left="720"/>
      <w:contextualSpacing/>
    </w:pPr>
  </w:style>
  <w:style w:type="paragraph" w:customStyle="1" w:styleId="03-SubttulodeNota">
    <w:name w:val="03-Subtítulo de Nota"/>
    <w:basedOn w:val="05-Textonormal"/>
    <w:next w:val="Normal"/>
    <w:uiPriority w:val="99"/>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uiPriority w:val="99"/>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25ACB"/>
    <w:pPr>
      <w:tabs>
        <w:tab w:val="right" w:leader="dot" w:pos="9628"/>
      </w:tabs>
      <w:spacing w:after="100"/>
    </w:pPr>
    <w:rPr>
      <w:rFonts w:ascii="Arial" w:hAnsi="Arial" w:cs="Arial"/>
      <w:b/>
      <w:noProof/>
      <w:color w:val="1F3864" w:themeColor="accent1" w:themeShade="80"/>
      <w:sz w:val="17"/>
      <w:szCs w:val="17"/>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21"/>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22"/>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23"/>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24"/>
      </w:numPr>
      <w:tabs>
        <w:tab w:val="clear" w:pos="851"/>
        <w:tab w:val="num" w:pos="360"/>
        <w:tab w:val="left" w:pos="1418"/>
      </w:tabs>
      <w:ind w:left="720" w:hanging="283"/>
    </w:pPr>
  </w:style>
  <w:style w:type="paragraph" w:styleId="Textodenotaderodap">
    <w:name w:val="footnote text"/>
    <w:basedOn w:val="Normal"/>
    <w:link w:val="TextodenotaderodapChar"/>
    <w:uiPriority w:val="99"/>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styleId="MenoPendente">
    <w:name w:val="Unresolved Mention"/>
    <w:basedOn w:val="Fontepargpadro"/>
    <w:uiPriority w:val="99"/>
    <w:semiHidden/>
    <w:unhideWhenUsed/>
    <w:rsid w:val="00246602"/>
    <w:rPr>
      <w:color w:val="605E5C"/>
      <w:shd w:val="clear" w:color="auto" w:fill="E1DFDD"/>
    </w:rPr>
  </w:style>
  <w:style w:type="table" w:customStyle="1" w:styleId="TabeladeLista6Colorida-nfase54">
    <w:name w:val="Tabela de Lista 6 Colorida - Ênfase 54"/>
    <w:basedOn w:val="Tabelanormal"/>
    <w:next w:val="TabeladeLista6Colorida-nfase5"/>
    <w:uiPriority w:val="51"/>
    <w:rsid w:val="001563BD"/>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r-formataoHTML">
    <w:name w:val="HTML Preformatted"/>
    <w:basedOn w:val="Normal"/>
    <w:link w:val="Pr-formataoHTMLChar"/>
    <w:uiPriority w:val="99"/>
    <w:semiHidden/>
    <w:unhideWhenUsed/>
    <w:rsid w:val="004109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109E0"/>
    <w:rPr>
      <w:rFonts w:ascii="Consolas" w:hAnsi="Consolas"/>
      <w:sz w:val="20"/>
      <w:szCs w:val="20"/>
    </w:rPr>
  </w:style>
  <w:style w:type="paragraph" w:customStyle="1" w:styleId="NoParagraphStyle">
    <w:name w:val="[No Paragraph Style]"/>
    <w:rsid w:val="00167899"/>
    <w:pPr>
      <w:widowControl w:val="0"/>
      <w:autoSpaceDE w:val="0"/>
      <w:autoSpaceDN w:val="0"/>
      <w:adjustRightInd w:val="0"/>
      <w:spacing w:after="0"/>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167899"/>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167899"/>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val="en-GB" w:eastAsia="en-NZ"/>
    </w:rPr>
  </w:style>
  <w:style w:type="paragraph" w:customStyle="1" w:styleId="TableParagraph">
    <w:name w:val="Table Paragraph"/>
    <w:basedOn w:val="Normal"/>
    <w:uiPriority w:val="1"/>
    <w:qFormat/>
    <w:rsid w:val="00167899"/>
    <w:pPr>
      <w:widowControl w:val="0"/>
      <w:autoSpaceDE w:val="0"/>
      <w:autoSpaceDN w:val="0"/>
      <w:spacing w:before="119" w:after="0" w:line="240" w:lineRule="auto"/>
      <w:ind w:left="112"/>
      <w:jc w:val="both"/>
    </w:pPr>
    <w:rPr>
      <w:rFonts w:ascii="Arial" w:eastAsia="Arial" w:hAnsi="Arial" w:cs="Arial"/>
      <w:sz w:val="22"/>
      <w:szCs w:val="22"/>
      <w:lang w:eastAsia="pt-BR"/>
    </w:rPr>
  </w:style>
  <w:style w:type="paragraph" w:customStyle="1" w:styleId="Bodycopy95ptSpreads">
    <w:name w:val="Bodycopy 9.5pt (Spreads)"/>
    <w:basedOn w:val="NoParagraphStyle"/>
    <w:uiPriority w:val="99"/>
    <w:rsid w:val="00167899"/>
    <w:pPr>
      <w:suppressAutoHyphens/>
      <w:spacing w:after="120" w:line="240" w:lineRule="atLeast"/>
    </w:pPr>
    <w:rPr>
      <w:rFonts w:ascii="Univers LT Std 45 Light" w:hAnsi="Univers LT Std 45 Light" w:cs="Univers LT Std 45 Light"/>
      <w:sz w:val="19"/>
      <w:szCs w:val="19"/>
      <w:lang w:val="en-GB"/>
    </w:rPr>
  </w:style>
  <w:style w:type="paragraph" w:customStyle="1" w:styleId="TableHeadSpreads">
    <w:name w:val="Table Head (Spreads)"/>
    <w:basedOn w:val="Normal"/>
    <w:uiPriority w:val="99"/>
    <w:rsid w:val="00167899"/>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paragraph" w:customStyle="1" w:styleId="Bullets95ptSpreads">
    <w:name w:val="Bullets 9.5pt (Spreads)"/>
    <w:basedOn w:val="Bodycopy95ptSpreads"/>
    <w:uiPriority w:val="99"/>
    <w:rsid w:val="00167899"/>
    <w:pPr>
      <w:numPr>
        <w:numId w:val="56"/>
      </w:numPr>
    </w:pPr>
  </w:style>
  <w:style w:type="character" w:customStyle="1" w:styleId="PargrafodaListaChar">
    <w:name w:val="Parágrafo da Lista Char"/>
    <w:aliases w:val="Meu Char,Answer Bullet Char,Itemização Char"/>
    <w:basedOn w:val="Fontepargpadro"/>
    <w:link w:val="PargrafodaLista"/>
    <w:uiPriority w:val="34"/>
    <w:qFormat/>
    <w:rsid w:val="0016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14984273">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 w:id="1125854980">
      <w:bodyDiv w:val="1"/>
      <w:marLeft w:val="0"/>
      <w:marRight w:val="0"/>
      <w:marTop w:val="0"/>
      <w:marBottom w:val="0"/>
      <w:divBdr>
        <w:top w:val="none" w:sz="0" w:space="0" w:color="auto"/>
        <w:left w:val="none" w:sz="0" w:space="0" w:color="auto"/>
        <w:bottom w:val="none" w:sz="0" w:space="0" w:color="auto"/>
        <w:right w:val="none" w:sz="0" w:space="0" w:color="auto"/>
      </w:divBdr>
    </w:div>
    <w:div w:id="1309165206">
      <w:bodyDiv w:val="1"/>
      <w:marLeft w:val="0"/>
      <w:marRight w:val="0"/>
      <w:marTop w:val="0"/>
      <w:marBottom w:val="0"/>
      <w:divBdr>
        <w:top w:val="none" w:sz="0" w:space="0" w:color="auto"/>
        <w:left w:val="none" w:sz="0" w:space="0" w:color="auto"/>
        <w:bottom w:val="none" w:sz="0" w:space="0" w:color="auto"/>
        <w:right w:val="none" w:sz="0" w:space="0" w:color="auto"/>
      </w:divBdr>
    </w:div>
    <w:div w:id="1404717593">
      <w:bodyDiv w:val="1"/>
      <w:marLeft w:val="0"/>
      <w:marRight w:val="0"/>
      <w:marTop w:val="0"/>
      <w:marBottom w:val="0"/>
      <w:divBdr>
        <w:top w:val="none" w:sz="0" w:space="0" w:color="auto"/>
        <w:left w:val="none" w:sz="0" w:space="0" w:color="auto"/>
        <w:bottom w:val="none" w:sz="0" w:space="0" w:color="auto"/>
        <w:right w:val="none" w:sz="0" w:space="0" w:color="auto"/>
      </w:divBdr>
    </w:div>
    <w:div w:id="1958172551">
      <w:bodyDiv w:val="1"/>
      <w:marLeft w:val="0"/>
      <w:marRight w:val="0"/>
      <w:marTop w:val="0"/>
      <w:marBottom w:val="0"/>
      <w:divBdr>
        <w:top w:val="none" w:sz="0" w:space="0" w:color="auto"/>
        <w:left w:val="none" w:sz="0" w:space="0" w:color="auto"/>
        <w:bottom w:val="none" w:sz="0" w:space="0" w:color="auto"/>
        <w:right w:val="none" w:sz="0" w:space="0" w:color="auto"/>
      </w:divBdr>
    </w:div>
    <w:div w:id="2047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inguee.com.br/ingles-portugues/traducao/representation.html"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s://www.bbseguridaderi.com.br/sustentabilidade-e-governanca/administracao-e-comites/"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 Id="rId8"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9500-D1DD-413A-AAC7-D3D2C255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72</Pages>
  <Words>32276</Words>
  <Characters>174293</Characters>
  <Application>Microsoft Office Word</Application>
  <DocSecurity>0</DocSecurity>
  <Lines>1452</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206157</CharactersWithSpaces>
  <SharedDoc>false</SharedDoc>
  <HLinks>
    <vt:vector size="216" baseType="variant">
      <vt:variant>
        <vt:i4>983126</vt:i4>
      </vt:variant>
      <vt:variant>
        <vt:i4>219</vt:i4>
      </vt:variant>
      <vt:variant>
        <vt:i4>0</vt:i4>
      </vt:variant>
      <vt:variant>
        <vt:i4>5</vt:i4>
      </vt:variant>
      <vt:variant>
        <vt:lpwstr>https://www.linguee.com.br/ingles-portugues/traducao/representation.html</vt:lpwstr>
      </vt:variant>
      <vt:variant>
        <vt:lpwstr/>
      </vt:variant>
      <vt:variant>
        <vt:i4>1900594</vt:i4>
      </vt:variant>
      <vt:variant>
        <vt:i4>206</vt:i4>
      </vt:variant>
      <vt:variant>
        <vt:i4>0</vt:i4>
      </vt:variant>
      <vt:variant>
        <vt:i4>5</vt:i4>
      </vt:variant>
      <vt:variant>
        <vt:lpwstr/>
      </vt:variant>
      <vt:variant>
        <vt:lpwstr>_Toc190103319</vt:lpwstr>
      </vt:variant>
      <vt:variant>
        <vt:i4>1900594</vt:i4>
      </vt:variant>
      <vt:variant>
        <vt:i4>200</vt:i4>
      </vt:variant>
      <vt:variant>
        <vt:i4>0</vt:i4>
      </vt:variant>
      <vt:variant>
        <vt:i4>5</vt:i4>
      </vt:variant>
      <vt:variant>
        <vt:lpwstr/>
      </vt:variant>
      <vt:variant>
        <vt:lpwstr>_Toc190103318</vt:lpwstr>
      </vt:variant>
      <vt:variant>
        <vt:i4>1900594</vt:i4>
      </vt:variant>
      <vt:variant>
        <vt:i4>194</vt:i4>
      </vt:variant>
      <vt:variant>
        <vt:i4>0</vt:i4>
      </vt:variant>
      <vt:variant>
        <vt:i4>5</vt:i4>
      </vt:variant>
      <vt:variant>
        <vt:lpwstr/>
      </vt:variant>
      <vt:variant>
        <vt:lpwstr>_Toc190103317</vt:lpwstr>
      </vt:variant>
      <vt:variant>
        <vt:i4>1900594</vt:i4>
      </vt:variant>
      <vt:variant>
        <vt:i4>188</vt:i4>
      </vt:variant>
      <vt:variant>
        <vt:i4>0</vt:i4>
      </vt:variant>
      <vt:variant>
        <vt:i4>5</vt:i4>
      </vt:variant>
      <vt:variant>
        <vt:lpwstr/>
      </vt:variant>
      <vt:variant>
        <vt:lpwstr>_Toc190103316</vt:lpwstr>
      </vt:variant>
      <vt:variant>
        <vt:i4>1900594</vt:i4>
      </vt:variant>
      <vt:variant>
        <vt:i4>182</vt:i4>
      </vt:variant>
      <vt:variant>
        <vt:i4>0</vt:i4>
      </vt:variant>
      <vt:variant>
        <vt:i4>5</vt:i4>
      </vt:variant>
      <vt:variant>
        <vt:lpwstr/>
      </vt:variant>
      <vt:variant>
        <vt:lpwstr>_Toc190103315</vt:lpwstr>
      </vt:variant>
      <vt:variant>
        <vt:i4>1900594</vt:i4>
      </vt:variant>
      <vt:variant>
        <vt:i4>176</vt:i4>
      </vt:variant>
      <vt:variant>
        <vt:i4>0</vt:i4>
      </vt:variant>
      <vt:variant>
        <vt:i4>5</vt:i4>
      </vt:variant>
      <vt:variant>
        <vt:lpwstr/>
      </vt:variant>
      <vt:variant>
        <vt:lpwstr>_Toc190103314</vt:lpwstr>
      </vt:variant>
      <vt:variant>
        <vt:i4>1900594</vt:i4>
      </vt:variant>
      <vt:variant>
        <vt:i4>170</vt:i4>
      </vt:variant>
      <vt:variant>
        <vt:i4>0</vt:i4>
      </vt:variant>
      <vt:variant>
        <vt:i4>5</vt:i4>
      </vt:variant>
      <vt:variant>
        <vt:lpwstr/>
      </vt:variant>
      <vt:variant>
        <vt:lpwstr>_Toc190103313</vt:lpwstr>
      </vt:variant>
      <vt:variant>
        <vt:i4>1900594</vt:i4>
      </vt:variant>
      <vt:variant>
        <vt:i4>164</vt:i4>
      </vt:variant>
      <vt:variant>
        <vt:i4>0</vt:i4>
      </vt:variant>
      <vt:variant>
        <vt:i4>5</vt:i4>
      </vt:variant>
      <vt:variant>
        <vt:lpwstr/>
      </vt:variant>
      <vt:variant>
        <vt:lpwstr>_Toc190103312</vt:lpwstr>
      </vt:variant>
      <vt:variant>
        <vt:i4>1900594</vt:i4>
      </vt:variant>
      <vt:variant>
        <vt:i4>158</vt:i4>
      </vt:variant>
      <vt:variant>
        <vt:i4>0</vt:i4>
      </vt:variant>
      <vt:variant>
        <vt:i4>5</vt:i4>
      </vt:variant>
      <vt:variant>
        <vt:lpwstr/>
      </vt:variant>
      <vt:variant>
        <vt:lpwstr>_Toc190103311</vt:lpwstr>
      </vt:variant>
      <vt:variant>
        <vt:i4>1900594</vt:i4>
      </vt:variant>
      <vt:variant>
        <vt:i4>152</vt:i4>
      </vt:variant>
      <vt:variant>
        <vt:i4>0</vt:i4>
      </vt:variant>
      <vt:variant>
        <vt:i4>5</vt:i4>
      </vt:variant>
      <vt:variant>
        <vt:lpwstr/>
      </vt:variant>
      <vt:variant>
        <vt:lpwstr>_Toc190103310</vt:lpwstr>
      </vt:variant>
      <vt:variant>
        <vt:i4>1835058</vt:i4>
      </vt:variant>
      <vt:variant>
        <vt:i4>146</vt:i4>
      </vt:variant>
      <vt:variant>
        <vt:i4>0</vt:i4>
      </vt:variant>
      <vt:variant>
        <vt:i4>5</vt:i4>
      </vt:variant>
      <vt:variant>
        <vt:lpwstr/>
      </vt:variant>
      <vt:variant>
        <vt:lpwstr>_Toc190103309</vt:lpwstr>
      </vt:variant>
      <vt:variant>
        <vt:i4>1835058</vt:i4>
      </vt:variant>
      <vt:variant>
        <vt:i4>140</vt:i4>
      </vt:variant>
      <vt:variant>
        <vt:i4>0</vt:i4>
      </vt:variant>
      <vt:variant>
        <vt:i4>5</vt:i4>
      </vt:variant>
      <vt:variant>
        <vt:lpwstr/>
      </vt:variant>
      <vt:variant>
        <vt:lpwstr>_Toc190103308</vt:lpwstr>
      </vt:variant>
      <vt:variant>
        <vt:i4>1835058</vt:i4>
      </vt:variant>
      <vt:variant>
        <vt:i4>134</vt:i4>
      </vt:variant>
      <vt:variant>
        <vt:i4>0</vt:i4>
      </vt:variant>
      <vt:variant>
        <vt:i4>5</vt:i4>
      </vt:variant>
      <vt:variant>
        <vt:lpwstr/>
      </vt:variant>
      <vt:variant>
        <vt:lpwstr>_Toc190103307</vt:lpwstr>
      </vt:variant>
      <vt:variant>
        <vt:i4>1835058</vt:i4>
      </vt:variant>
      <vt:variant>
        <vt:i4>128</vt:i4>
      </vt:variant>
      <vt:variant>
        <vt:i4>0</vt:i4>
      </vt:variant>
      <vt:variant>
        <vt:i4>5</vt:i4>
      </vt:variant>
      <vt:variant>
        <vt:lpwstr/>
      </vt:variant>
      <vt:variant>
        <vt:lpwstr>_Toc190103306</vt:lpwstr>
      </vt:variant>
      <vt:variant>
        <vt:i4>1835058</vt:i4>
      </vt:variant>
      <vt:variant>
        <vt:i4>122</vt:i4>
      </vt:variant>
      <vt:variant>
        <vt:i4>0</vt:i4>
      </vt:variant>
      <vt:variant>
        <vt:i4>5</vt:i4>
      </vt:variant>
      <vt:variant>
        <vt:lpwstr/>
      </vt:variant>
      <vt:variant>
        <vt:lpwstr>_Toc190103305</vt:lpwstr>
      </vt:variant>
      <vt:variant>
        <vt:i4>1835058</vt:i4>
      </vt:variant>
      <vt:variant>
        <vt:i4>116</vt:i4>
      </vt:variant>
      <vt:variant>
        <vt:i4>0</vt:i4>
      </vt:variant>
      <vt:variant>
        <vt:i4>5</vt:i4>
      </vt:variant>
      <vt:variant>
        <vt:lpwstr/>
      </vt:variant>
      <vt:variant>
        <vt:lpwstr>_Toc190103304</vt:lpwstr>
      </vt:variant>
      <vt:variant>
        <vt:i4>1835058</vt:i4>
      </vt:variant>
      <vt:variant>
        <vt:i4>110</vt:i4>
      </vt:variant>
      <vt:variant>
        <vt:i4>0</vt:i4>
      </vt:variant>
      <vt:variant>
        <vt:i4>5</vt:i4>
      </vt:variant>
      <vt:variant>
        <vt:lpwstr/>
      </vt:variant>
      <vt:variant>
        <vt:lpwstr>_Toc190103303</vt:lpwstr>
      </vt:variant>
      <vt:variant>
        <vt:i4>1835058</vt:i4>
      </vt:variant>
      <vt:variant>
        <vt:i4>104</vt:i4>
      </vt:variant>
      <vt:variant>
        <vt:i4>0</vt:i4>
      </vt:variant>
      <vt:variant>
        <vt:i4>5</vt:i4>
      </vt:variant>
      <vt:variant>
        <vt:lpwstr/>
      </vt:variant>
      <vt:variant>
        <vt:lpwstr>_Toc190103302</vt:lpwstr>
      </vt:variant>
      <vt:variant>
        <vt:i4>1835058</vt:i4>
      </vt:variant>
      <vt:variant>
        <vt:i4>98</vt:i4>
      </vt:variant>
      <vt:variant>
        <vt:i4>0</vt:i4>
      </vt:variant>
      <vt:variant>
        <vt:i4>5</vt:i4>
      </vt:variant>
      <vt:variant>
        <vt:lpwstr/>
      </vt:variant>
      <vt:variant>
        <vt:lpwstr>_Toc190103301</vt:lpwstr>
      </vt:variant>
      <vt:variant>
        <vt:i4>1835058</vt:i4>
      </vt:variant>
      <vt:variant>
        <vt:i4>92</vt:i4>
      </vt:variant>
      <vt:variant>
        <vt:i4>0</vt:i4>
      </vt:variant>
      <vt:variant>
        <vt:i4>5</vt:i4>
      </vt:variant>
      <vt:variant>
        <vt:lpwstr/>
      </vt:variant>
      <vt:variant>
        <vt:lpwstr>_Toc190103300</vt:lpwstr>
      </vt:variant>
      <vt:variant>
        <vt:i4>1376307</vt:i4>
      </vt:variant>
      <vt:variant>
        <vt:i4>86</vt:i4>
      </vt:variant>
      <vt:variant>
        <vt:i4>0</vt:i4>
      </vt:variant>
      <vt:variant>
        <vt:i4>5</vt:i4>
      </vt:variant>
      <vt:variant>
        <vt:lpwstr/>
      </vt:variant>
      <vt:variant>
        <vt:lpwstr>_Toc190103299</vt:lpwstr>
      </vt:variant>
      <vt:variant>
        <vt:i4>1376307</vt:i4>
      </vt:variant>
      <vt:variant>
        <vt:i4>80</vt:i4>
      </vt:variant>
      <vt:variant>
        <vt:i4>0</vt:i4>
      </vt:variant>
      <vt:variant>
        <vt:i4>5</vt:i4>
      </vt:variant>
      <vt:variant>
        <vt:lpwstr/>
      </vt:variant>
      <vt:variant>
        <vt:lpwstr>_Toc190103298</vt:lpwstr>
      </vt:variant>
      <vt:variant>
        <vt:i4>1376307</vt:i4>
      </vt:variant>
      <vt:variant>
        <vt:i4>74</vt:i4>
      </vt:variant>
      <vt:variant>
        <vt:i4>0</vt:i4>
      </vt:variant>
      <vt:variant>
        <vt:i4>5</vt:i4>
      </vt:variant>
      <vt:variant>
        <vt:lpwstr/>
      </vt:variant>
      <vt:variant>
        <vt:lpwstr>_Toc190103297</vt:lpwstr>
      </vt:variant>
      <vt:variant>
        <vt:i4>1376307</vt:i4>
      </vt:variant>
      <vt:variant>
        <vt:i4>68</vt:i4>
      </vt:variant>
      <vt:variant>
        <vt:i4>0</vt:i4>
      </vt:variant>
      <vt:variant>
        <vt:i4>5</vt:i4>
      </vt:variant>
      <vt:variant>
        <vt:lpwstr/>
      </vt:variant>
      <vt:variant>
        <vt:lpwstr>_Toc190103296</vt:lpwstr>
      </vt:variant>
      <vt:variant>
        <vt:i4>1376307</vt:i4>
      </vt:variant>
      <vt:variant>
        <vt:i4>62</vt:i4>
      </vt:variant>
      <vt:variant>
        <vt:i4>0</vt:i4>
      </vt:variant>
      <vt:variant>
        <vt:i4>5</vt:i4>
      </vt:variant>
      <vt:variant>
        <vt:lpwstr/>
      </vt:variant>
      <vt:variant>
        <vt:lpwstr>_Toc190103295</vt:lpwstr>
      </vt:variant>
      <vt:variant>
        <vt:i4>1376307</vt:i4>
      </vt:variant>
      <vt:variant>
        <vt:i4>56</vt:i4>
      </vt:variant>
      <vt:variant>
        <vt:i4>0</vt:i4>
      </vt:variant>
      <vt:variant>
        <vt:i4>5</vt:i4>
      </vt:variant>
      <vt:variant>
        <vt:lpwstr/>
      </vt:variant>
      <vt:variant>
        <vt:lpwstr>_Toc190103294</vt:lpwstr>
      </vt:variant>
      <vt:variant>
        <vt:i4>1376307</vt:i4>
      </vt:variant>
      <vt:variant>
        <vt:i4>50</vt:i4>
      </vt:variant>
      <vt:variant>
        <vt:i4>0</vt:i4>
      </vt:variant>
      <vt:variant>
        <vt:i4>5</vt:i4>
      </vt:variant>
      <vt:variant>
        <vt:lpwstr/>
      </vt:variant>
      <vt:variant>
        <vt:lpwstr>_Toc190103293</vt:lpwstr>
      </vt:variant>
      <vt:variant>
        <vt:i4>1376307</vt:i4>
      </vt:variant>
      <vt:variant>
        <vt:i4>44</vt:i4>
      </vt:variant>
      <vt:variant>
        <vt:i4>0</vt:i4>
      </vt:variant>
      <vt:variant>
        <vt:i4>5</vt:i4>
      </vt:variant>
      <vt:variant>
        <vt:lpwstr/>
      </vt:variant>
      <vt:variant>
        <vt:lpwstr>_Toc190103292</vt:lpwstr>
      </vt:variant>
      <vt:variant>
        <vt:i4>1376307</vt:i4>
      </vt:variant>
      <vt:variant>
        <vt:i4>38</vt:i4>
      </vt:variant>
      <vt:variant>
        <vt:i4>0</vt:i4>
      </vt:variant>
      <vt:variant>
        <vt:i4>5</vt:i4>
      </vt:variant>
      <vt:variant>
        <vt:lpwstr/>
      </vt:variant>
      <vt:variant>
        <vt:lpwstr>_Toc190103291</vt:lpwstr>
      </vt:variant>
      <vt:variant>
        <vt:i4>1376307</vt:i4>
      </vt:variant>
      <vt:variant>
        <vt:i4>32</vt:i4>
      </vt:variant>
      <vt:variant>
        <vt:i4>0</vt:i4>
      </vt:variant>
      <vt:variant>
        <vt:i4>5</vt:i4>
      </vt:variant>
      <vt:variant>
        <vt:lpwstr/>
      </vt:variant>
      <vt:variant>
        <vt:lpwstr>_Toc190103290</vt:lpwstr>
      </vt:variant>
      <vt:variant>
        <vt:i4>1310771</vt:i4>
      </vt:variant>
      <vt:variant>
        <vt:i4>26</vt:i4>
      </vt:variant>
      <vt:variant>
        <vt:i4>0</vt:i4>
      </vt:variant>
      <vt:variant>
        <vt:i4>5</vt:i4>
      </vt:variant>
      <vt:variant>
        <vt:lpwstr/>
      </vt:variant>
      <vt:variant>
        <vt:lpwstr>_Toc190103289</vt:lpwstr>
      </vt:variant>
      <vt:variant>
        <vt:i4>1310771</vt:i4>
      </vt:variant>
      <vt:variant>
        <vt:i4>20</vt:i4>
      </vt:variant>
      <vt:variant>
        <vt:i4>0</vt:i4>
      </vt:variant>
      <vt:variant>
        <vt:i4>5</vt:i4>
      </vt:variant>
      <vt:variant>
        <vt:lpwstr/>
      </vt:variant>
      <vt:variant>
        <vt:lpwstr>_Toc190103288</vt:lpwstr>
      </vt:variant>
      <vt:variant>
        <vt:i4>1310771</vt:i4>
      </vt:variant>
      <vt:variant>
        <vt:i4>14</vt:i4>
      </vt:variant>
      <vt:variant>
        <vt:i4>0</vt:i4>
      </vt:variant>
      <vt:variant>
        <vt:i4>5</vt:i4>
      </vt:variant>
      <vt:variant>
        <vt:lpwstr/>
      </vt:variant>
      <vt:variant>
        <vt:lpwstr>_Toc190103287</vt:lpwstr>
      </vt:variant>
      <vt:variant>
        <vt:i4>1310771</vt:i4>
      </vt:variant>
      <vt:variant>
        <vt:i4>8</vt:i4>
      </vt:variant>
      <vt:variant>
        <vt:i4>0</vt:i4>
      </vt:variant>
      <vt:variant>
        <vt:i4>5</vt:i4>
      </vt:variant>
      <vt:variant>
        <vt:lpwstr/>
      </vt:variant>
      <vt:variant>
        <vt:lpwstr>_Toc190103286</vt:lpwstr>
      </vt:variant>
      <vt:variant>
        <vt:i4>1310771</vt:i4>
      </vt:variant>
      <vt:variant>
        <vt:i4>2</vt:i4>
      </vt:variant>
      <vt:variant>
        <vt:i4>0</vt:i4>
      </vt:variant>
      <vt:variant>
        <vt:i4>5</vt:i4>
      </vt:variant>
      <vt:variant>
        <vt:lpwstr/>
      </vt:variant>
      <vt:variant>
        <vt:lpwstr>_Toc190103285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Francisco Sergio de Souza</cp:lastModifiedBy>
  <cp:revision>28</cp:revision>
  <cp:lastPrinted>2025-02-17T13:49:00Z</cp:lastPrinted>
  <dcterms:created xsi:type="dcterms:W3CDTF">2025-02-14T17:20:00Z</dcterms:created>
  <dcterms:modified xsi:type="dcterms:W3CDTF">2025-02-17T13:50:00Z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